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21"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331"/>
        <w:gridCol w:w="9429"/>
        <w:gridCol w:w="1061"/>
      </w:tblGrid>
      <w:tr w:rsidR="00340515" w14:paraId="5F968AC2"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1DE7C5A8" w14:textId="77777777" w:rsidR="00340515" w:rsidRDefault="00340515" w:rsidP="00340515">
            <w:pPr>
              <w:ind w:left="0" w:right="1194"/>
              <w:rPr>
                <w:sz w:val="20"/>
                <w:szCs w:val="20"/>
              </w:rPr>
            </w:pPr>
            <w:r>
              <w:rPr>
                <w:sz w:val="20"/>
                <w:szCs w:val="20"/>
              </w:rPr>
              <w:t xml:space="preserve">Report No: </w:t>
            </w:r>
            <w:r>
              <w:rPr>
                <w:noProof/>
                <w:sz w:val="20"/>
                <w:szCs w:val="20"/>
              </w:rPr>
              <w:t>AUS0000591</w:t>
            </w:r>
          </w:p>
        </w:tc>
      </w:tr>
      <w:tr w:rsidR="00340515" w14:paraId="59700B19" w14:textId="77777777" w:rsidTr="00340515">
        <w:trPr>
          <w:gridAfter w:val="1"/>
          <w:wAfter w:w="1061" w:type="dxa"/>
        </w:trPr>
        <w:tc>
          <w:tcPr>
            <w:tcW w:w="9760" w:type="dxa"/>
            <w:gridSpan w:val="2"/>
            <w:tcBorders>
              <w:top w:val="nil"/>
              <w:left w:val="nil"/>
              <w:bottom w:val="nil"/>
              <w:right w:val="nil"/>
            </w:tcBorders>
            <w:shd w:val="clear" w:color="auto" w:fill="FFFFFF"/>
            <w:tcMar>
              <w:top w:w="50" w:type="dxa"/>
              <w:left w:w="50" w:type="dxa"/>
              <w:bottom w:w="50" w:type="dxa"/>
              <w:right w:w="50" w:type="dxa"/>
            </w:tcMar>
            <w:vAlign w:val="center"/>
          </w:tcPr>
          <w:p w14:paraId="2D560E51" w14:textId="77777777" w:rsidR="00340515" w:rsidRDefault="00340515" w:rsidP="00340515">
            <w:pPr>
              <w:ind w:left="0" w:right="1194"/>
              <w:rPr>
                <w:rFonts w:ascii="Times" w:hAnsi="Times" w:cs="Times"/>
                <w:color w:val="FFFFFF"/>
                <w:sz w:val="10"/>
                <w:szCs w:val="10"/>
              </w:rPr>
            </w:pPr>
            <w:r>
              <w:rPr>
                <w:rFonts w:ascii="Times" w:hAnsi="Times" w:cs="Times"/>
                <w:color w:val="FFFFFF"/>
                <w:sz w:val="10"/>
                <w:szCs w:val="10"/>
              </w:rPr>
              <w:t>.</w:t>
            </w:r>
          </w:p>
        </w:tc>
      </w:tr>
      <w:tr w:rsidR="00340515" w14:paraId="0CCDCB30"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3A669779" w14:textId="77777777" w:rsidR="00340515" w:rsidRDefault="00340515" w:rsidP="00340515">
            <w:pPr>
              <w:ind w:left="0" w:right="1194"/>
              <w:rPr>
                <w:sz w:val="48"/>
                <w:szCs w:val="48"/>
              </w:rPr>
            </w:pPr>
            <w:r>
              <w:rPr>
                <w:noProof/>
                <w:sz w:val="48"/>
                <w:szCs w:val="48"/>
              </w:rPr>
              <w:t>Lao People's Democratic Republic</w:t>
            </w:r>
          </w:p>
        </w:tc>
      </w:tr>
      <w:tr w:rsidR="00340515" w14:paraId="5498B1FE"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4DF895D4" w14:textId="0A923DAB" w:rsidR="00340515" w:rsidRDefault="00340515" w:rsidP="00340515">
            <w:pPr>
              <w:ind w:left="0" w:right="1194"/>
              <w:rPr>
                <w:sz w:val="48"/>
                <w:szCs w:val="48"/>
              </w:rPr>
            </w:pPr>
            <w:r w:rsidRPr="00340515">
              <w:rPr>
                <w:noProof/>
                <w:sz w:val="48"/>
                <w:szCs w:val="48"/>
              </w:rPr>
              <w:t>Public Expenditure and Financial Accountability (PEFA) Assessment</w:t>
            </w:r>
          </w:p>
        </w:tc>
      </w:tr>
      <w:tr w:rsidR="00340515" w14:paraId="41EA590D"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00F13E29" w14:textId="12A6F18B" w:rsidR="00340515" w:rsidRDefault="00340515" w:rsidP="00340515">
            <w:pPr>
              <w:ind w:left="0" w:right="1194"/>
              <w:rPr>
                <w:sz w:val="34"/>
                <w:szCs w:val="34"/>
              </w:rPr>
            </w:pPr>
          </w:p>
        </w:tc>
      </w:tr>
      <w:tr w:rsidR="00340515" w14:paraId="4CDE75B1" w14:textId="77777777" w:rsidTr="00340515">
        <w:trPr>
          <w:gridAfter w:val="1"/>
          <w:wAfter w:w="1061" w:type="dxa"/>
        </w:trPr>
        <w:tc>
          <w:tcPr>
            <w:tcW w:w="9760" w:type="dxa"/>
            <w:gridSpan w:val="2"/>
            <w:tcBorders>
              <w:top w:val="nil"/>
              <w:left w:val="nil"/>
              <w:bottom w:val="nil"/>
              <w:right w:val="nil"/>
            </w:tcBorders>
            <w:shd w:val="clear" w:color="auto" w:fill="FFFFFF"/>
            <w:tcMar>
              <w:top w:w="50" w:type="dxa"/>
              <w:left w:w="50" w:type="dxa"/>
              <w:bottom w:w="50" w:type="dxa"/>
              <w:right w:w="50" w:type="dxa"/>
            </w:tcMar>
            <w:vAlign w:val="center"/>
          </w:tcPr>
          <w:p w14:paraId="56671D5E" w14:textId="77777777" w:rsidR="00340515" w:rsidRDefault="00340515" w:rsidP="00340515">
            <w:pPr>
              <w:ind w:left="0" w:right="1194"/>
              <w:rPr>
                <w:rFonts w:ascii="Times" w:hAnsi="Times" w:cs="Times"/>
                <w:color w:val="FFFFFF"/>
                <w:sz w:val="60"/>
                <w:szCs w:val="60"/>
              </w:rPr>
            </w:pPr>
            <w:r>
              <w:rPr>
                <w:rFonts w:ascii="Times" w:hAnsi="Times" w:cs="Times"/>
                <w:color w:val="FFFFFF"/>
                <w:sz w:val="60"/>
                <w:szCs w:val="60"/>
              </w:rPr>
              <w:t>.</w:t>
            </w:r>
          </w:p>
        </w:tc>
      </w:tr>
      <w:tr w:rsidR="00340515" w14:paraId="317D2155"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0D55D947" w14:textId="507C8263" w:rsidR="00340515" w:rsidRDefault="00340515" w:rsidP="00340515">
            <w:pPr>
              <w:ind w:left="0" w:right="1194"/>
              <w:rPr>
                <w:sz w:val="20"/>
                <w:szCs w:val="20"/>
              </w:rPr>
            </w:pPr>
            <w:r>
              <w:rPr>
                <w:sz w:val="20"/>
                <w:szCs w:val="20"/>
              </w:rPr>
              <w:t>March 27, 2019</w:t>
            </w:r>
          </w:p>
        </w:tc>
      </w:tr>
      <w:tr w:rsidR="00340515" w14:paraId="171DDC04" w14:textId="77777777" w:rsidTr="00340515">
        <w:trPr>
          <w:gridAfter w:val="1"/>
          <w:wAfter w:w="1061" w:type="dxa"/>
        </w:trPr>
        <w:tc>
          <w:tcPr>
            <w:tcW w:w="9760" w:type="dxa"/>
            <w:gridSpan w:val="2"/>
            <w:tcBorders>
              <w:top w:val="nil"/>
              <w:left w:val="nil"/>
              <w:bottom w:val="nil"/>
              <w:right w:val="nil"/>
            </w:tcBorders>
            <w:shd w:val="clear" w:color="auto" w:fill="FFFFFF"/>
            <w:tcMar>
              <w:top w:w="50" w:type="dxa"/>
              <w:left w:w="50" w:type="dxa"/>
              <w:bottom w:w="50" w:type="dxa"/>
              <w:right w:w="50" w:type="dxa"/>
            </w:tcMar>
            <w:vAlign w:val="center"/>
          </w:tcPr>
          <w:p w14:paraId="611BA29D" w14:textId="77777777" w:rsidR="00340515" w:rsidRDefault="00340515" w:rsidP="00340515">
            <w:pPr>
              <w:ind w:left="0" w:right="1194"/>
              <w:rPr>
                <w:rFonts w:ascii="Times" w:hAnsi="Times" w:cs="Times"/>
                <w:color w:val="FFFFFF"/>
                <w:sz w:val="60"/>
                <w:szCs w:val="60"/>
              </w:rPr>
            </w:pPr>
            <w:r>
              <w:rPr>
                <w:rFonts w:ascii="Times" w:hAnsi="Times" w:cs="Times"/>
                <w:color w:val="FFFFFF"/>
                <w:sz w:val="60"/>
                <w:szCs w:val="60"/>
              </w:rPr>
              <w:t>.</w:t>
            </w:r>
          </w:p>
          <w:p w14:paraId="2874779F" w14:textId="56965A86" w:rsidR="00340515" w:rsidRDefault="00340515" w:rsidP="00340515">
            <w:pPr>
              <w:ind w:left="0" w:right="1194"/>
              <w:rPr>
                <w:rFonts w:ascii="Times" w:hAnsi="Times" w:cs="Times"/>
                <w:color w:val="FFFFFF"/>
                <w:sz w:val="60"/>
                <w:szCs w:val="60"/>
              </w:rPr>
            </w:pPr>
          </w:p>
        </w:tc>
      </w:tr>
      <w:tr w:rsidR="00340515" w14:paraId="3FBA6228"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14390EB7" w14:textId="77777777" w:rsidR="00340515" w:rsidRPr="00A73491" w:rsidRDefault="00340515" w:rsidP="00340515">
            <w:pPr>
              <w:spacing w:before="0"/>
              <w:ind w:hanging="539"/>
              <w:rPr>
                <w:noProof/>
                <w:sz w:val="20"/>
                <w:szCs w:val="20"/>
              </w:rPr>
            </w:pPr>
            <w:r w:rsidRPr="00A73491">
              <w:rPr>
                <w:noProof/>
                <w:sz w:val="20"/>
                <w:szCs w:val="20"/>
              </w:rPr>
              <w:t xml:space="preserve">World Bank Governance Global Practice </w:t>
            </w:r>
          </w:p>
          <w:p w14:paraId="6BF64F94" w14:textId="77777777" w:rsidR="00340515" w:rsidRPr="00A73491" w:rsidRDefault="00340515" w:rsidP="00340515">
            <w:pPr>
              <w:spacing w:before="0"/>
              <w:ind w:hanging="539"/>
              <w:rPr>
                <w:noProof/>
                <w:sz w:val="20"/>
                <w:szCs w:val="20"/>
              </w:rPr>
            </w:pPr>
            <w:r w:rsidRPr="00A73491">
              <w:rPr>
                <w:noProof/>
                <w:sz w:val="20"/>
                <w:szCs w:val="20"/>
              </w:rPr>
              <w:t>Equity, Finance and Institutions (EFI)</w:t>
            </w:r>
          </w:p>
          <w:p w14:paraId="6F8E4357" w14:textId="56F02A5F" w:rsidR="00340515" w:rsidRDefault="00340515" w:rsidP="00340515">
            <w:pPr>
              <w:spacing w:before="0"/>
              <w:ind w:hanging="539"/>
              <w:rPr>
                <w:noProof/>
                <w:sz w:val="20"/>
                <w:szCs w:val="20"/>
              </w:rPr>
            </w:pPr>
            <w:r w:rsidRPr="00A73491">
              <w:rPr>
                <w:noProof/>
                <w:sz w:val="20"/>
                <w:szCs w:val="20"/>
              </w:rPr>
              <w:t>Vientiane, Lao PDR, East Asia and Pacific Regio</w:t>
            </w:r>
            <w:r>
              <w:rPr>
                <w:noProof/>
                <w:sz w:val="20"/>
                <w:szCs w:val="20"/>
              </w:rPr>
              <w:t>n</w:t>
            </w:r>
          </w:p>
        </w:tc>
      </w:tr>
      <w:tr w:rsidR="00340515" w14:paraId="086C159E" w14:textId="77777777" w:rsidTr="00340515">
        <w:trPr>
          <w:gridAfter w:val="1"/>
          <w:wAfter w:w="1061" w:type="dxa"/>
        </w:trPr>
        <w:tc>
          <w:tcPr>
            <w:tcW w:w="9760" w:type="dxa"/>
            <w:gridSpan w:val="2"/>
            <w:tcBorders>
              <w:top w:val="nil"/>
              <w:left w:val="nil"/>
              <w:bottom w:val="nil"/>
              <w:right w:val="nil"/>
            </w:tcBorders>
            <w:shd w:val="clear" w:color="auto" w:fill="FFFFFF"/>
            <w:tcMar>
              <w:top w:w="50" w:type="dxa"/>
              <w:left w:w="50" w:type="dxa"/>
              <w:bottom w:w="50" w:type="dxa"/>
              <w:right w:w="50" w:type="dxa"/>
            </w:tcMar>
            <w:vAlign w:val="center"/>
          </w:tcPr>
          <w:p w14:paraId="65F65B3C" w14:textId="77777777" w:rsidR="00340515" w:rsidRDefault="00340515" w:rsidP="00340515">
            <w:pPr>
              <w:ind w:left="0" w:right="1194"/>
              <w:rPr>
                <w:rFonts w:ascii="Times" w:hAnsi="Times" w:cs="Times"/>
                <w:color w:val="FFFFFF"/>
                <w:sz w:val="20"/>
                <w:szCs w:val="20"/>
              </w:rPr>
            </w:pPr>
          </w:p>
          <w:p w14:paraId="0A324C7C" w14:textId="77777777" w:rsidR="00340515" w:rsidRDefault="00340515" w:rsidP="00340515">
            <w:pPr>
              <w:ind w:left="0" w:right="1194"/>
              <w:rPr>
                <w:rFonts w:ascii="Times" w:hAnsi="Times" w:cs="Times"/>
                <w:color w:val="FFFFFF"/>
                <w:sz w:val="20"/>
                <w:szCs w:val="20"/>
              </w:rPr>
            </w:pPr>
          </w:p>
          <w:p w14:paraId="58B3E52F" w14:textId="37170BF3" w:rsidR="00340515" w:rsidRDefault="00340515" w:rsidP="00340515">
            <w:pPr>
              <w:ind w:left="0" w:right="1194"/>
              <w:rPr>
                <w:rFonts w:ascii="Times" w:hAnsi="Times" w:cs="Times"/>
                <w:color w:val="FFFFFF"/>
                <w:sz w:val="20"/>
                <w:szCs w:val="20"/>
              </w:rPr>
            </w:pPr>
            <w:r>
              <w:rPr>
                <w:rFonts w:ascii="Times" w:hAnsi="Times" w:cs="Times"/>
                <w:color w:val="FFFFFF"/>
                <w:sz w:val="20"/>
                <w:szCs w:val="20"/>
              </w:rPr>
              <w:t>.</w:t>
            </w:r>
          </w:p>
        </w:tc>
      </w:tr>
      <w:tr w:rsidR="00340515" w14:paraId="715BDC09" w14:textId="77777777" w:rsidTr="00340515">
        <w:tc>
          <w:tcPr>
            <w:tcW w:w="10821" w:type="dxa"/>
            <w:gridSpan w:val="3"/>
            <w:tcBorders>
              <w:top w:val="nil"/>
              <w:left w:val="nil"/>
              <w:bottom w:val="nil"/>
              <w:right w:val="nil"/>
            </w:tcBorders>
            <w:shd w:val="clear" w:color="auto" w:fill="FFFFFF"/>
            <w:tcMar>
              <w:top w:w="50" w:type="dxa"/>
              <w:left w:w="50" w:type="dxa"/>
              <w:bottom w:w="50" w:type="dxa"/>
              <w:right w:w="50" w:type="dxa"/>
            </w:tcMar>
            <w:vAlign w:val="center"/>
          </w:tcPr>
          <w:p w14:paraId="35860433" w14:textId="77777777" w:rsidR="00340515" w:rsidRDefault="00340515" w:rsidP="00340515">
            <w:pPr>
              <w:spacing w:line="320" w:lineRule="atLeast"/>
              <w:ind w:left="0" w:right="1194"/>
              <w:rPr>
                <w:rFonts w:ascii="Times New Roman" w:hAnsi="Times New Roman"/>
              </w:rPr>
            </w:pPr>
            <w:r>
              <w:rPr>
                <w:rFonts w:ascii="Times New Roman" w:hAnsi="Times New Roman"/>
                <w:noProof/>
              </w:rPr>
              <w:drawing>
                <wp:inline distT="0" distB="0" distL="0" distR="0" wp14:anchorId="07C5239E" wp14:editId="30F4097D">
                  <wp:extent cx="63817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41334"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tc>
      </w:tr>
      <w:tr w:rsidR="00340515" w:rsidRPr="00340515" w14:paraId="051FFB44" w14:textId="77777777" w:rsidTr="00340515">
        <w:trPr>
          <w:gridAfter w:val="1"/>
          <w:wAfter w:w="1061" w:type="dxa"/>
        </w:trPr>
        <w:tc>
          <w:tcPr>
            <w:tcW w:w="9760" w:type="dxa"/>
            <w:gridSpan w:val="2"/>
            <w:tcBorders>
              <w:top w:val="nil"/>
              <w:left w:val="nil"/>
              <w:bottom w:val="nil"/>
              <w:right w:val="nil"/>
            </w:tcBorders>
            <w:shd w:val="clear" w:color="auto" w:fill="FFFFFF"/>
            <w:tcMar>
              <w:top w:w="50" w:type="dxa"/>
              <w:left w:w="50" w:type="dxa"/>
              <w:bottom w:w="50" w:type="dxa"/>
              <w:right w:w="50" w:type="dxa"/>
            </w:tcMar>
            <w:vAlign w:val="center"/>
          </w:tcPr>
          <w:p w14:paraId="6C15385B" w14:textId="77777777" w:rsidR="00340515" w:rsidRPr="00340515" w:rsidRDefault="00340515" w:rsidP="00340515">
            <w:pPr>
              <w:ind w:left="0"/>
              <w:rPr>
                <w:rFonts w:ascii="Times" w:hAnsi="Times" w:cs="Times"/>
                <w:color w:val="FFFFFF"/>
                <w:sz w:val="52"/>
                <w:szCs w:val="52"/>
              </w:rPr>
            </w:pPr>
            <w:r w:rsidRPr="00340515">
              <w:rPr>
                <w:rFonts w:ascii="Times" w:hAnsi="Times" w:cs="Times"/>
                <w:color w:val="FFFFFF"/>
                <w:sz w:val="52"/>
                <w:szCs w:val="52"/>
              </w:rPr>
              <w:t>.</w:t>
            </w:r>
          </w:p>
        </w:tc>
      </w:tr>
      <w:tr w:rsidR="00340515" w14:paraId="3E712B5A" w14:textId="77777777" w:rsidTr="00340515">
        <w:trPr>
          <w:gridAfter w:val="1"/>
          <w:wAfter w:w="1061" w:type="dxa"/>
        </w:trPr>
        <w:tc>
          <w:tcPr>
            <w:tcW w:w="9760" w:type="dxa"/>
            <w:gridSpan w:val="2"/>
            <w:tcBorders>
              <w:top w:val="nil"/>
              <w:left w:val="nil"/>
              <w:bottom w:val="nil"/>
              <w:right w:val="nil"/>
            </w:tcBorders>
            <w:shd w:val="clear" w:color="auto" w:fill="FFFFFF"/>
            <w:tcMar>
              <w:top w:w="50" w:type="dxa"/>
              <w:left w:w="50" w:type="dxa"/>
              <w:bottom w:w="50" w:type="dxa"/>
              <w:right w:w="50" w:type="dxa"/>
            </w:tcMar>
            <w:vAlign w:val="center"/>
          </w:tcPr>
          <w:p w14:paraId="76183A22" w14:textId="77777777" w:rsidR="00340515" w:rsidRDefault="00340515" w:rsidP="00340515">
            <w:pPr>
              <w:ind w:left="0"/>
              <w:rPr>
                <w:rFonts w:ascii="Times" w:hAnsi="Times" w:cs="Times"/>
                <w:color w:val="FFFFFF"/>
                <w:sz w:val="20"/>
                <w:szCs w:val="20"/>
              </w:rPr>
            </w:pPr>
          </w:p>
          <w:p w14:paraId="7E3CA806" w14:textId="77777777" w:rsidR="00340515" w:rsidRDefault="00340515" w:rsidP="00340515">
            <w:pPr>
              <w:ind w:left="0"/>
              <w:rPr>
                <w:rFonts w:ascii="Times" w:hAnsi="Times" w:cs="Times"/>
                <w:color w:val="FFFFFF"/>
                <w:sz w:val="20"/>
                <w:szCs w:val="20"/>
              </w:rPr>
            </w:pPr>
          </w:p>
          <w:p w14:paraId="3992BE5A" w14:textId="77777777" w:rsidR="00340515" w:rsidRDefault="00340515" w:rsidP="00340515">
            <w:pPr>
              <w:ind w:left="0"/>
              <w:rPr>
                <w:rFonts w:ascii="Times" w:hAnsi="Times" w:cs="Times"/>
                <w:color w:val="FFFFFF"/>
                <w:sz w:val="20"/>
                <w:szCs w:val="20"/>
              </w:rPr>
            </w:pPr>
          </w:p>
          <w:p w14:paraId="2727DA23" w14:textId="77777777" w:rsidR="00340515" w:rsidRDefault="00340515" w:rsidP="00340515">
            <w:pPr>
              <w:ind w:left="0"/>
              <w:rPr>
                <w:rFonts w:ascii="Times" w:hAnsi="Times" w:cs="Times"/>
                <w:color w:val="FFFFFF"/>
                <w:sz w:val="20"/>
                <w:szCs w:val="20"/>
              </w:rPr>
            </w:pPr>
          </w:p>
          <w:p w14:paraId="6BC3F1D5" w14:textId="77777777" w:rsidR="00340515" w:rsidRDefault="00340515" w:rsidP="00340515">
            <w:pPr>
              <w:ind w:left="0"/>
              <w:rPr>
                <w:rFonts w:ascii="Times" w:hAnsi="Times" w:cs="Times"/>
                <w:color w:val="FFFFFF"/>
                <w:sz w:val="20"/>
                <w:szCs w:val="20"/>
              </w:rPr>
            </w:pPr>
          </w:p>
          <w:p w14:paraId="36336AE2" w14:textId="77777777" w:rsidR="00340515" w:rsidRDefault="00340515" w:rsidP="00340515">
            <w:pPr>
              <w:ind w:left="0"/>
              <w:rPr>
                <w:rFonts w:ascii="Times" w:hAnsi="Times" w:cs="Times"/>
                <w:color w:val="FFFFFF"/>
                <w:sz w:val="20"/>
                <w:szCs w:val="20"/>
              </w:rPr>
            </w:pPr>
          </w:p>
          <w:p w14:paraId="016161D8" w14:textId="77777777" w:rsidR="00340515" w:rsidRDefault="00340515" w:rsidP="00340515">
            <w:pPr>
              <w:ind w:left="0"/>
              <w:rPr>
                <w:rFonts w:ascii="Times" w:hAnsi="Times" w:cs="Times"/>
                <w:color w:val="FFFFFF"/>
                <w:sz w:val="20"/>
                <w:szCs w:val="20"/>
              </w:rPr>
            </w:pPr>
          </w:p>
          <w:p w14:paraId="01CCC6C0" w14:textId="77777777" w:rsidR="00340515" w:rsidRDefault="00340515" w:rsidP="00340515">
            <w:pPr>
              <w:ind w:left="0"/>
              <w:rPr>
                <w:rFonts w:ascii="Times" w:hAnsi="Times" w:cs="Times"/>
                <w:color w:val="FFFFFF"/>
                <w:sz w:val="20"/>
                <w:szCs w:val="20"/>
              </w:rPr>
            </w:pPr>
          </w:p>
          <w:p w14:paraId="723047E5" w14:textId="77777777" w:rsidR="00340515" w:rsidRDefault="00340515" w:rsidP="00340515">
            <w:pPr>
              <w:ind w:left="0"/>
              <w:rPr>
                <w:rFonts w:ascii="Times" w:hAnsi="Times" w:cs="Times"/>
                <w:color w:val="FFFFFF"/>
                <w:sz w:val="20"/>
                <w:szCs w:val="20"/>
              </w:rPr>
            </w:pPr>
          </w:p>
          <w:p w14:paraId="43E37026" w14:textId="77777777" w:rsidR="00340515" w:rsidRDefault="00340515" w:rsidP="00340515">
            <w:pPr>
              <w:ind w:left="0"/>
              <w:rPr>
                <w:rFonts w:ascii="Times" w:hAnsi="Times" w:cs="Times"/>
                <w:color w:val="FFFFFF"/>
                <w:sz w:val="20"/>
                <w:szCs w:val="20"/>
              </w:rPr>
            </w:pPr>
          </w:p>
          <w:p w14:paraId="7B5EFCBC" w14:textId="77777777" w:rsidR="00340515" w:rsidRDefault="00340515" w:rsidP="00340515">
            <w:pPr>
              <w:ind w:left="0"/>
              <w:rPr>
                <w:rFonts w:ascii="Times" w:hAnsi="Times" w:cs="Times"/>
                <w:color w:val="FFFFFF"/>
                <w:sz w:val="20"/>
                <w:szCs w:val="20"/>
              </w:rPr>
            </w:pPr>
          </w:p>
          <w:p w14:paraId="0988F045" w14:textId="05E9DE91" w:rsidR="00340515" w:rsidRDefault="00340515" w:rsidP="00340515">
            <w:pPr>
              <w:ind w:left="0"/>
              <w:rPr>
                <w:rFonts w:ascii="Times" w:hAnsi="Times" w:cs="Times"/>
                <w:color w:val="FFFFFF"/>
                <w:sz w:val="20"/>
                <w:szCs w:val="20"/>
              </w:rPr>
            </w:pPr>
          </w:p>
          <w:p w14:paraId="780C095C" w14:textId="77777777" w:rsidR="00340515" w:rsidRDefault="00340515" w:rsidP="00340515">
            <w:pPr>
              <w:ind w:left="0"/>
              <w:rPr>
                <w:rFonts w:ascii="Times" w:hAnsi="Times" w:cs="Times"/>
                <w:color w:val="FFFFFF"/>
                <w:sz w:val="20"/>
                <w:szCs w:val="20"/>
              </w:rPr>
            </w:pPr>
          </w:p>
          <w:p w14:paraId="36F70B16" w14:textId="710C8CF8" w:rsidR="00340515" w:rsidRDefault="00340515" w:rsidP="00340515">
            <w:pPr>
              <w:ind w:left="0"/>
              <w:rPr>
                <w:rFonts w:ascii="Times" w:hAnsi="Times" w:cs="Times"/>
                <w:color w:val="FFFFFF"/>
                <w:sz w:val="20"/>
                <w:szCs w:val="20"/>
              </w:rPr>
            </w:pPr>
          </w:p>
        </w:tc>
      </w:tr>
      <w:tr w:rsidR="00340515" w14:paraId="467B6B03" w14:textId="77777777" w:rsidTr="00340515">
        <w:trPr>
          <w:gridAfter w:val="1"/>
          <w:wAfter w:w="1061" w:type="dxa"/>
        </w:trPr>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1698E5CD" w14:textId="77777777" w:rsidR="00340515" w:rsidRDefault="00340515" w:rsidP="00C04144">
            <w:pPr>
              <w:rPr>
                <w:rFonts w:ascii="Times New Roman" w:hAnsi="Times New Roman"/>
              </w:rPr>
            </w:pPr>
          </w:p>
        </w:tc>
        <w:tc>
          <w:tcPr>
            <w:tcW w:w="9429" w:type="dxa"/>
            <w:tcBorders>
              <w:top w:val="nil"/>
              <w:left w:val="nil"/>
              <w:bottom w:val="nil"/>
              <w:right w:val="nil"/>
            </w:tcBorders>
            <w:shd w:val="clear" w:color="auto" w:fill="FFFFFF"/>
            <w:tcMar>
              <w:top w:w="50" w:type="dxa"/>
              <w:left w:w="50" w:type="dxa"/>
              <w:bottom w:w="50" w:type="dxa"/>
              <w:right w:w="50" w:type="dxa"/>
            </w:tcMar>
            <w:vAlign w:val="center"/>
          </w:tcPr>
          <w:p w14:paraId="02B4B59B" w14:textId="749C19C2" w:rsidR="00340515" w:rsidRPr="00E03FD7" w:rsidRDefault="00340515" w:rsidP="00340515">
            <w:pPr>
              <w:pStyle w:val="Default"/>
              <w:spacing w:before="0"/>
              <w:ind w:left="0"/>
              <w:rPr>
                <w:sz w:val="18"/>
                <w:szCs w:val="20"/>
              </w:rPr>
            </w:pPr>
            <w:r w:rsidRPr="00E03FD7">
              <w:rPr>
                <w:sz w:val="18"/>
                <w:szCs w:val="20"/>
              </w:rPr>
              <w:t>© 201</w:t>
            </w:r>
            <w:r>
              <w:rPr>
                <w:sz w:val="18"/>
                <w:szCs w:val="20"/>
              </w:rPr>
              <w:t>9</w:t>
            </w:r>
            <w:r w:rsidRPr="00E03FD7">
              <w:rPr>
                <w:sz w:val="18"/>
                <w:szCs w:val="20"/>
              </w:rPr>
              <w:t xml:space="preserve"> The World Bank </w:t>
            </w:r>
          </w:p>
          <w:p w14:paraId="69A79D66" w14:textId="77777777" w:rsidR="00340515" w:rsidRPr="00E03FD7" w:rsidRDefault="00340515" w:rsidP="00340515">
            <w:pPr>
              <w:pStyle w:val="Default"/>
              <w:spacing w:before="0"/>
              <w:ind w:left="0"/>
              <w:rPr>
                <w:sz w:val="18"/>
                <w:szCs w:val="20"/>
              </w:rPr>
            </w:pPr>
            <w:r w:rsidRPr="00E03FD7">
              <w:rPr>
                <w:sz w:val="18"/>
                <w:szCs w:val="20"/>
              </w:rPr>
              <w:t xml:space="preserve">1818 H Street NW, Washington DC 20433 </w:t>
            </w:r>
          </w:p>
          <w:p w14:paraId="5E4E44B2" w14:textId="77777777" w:rsidR="00340515" w:rsidRPr="00E03FD7" w:rsidRDefault="00340515" w:rsidP="00340515">
            <w:pPr>
              <w:pStyle w:val="Default"/>
              <w:spacing w:before="0"/>
              <w:ind w:left="0"/>
              <w:rPr>
                <w:sz w:val="18"/>
                <w:szCs w:val="20"/>
              </w:rPr>
            </w:pPr>
            <w:r w:rsidRPr="00E03FD7">
              <w:rPr>
                <w:sz w:val="18"/>
                <w:szCs w:val="20"/>
              </w:rPr>
              <w:t xml:space="preserve">Telephone: 202-473-1000; Internet: </w:t>
            </w:r>
            <w:hyperlink r:id="rId9" w:history="1">
              <w:r w:rsidRPr="002014BA">
                <w:rPr>
                  <w:rStyle w:val="Hyperlink"/>
                  <w:rFonts w:eastAsiaTheme="majorEastAsia"/>
                  <w:sz w:val="18"/>
                </w:rPr>
                <w:t>www.worldbank.org</w:t>
              </w:r>
            </w:hyperlink>
            <w:r w:rsidRPr="00E03FD7">
              <w:rPr>
                <w:sz w:val="18"/>
                <w:szCs w:val="20"/>
              </w:rPr>
              <w:t xml:space="preserve"> </w:t>
            </w:r>
          </w:p>
          <w:p w14:paraId="7BAE4E0E" w14:textId="77777777" w:rsidR="00340515" w:rsidRPr="00E03FD7" w:rsidRDefault="00340515" w:rsidP="00340515">
            <w:pPr>
              <w:pStyle w:val="Default"/>
              <w:spacing w:before="0"/>
              <w:ind w:left="0"/>
              <w:rPr>
                <w:sz w:val="18"/>
                <w:szCs w:val="20"/>
              </w:rPr>
            </w:pPr>
          </w:p>
          <w:p w14:paraId="68F576C7" w14:textId="77777777" w:rsidR="00340515" w:rsidRPr="00E03FD7" w:rsidRDefault="00340515" w:rsidP="00340515">
            <w:pPr>
              <w:spacing w:after="120"/>
              <w:ind w:left="0"/>
              <w:rPr>
                <w:sz w:val="18"/>
                <w:szCs w:val="20"/>
              </w:rPr>
            </w:pPr>
            <w:r w:rsidRPr="00E03FD7">
              <w:rPr>
                <w:sz w:val="18"/>
                <w:szCs w:val="20"/>
              </w:rPr>
              <w:t>Some rights reserved</w:t>
            </w:r>
          </w:p>
          <w:p w14:paraId="7F6CCCE9" w14:textId="77777777" w:rsidR="00340515" w:rsidRPr="00E03FD7" w:rsidRDefault="00340515" w:rsidP="00340515">
            <w:pPr>
              <w:pStyle w:val="Default"/>
              <w:ind w:left="0"/>
              <w:rPr>
                <w:sz w:val="18"/>
                <w:szCs w:val="20"/>
              </w:rPr>
            </w:pPr>
            <w:r w:rsidRPr="00E03FD7">
              <w:rPr>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28DB614A" w14:textId="77777777" w:rsidR="00340515" w:rsidRPr="00E03FD7" w:rsidRDefault="00340515" w:rsidP="00340515">
            <w:pPr>
              <w:pStyle w:val="Default"/>
              <w:ind w:left="0"/>
              <w:rPr>
                <w:rFonts w:eastAsiaTheme="minorEastAsia"/>
                <w:b/>
                <w:bCs/>
                <w:color w:val="auto"/>
                <w:sz w:val="18"/>
                <w:szCs w:val="18"/>
              </w:rPr>
            </w:pPr>
            <w:r w:rsidRPr="00E03FD7">
              <w:rPr>
                <w:rFonts w:eastAsiaTheme="minorEastAsia"/>
                <w:b/>
                <w:bCs/>
                <w:color w:val="auto"/>
                <w:sz w:val="18"/>
                <w:szCs w:val="18"/>
              </w:rPr>
              <w:t>Rights and Permissions</w:t>
            </w:r>
          </w:p>
          <w:p w14:paraId="6A70C2B6" w14:textId="77777777" w:rsidR="00340515" w:rsidRPr="00E03FD7" w:rsidRDefault="00340515" w:rsidP="00340515">
            <w:pPr>
              <w:pStyle w:val="Default"/>
              <w:ind w:left="0"/>
              <w:rPr>
                <w:sz w:val="18"/>
                <w:szCs w:val="20"/>
              </w:rPr>
            </w:pPr>
            <w:r w:rsidRPr="00E03FD7">
              <w:rPr>
                <w:sz w:val="18"/>
                <w:szCs w:val="20"/>
              </w:rPr>
              <w:t xml:space="preserve">The material in this work is subject to copyright. Because </w:t>
            </w:r>
            <w:proofErr w:type="gramStart"/>
            <w:r w:rsidRPr="00E03FD7">
              <w:rPr>
                <w:sz w:val="18"/>
                <w:szCs w:val="20"/>
              </w:rPr>
              <w:t>The</w:t>
            </w:r>
            <w:proofErr w:type="gramEnd"/>
            <w:r w:rsidRPr="00E03FD7">
              <w:rPr>
                <w:sz w:val="18"/>
                <w:szCs w:val="20"/>
              </w:rPr>
              <w:t xml:space="preserve"> World Bank encourages dissemination of its knowledge, this work may be reproduced, in whole or in part, for noncommercial purposes as long as full attribution to this work is given. </w:t>
            </w:r>
          </w:p>
          <w:p w14:paraId="0300910C" w14:textId="4281484C" w:rsidR="00340515" w:rsidRPr="00E03FD7" w:rsidRDefault="00340515" w:rsidP="00340515">
            <w:pPr>
              <w:spacing w:after="120"/>
              <w:ind w:left="0"/>
              <w:rPr>
                <w:sz w:val="18"/>
                <w:szCs w:val="20"/>
              </w:rPr>
            </w:pPr>
            <w:r w:rsidRPr="00E03FD7">
              <w:rPr>
                <w:b/>
                <w:sz w:val="18"/>
                <w:szCs w:val="20"/>
              </w:rPr>
              <w:t>Attribution</w:t>
            </w:r>
            <w:r w:rsidRPr="00E03FD7">
              <w:rPr>
                <w:sz w:val="18"/>
                <w:szCs w:val="20"/>
              </w:rPr>
              <w:t xml:space="preserve">—Please cite the work as follows: “World Bank. </w:t>
            </w:r>
            <w:r>
              <w:rPr>
                <w:sz w:val="18"/>
                <w:szCs w:val="20"/>
              </w:rPr>
              <w:t>2019</w:t>
            </w:r>
            <w:r w:rsidRPr="00E03FD7">
              <w:rPr>
                <w:sz w:val="18"/>
                <w:szCs w:val="20"/>
              </w:rPr>
              <w:t xml:space="preserve">. </w:t>
            </w:r>
            <w:r>
              <w:rPr>
                <w:sz w:val="18"/>
                <w:szCs w:val="20"/>
              </w:rPr>
              <w:t xml:space="preserve">Lao PDR </w:t>
            </w:r>
            <w:bookmarkStart w:id="0" w:name="_GoBack"/>
            <w:bookmarkEnd w:id="0"/>
            <w:r>
              <w:rPr>
                <w:sz w:val="18"/>
                <w:szCs w:val="20"/>
              </w:rPr>
              <w:t>Public Expenditure and Financial Accountability Assessment.</w:t>
            </w:r>
            <w:r w:rsidRPr="00E03FD7">
              <w:rPr>
                <w:iCs/>
                <w:sz w:val="18"/>
                <w:szCs w:val="20"/>
              </w:rPr>
              <w:t xml:space="preserve">” </w:t>
            </w:r>
          </w:p>
          <w:p w14:paraId="197C093F" w14:textId="65764960" w:rsidR="00340515" w:rsidRPr="00340515" w:rsidRDefault="00340515" w:rsidP="00340515">
            <w:pPr>
              <w:pStyle w:val="Default"/>
              <w:ind w:left="0"/>
              <w:rPr>
                <w:sz w:val="18"/>
                <w:szCs w:val="20"/>
              </w:rPr>
            </w:pPr>
            <w:r w:rsidRPr="00E03FD7">
              <w:rPr>
                <w:sz w:val="18"/>
                <w:szCs w:val="20"/>
              </w:rPr>
              <w:t xml:space="preserve">All queries on rights and licenses, including subsidiary rights, should be addressed to World Bank Publications, The World Bank Group, 1818 H Street NW, Washington, DC 20433, USA; fax: 202-522-2625; e-mail: </w:t>
            </w:r>
            <w:hyperlink r:id="rId10" w:history="1">
              <w:r w:rsidRPr="002014BA">
                <w:rPr>
                  <w:rStyle w:val="Hyperlink"/>
                  <w:rFonts w:eastAsiaTheme="majorEastAsia"/>
                  <w:sz w:val="18"/>
                </w:rPr>
                <w:t>pubrights@worldbank.org</w:t>
              </w:r>
            </w:hyperlink>
            <w:r w:rsidRPr="00E03FD7">
              <w:rPr>
                <w:sz w:val="18"/>
                <w:szCs w:val="20"/>
              </w:rPr>
              <w:t xml:space="preserve">. </w:t>
            </w:r>
          </w:p>
        </w:tc>
      </w:tr>
    </w:tbl>
    <w:p w14:paraId="0188E6B1" w14:textId="77777777" w:rsidR="00A24325" w:rsidRDefault="00A24325">
      <w:pPr>
        <w:spacing w:after="240" w:line="276" w:lineRule="auto"/>
        <w:rPr>
          <w:rFonts w:ascii="Times New Roman" w:hAnsi="Times New Roman"/>
        </w:rPr>
      </w:pPr>
      <w:r>
        <w:rPr>
          <w:rFonts w:ascii="Times New Roman" w:hAnsi="Times New Roman"/>
        </w:rPr>
        <w:br w:type="page"/>
      </w:r>
    </w:p>
    <w:p w14:paraId="7C06B4D1" w14:textId="77777777" w:rsidR="00A24325" w:rsidRPr="00C001AC" w:rsidRDefault="00A24325" w:rsidP="00A24325">
      <w:pPr>
        <w:spacing w:line="276" w:lineRule="auto"/>
        <w:ind w:left="540"/>
        <w:jc w:val="center"/>
        <w:rPr>
          <w:rFonts w:ascii="Times New Roman" w:hAnsi="Times New Roman"/>
          <w:b/>
          <w:bCs/>
          <w:iCs/>
          <w:sz w:val="24"/>
          <w:szCs w:val="20"/>
        </w:rPr>
      </w:pPr>
      <w:r w:rsidRPr="00C001AC">
        <w:rPr>
          <w:rFonts w:ascii="Times New Roman" w:hAnsi="Times New Roman"/>
          <w:b/>
          <w:bCs/>
          <w:iCs/>
          <w:sz w:val="24"/>
          <w:szCs w:val="20"/>
        </w:rPr>
        <w:lastRenderedPageBreak/>
        <w:t>CURRENCY EQUIVALENTS</w:t>
      </w:r>
    </w:p>
    <w:p w14:paraId="2853AFB0" w14:textId="77777777" w:rsidR="00A24325" w:rsidRPr="00C001AC" w:rsidRDefault="00A24325" w:rsidP="00A24325">
      <w:pPr>
        <w:spacing w:line="276" w:lineRule="auto"/>
        <w:ind w:left="540"/>
        <w:jc w:val="center"/>
        <w:rPr>
          <w:rFonts w:ascii="Times New Roman" w:hAnsi="Times New Roman"/>
          <w:b/>
          <w:bCs/>
          <w:iCs/>
          <w:sz w:val="24"/>
          <w:szCs w:val="20"/>
        </w:rPr>
      </w:pPr>
    </w:p>
    <w:p w14:paraId="2D87B866" w14:textId="77777777" w:rsidR="00A24325" w:rsidRPr="00C001AC" w:rsidRDefault="00A24325" w:rsidP="00A24325">
      <w:pPr>
        <w:spacing w:line="276" w:lineRule="auto"/>
        <w:ind w:left="540"/>
        <w:jc w:val="center"/>
        <w:rPr>
          <w:rFonts w:ascii="Times New Roman" w:hAnsi="Times New Roman"/>
          <w:b/>
          <w:bCs/>
          <w:iCs/>
          <w:sz w:val="24"/>
          <w:szCs w:val="20"/>
        </w:rPr>
      </w:pPr>
      <w:r w:rsidRPr="00C001AC">
        <w:rPr>
          <w:rFonts w:ascii="Times New Roman" w:hAnsi="Times New Roman"/>
          <w:b/>
          <w:bCs/>
          <w:iCs/>
          <w:sz w:val="24"/>
          <w:szCs w:val="20"/>
        </w:rPr>
        <w:t xml:space="preserve">(Exchange Rate Effective as of </w:t>
      </w:r>
      <w:r w:rsidRPr="000310F5">
        <w:rPr>
          <w:rFonts w:ascii="Times New Roman" w:hAnsi="Times New Roman"/>
          <w:b/>
          <w:bCs/>
          <w:iCs/>
          <w:sz w:val="24"/>
          <w:szCs w:val="20"/>
        </w:rPr>
        <w:t>January</w:t>
      </w:r>
      <w:r w:rsidR="00161120" w:rsidRPr="000310F5">
        <w:rPr>
          <w:rFonts w:ascii="Times New Roman" w:hAnsi="Times New Roman"/>
          <w:b/>
          <w:bCs/>
          <w:iCs/>
          <w:sz w:val="24"/>
          <w:szCs w:val="20"/>
        </w:rPr>
        <w:t xml:space="preserve"> 1</w:t>
      </w:r>
      <w:r w:rsidRPr="000310F5">
        <w:rPr>
          <w:rFonts w:ascii="Times New Roman" w:hAnsi="Times New Roman"/>
          <w:b/>
          <w:bCs/>
          <w:iCs/>
          <w:sz w:val="24"/>
          <w:szCs w:val="20"/>
        </w:rPr>
        <w:t>, 201</w:t>
      </w:r>
      <w:r w:rsidR="00161120" w:rsidRPr="000310F5">
        <w:rPr>
          <w:rFonts w:ascii="Times New Roman" w:hAnsi="Times New Roman"/>
          <w:b/>
          <w:bCs/>
          <w:iCs/>
          <w:sz w:val="24"/>
          <w:szCs w:val="20"/>
        </w:rPr>
        <w:t>9</w:t>
      </w:r>
      <w:r w:rsidRPr="000310F5">
        <w:rPr>
          <w:rFonts w:ascii="Times New Roman" w:hAnsi="Times New Roman"/>
          <w:b/>
          <w:bCs/>
          <w:iCs/>
          <w:sz w:val="24"/>
          <w:szCs w:val="20"/>
        </w:rPr>
        <w:t>)</w:t>
      </w:r>
    </w:p>
    <w:p w14:paraId="4AB9E324" w14:textId="77777777" w:rsidR="00A24325" w:rsidRPr="00C001AC" w:rsidRDefault="00A24325" w:rsidP="00A24325">
      <w:pPr>
        <w:spacing w:line="276" w:lineRule="auto"/>
        <w:ind w:left="540"/>
        <w:jc w:val="center"/>
        <w:rPr>
          <w:rFonts w:ascii="Times New Roman" w:hAnsi="Times New Roman"/>
          <w:b/>
          <w:bCs/>
          <w:iCs/>
          <w:sz w:val="24"/>
          <w:szCs w:val="20"/>
        </w:rPr>
      </w:pPr>
    </w:p>
    <w:p w14:paraId="584BBDDC" w14:textId="77777777" w:rsidR="00A24325" w:rsidRPr="00C001AC" w:rsidRDefault="00A24325" w:rsidP="00A24325">
      <w:pPr>
        <w:spacing w:line="276" w:lineRule="auto"/>
        <w:ind w:left="540"/>
        <w:jc w:val="center"/>
        <w:rPr>
          <w:rFonts w:ascii="Times New Roman" w:hAnsi="Times New Roman"/>
          <w:b/>
          <w:bCs/>
          <w:iCs/>
          <w:sz w:val="24"/>
          <w:szCs w:val="20"/>
        </w:rPr>
      </w:pPr>
      <w:r w:rsidRPr="00C001AC">
        <w:rPr>
          <w:rFonts w:ascii="Times New Roman" w:hAnsi="Times New Roman"/>
          <w:b/>
          <w:bCs/>
          <w:iCs/>
          <w:sz w:val="24"/>
          <w:szCs w:val="20"/>
        </w:rPr>
        <w:t xml:space="preserve">Currency Unit = </w:t>
      </w:r>
      <w:bookmarkStart w:id="1" w:name="curuni_fld"/>
      <w:bookmarkEnd w:id="1"/>
      <w:r w:rsidRPr="00C001AC">
        <w:rPr>
          <w:rFonts w:ascii="Times New Roman" w:hAnsi="Times New Roman"/>
          <w:b/>
          <w:bCs/>
          <w:iCs/>
          <w:sz w:val="24"/>
          <w:szCs w:val="20"/>
        </w:rPr>
        <w:t>(Kips)</w:t>
      </w:r>
    </w:p>
    <w:p w14:paraId="6CBF7C55" w14:textId="77777777" w:rsidR="00A24325" w:rsidRPr="00C001AC" w:rsidRDefault="00A24325" w:rsidP="00A24325">
      <w:pPr>
        <w:spacing w:line="276" w:lineRule="auto"/>
        <w:ind w:left="540"/>
        <w:jc w:val="center"/>
        <w:rPr>
          <w:rFonts w:ascii="Times New Roman" w:hAnsi="Times New Roman"/>
          <w:b/>
          <w:bCs/>
          <w:iCs/>
          <w:sz w:val="24"/>
          <w:szCs w:val="20"/>
        </w:rPr>
      </w:pPr>
      <w:bookmarkStart w:id="2" w:name="curabbr_fld"/>
      <w:bookmarkEnd w:id="2"/>
      <w:r w:rsidRPr="00C001AC">
        <w:rPr>
          <w:rFonts w:ascii="Times New Roman" w:hAnsi="Times New Roman"/>
          <w:b/>
          <w:bCs/>
          <w:iCs/>
          <w:sz w:val="24"/>
          <w:szCs w:val="20"/>
        </w:rPr>
        <w:t xml:space="preserve">US$1.00 = </w:t>
      </w:r>
      <w:proofErr w:type="spellStart"/>
      <w:r w:rsidRPr="00C001AC">
        <w:rPr>
          <w:rFonts w:ascii="Times New Roman" w:hAnsi="Times New Roman"/>
          <w:b/>
          <w:bCs/>
          <w:iCs/>
          <w:sz w:val="24"/>
          <w:szCs w:val="20"/>
        </w:rPr>
        <w:t>Rp</w:t>
      </w:r>
      <w:proofErr w:type="spellEnd"/>
      <w:r w:rsidRPr="00C001AC">
        <w:rPr>
          <w:rFonts w:ascii="Times New Roman" w:hAnsi="Times New Roman"/>
          <w:b/>
          <w:bCs/>
          <w:iCs/>
          <w:sz w:val="24"/>
          <w:szCs w:val="20"/>
        </w:rPr>
        <w:t xml:space="preserve"> 8,</w:t>
      </w:r>
      <w:r w:rsidR="00161120">
        <w:rPr>
          <w:rFonts w:ascii="Times New Roman" w:hAnsi="Times New Roman"/>
          <w:b/>
          <w:bCs/>
          <w:iCs/>
          <w:sz w:val="24"/>
          <w:szCs w:val="20"/>
        </w:rPr>
        <w:t>53</w:t>
      </w:r>
      <w:r w:rsidRPr="00C001AC">
        <w:rPr>
          <w:rFonts w:ascii="Times New Roman" w:hAnsi="Times New Roman"/>
          <w:b/>
          <w:bCs/>
          <w:iCs/>
          <w:sz w:val="24"/>
          <w:szCs w:val="20"/>
        </w:rPr>
        <w:t>0</w:t>
      </w:r>
    </w:p>
    <w:p w14:paraId="0911B9CD" w14:textId="77777777" w:rsidR="00A24325" w:rsidRPr="00C001AC" w:rsidRDefault="00A24325" w:rsidP="00A24325">
      <w:pPr>
        <w:spacing w:line="276" w:lineRule="auto"/>
        <w:ind w:left="540"/>
        <w:jc w:val="center"/>
        <w:rPr>
          <w:rFonts w:ascii="Times New Roman" w:hAnsi="Times New Roman"/>
          <w:b/>
          <w:bCs/>
          <w:iCs/>
          <w:sz w:val="24"/>
          <w:szCs w:val="20"/>
        </w:rPr>
      </w:pPr>
    </w:p>
    <w:p w14:paraId="081196C3" w14:textId="77777777" w:rsidR="00A24325" w:rsidRPr="00C001AC" w:rsidRDefault="00A24325" w:rsidP="00A24325">
      <w:pPr>
        <w:spacing w:line="276" w:lineRule="auto"/>
        <w:ind w:left="540"/>
        <w:jc w:val="center"/>
        <w:rPr>
          <w:rFonts w:ascii="Times New Roman" w:hAnsi="Times New Roman"/>
          <w:b/>
          <w:bCs/>
          <w:iCs/>
          <w:sz w:val="24"/>
          <w:szCs w:val="20"/>
        </w:rPr>
      </w:pPr>
      <w:r w:rsidRPr="00C001AC">
        <w:rPr>
          <w:rFonts w:ascii="Times New Roman" w:hAnsi="Times New Roman"/>
          <w:b/>
          <w:bCs/>
          <w:iCs/>
          <w:sz w:val="24"/>
          <w:szCs w:val="20"/>
        </w:rPr>
        <w:t>FISCAL YEAR</w:t>
      </w:r>
    </w:p>
    <w:p w14:paraId="25D16D8A" w14:textId="00D00078" w:rsidR="002D672A" w:rsidRDefault="002D672A" w:rsidP="00A24325">
      <w:pPr>
        <w:spacing w:line="276" w:lineRule="auto"/>
        <w:ind w:left="540"/>
        <w:jc w:val="center"/>
        <w:rPr>
          <w:rFonts w:ascii="Times New Roman" w:hAnsi="Times New Roman"/>
          <w:b/>
          <w:bCs/>
          <w:iCs/>
          <w:sz w:val="24"/>
          <w:szCs w:val="20"/>
        </w:rPr>
      </w:pPr>
      <w:r>
        <w:rPr>
          <w:rFonts w:ascii="Times New Roman" w:hAnsi="Times New Roman"/>
          <w:b/>
          <w:bCs/>
          <w:iCs/>
          <w:sz w:val="24"/>
          <w:szCs w:val="20"/>
        </w:rPr>
        <w:t>I October - 30 September (until 2015/2016)</w:t>
      </w:r>
    </w:p>
    <w:p w14:paraId="6E641189" w14:textId="77777777" w:rsidR="00A24325" w:rsidRDefault="00A24325" w:rsidP="00A24325">
      <w:pPr>
        <w:spacing w:line="276" w:lineRule="auto"/>
        <w:ind w:left="540"/>
        <w:jc w:val="center"/>
        <w:rPr>
          <w:rFonts w:ascii="Times New Roman" w:hAnsi="Times New Roman"/>
          <w:b/>
          <w:bCs/>
          <w:iCs/>
          <w:sz w:val="24"/>
          <w:szCs w:val="20"/>
        </w:rPr>
      </w:pPr>
      <w:r w:rsidRPr="00C001AC">
        <w:rPr>
          <w:rFonts w:ascii="Times New Roman" w:hAnsi="Times New Roman"/>
          <w:b/>
          <w:bCs/>
          <w:iCs/>
          <w:sz w:val="24"/>
          <w:szCs w:val="20"/>
        </w:rPr>
        <w:t>January 1 – December 31 (since 2017)</w:t>
      </w:r>
    </w:p>
    <w:p w14:paraId="10019CC6" w14:textId="77777777" w:rsidR="00CE5ED9" w:rsidRDefault="00CE5ED9" w:rsidP="00A24325">
      <w:pPr>
        <w:spacing w:line="276" w:lineRule="auto"/>
        <w:ind w:left="540"/>
        <w:jc w:val="center"/>
        <w:rPr>
          <w:rFonts w:ascii="Times New Roman" w:hAnsi="Times New Roman"/>
          <w:b/>
          <w:bCs/>
          <w:iCs/>
          <w:sz w:val="24"/>
          <w:szCs w:val="20"/>
        </w:rPr>
      </w:pPr>
    </w:p>
    <w:p w14:paraId="28E80FE7" w14:textId="77777777" w:rsidR="00CE5ED9" w:rsidRDefault="00CE5ED9" w:rsidP="00A24325">
      <w:pPr>
        <w:spacing w:line="276" w:lineRule="auto"/>
        <w:ind w:left="540"/>
        <w:jc w:val="center"/>
        <w:rPr>
          <w:rFonts w:ascii="Times New Roman" w:hAnsi="Times New Roman"/>
          <w:b/>
          <w:bCs/>
          <w:iCs/>
          <w:sz w:val="24"/>
          <w:szCs w:val="20"/>
        </w:rPr>
      </w:pPr>
    </w:p>
    <w:p w14:paraId="69B6DEB1" w14:textId="77777777" w:rsidR="00CE5ED9" w:rsidRDefault="00CE5ED9" w:rsidP="00A24325">
      <w:pPr>
        <w:spacing w:line="276" w:lineRule="auto"/>
        <w:ind w:left="540"/>
        <w:jc w:val="center"/>
        <w:rPr>
          <w:rFonts w:ascii="Times New Roman" w:hAnsi="Times New Roman"/>
          <w:b/>
          <w:bCs/>
          <w:iCs/>
          <w:sz w:val="24"/>
          <w:szCs w:val="20"/>
        </w:rPr>
      </w:pPr>
    </w:p>
    <w:p w14:paraId="278A1AF9" w14:textId="77777777" w:rsidR="00CE5ED9" w:rsidRDefault="00CE5ED9" w:rsidP="00A24325">
      <w:pPr>
        <w:spacing w:line="276" w:lineRule="auto"/>
        <w:ind w:left="540"/>
        <w:jc w:val="center"/>
        <w:rPr>
          <w:rFonts w:ascii="Times New Roman" w:hAnsi="Times New Roman"/>
          <w:b/>
          <w:bCs/>
          <w:iCs/>
          <w:sz w:val="24"/>
          <w:szCs w:val="20"/>
        </w:rPr>
      </w:pPr>
    </w:p>
    <w:p w14:paraId="783980CB" w14:textId="77777777" w:rsidR="00CE5ED9" w:rsidRDefault="00CE5ED9" w:rsidP="00A24325">
      <w:pPr>
        <w:spacing w:line="276" w:lineRule="auto"/>
        <w:ind w:left="540"/>
        <w:jc w:val="center"/>
        <w:rPr>
          <w:rFonts w:ascii="Times New Roman" w:hAnsi="Times New Roman"/>
          <w:b/>
          <w:bCs/>
          <w:iCs/>
          <w:sz w:val="24"/>
          <w:szCs w:val="20"/>
        </w:rPr>
      </w:pPr>
    </w:p>
    <w:p w14:paraId="510EF0BE" w14:textId="77777777" w:rsidR="00CE5ED9" w:rsidRDefault="00CE5ED9" w:rsidP="00A24325">
      <w:pPr>
        <w:spacing w:line="276" w:lineRule="auto"/>
        <w:ind w:left="540"/>
        <w:jc w:val="center"/>
        <w:rPr>
          <w:rFonts w:ascii="Times New Roman" w:hAnsi="Times New Roman"/>
          <w:b/>
          <w:bCs/>
          <w:iCs/>
          <w:sz w:val="24"/>
          <w:szCs w:val="20"/>
        </w:rPr>
      </w:pPr>
    </w:p>
    <w:p w14:paraId="453692BF" w14:textId="77777777" w:rsidR="00CE5ED9" w:rsidRDefault="00CE5ED9" w:rsidP="00A24325">
      <w:pPr>
        <w:spacing w:line="276" w:lineRule="auto"/>
        <w:ind w:left="540"/>
        <w:jc w:val="center"/>
        <w:rPr>
          <w:rFonts w:ascii="Times New Roman" w:hAnsi="Times New Roman"/>
          <w:b/>
          <w:bCs/>
          <w:iCs/>
          <w:sz w:val="24"/>
          <w:szCs w:val="20"/>
        </w:rPr>
      </w:pPr>
    </w:p>
    <w:p w14:paraId="59A88E8A" w14:textId="77777777" w:rsidR="00CE5ED9" w:rsidRDefault="00CE5ED9" w:rsidP="00A24325">
      <w:pPr>
        <w:spacing w:line="276" w:lineRule="auto"/>
        <w:ind w:left="540"/>
        <w:jc w:val="center"/>
        <w:rPr>
          <w:rFonts w:ascii="Times New Roman" w:hAnsi="Times New Roman"/>
          <w:b/>
          <w:bCs/>
          <w:iCs/>
          <w:sz w:val="24"/>
          <w:szCs w:val="20"/>
        </w:rPr>
      </w:pPr>
    </w:p>
    <w:p w14:paraId="32712637" w14:textId="77777777" w:rsidR="00CE5ED9" w:rsidRDefault="00CE5ED9" w:rsidP="00A24325">
      <w:pPr>
        <w:spacing w:line="276" w:lineRule="auto"/>
        <w:ind w:left="540"/>
        <w:jc w:val="center"/>
        <w:rPr>
          <w:rFonts w:ascii="Times New Roman" w:hAnsi="Times New Roman"/>
          <w:b/>
          <w:bCs/>
          <w:iCs/>
          <w:sz w:val="24"/>
          <w:szCs w:val="20"/>
        </w:rPr>
      </w:pPr>
    </w:p>
    <w:p w14:paraId="39D3DCE7" w14:textId="77777777" w:rsidR="00CE5ED9" w:rsidRDefault="00CE5ED9" w:rsidP="00A24325">
      <w:pPr>
        <w:spacing w:line="276" w:lineRule="auto"/>
        <w:ind w:left="540"/>
        <w:jc w:val="center"/>
        <w:rPr>
          <w:rFonts w:ascii="Times New Roman" w:hAnsi="Times New Roman"/>
          <w:b/>
          <w:bCs/>
          <w:iCs/>
          <w:sz w:val="24"/>
          <w:szCs w:val="20"/>
        </w:rPr>
      </w:pPr>
    </w:p>
    <w:p w14:paraId="0FCE6A5B" w14:textId="77777777" w:rsidR="00CE5ED9" w:rsidRPr="00C001AC" w:rsidRDefault="00CE5ED9" w:rsidP="00CE5ED9">
      <w:pPr>
        <w:spacing w:before="40" w:line="276" w:lineRule="auto"/>
        <w:ind w:left="540"/>
        <w:rPr>
          <w:rFonts w:ascii="Times New Roman" w:hAnsi="Times New Roman"/>
        </w:rPr>
      </w:pPr>
    </w:p>
    <w:p w14:paraId="7CD2CFC4" w14:textId="77777777" w:rsidR="00A24325" w:rsidRPr="00C001AC" w:rsidRDefault="00CE5ED9" w:rsidP="00FF0429">
      <w:pPr>
        <w:spacing w:before="40" w:line="276" w:lineRule="auto"/>
        <w:ind w:left="0"/>
        <w:rPr>
          <w:rFonts w:ascii="Times New Roman" w:hAnsi="Times New Roman"/>
          <w:b/>
          <w:sz w:val="36"/>
          <w:szCs w:val="36"/>
        </w:rPr>
      </w:pPr>
      <w:r w:rsidRPr="00C001AC">
        <w:rPr>
          <w:rFonts w:ascii="Times New Roman" w:hAnsi="Times New Roman"/>
        </w:rPr>
        <w:t>This report was prepared by</w:t>
      </w:r>
      <w:r>
        <w:rPr>
          <w:rFonts w:ascii="Times New Roman" w:hAnsi="Times New Roman"/>
        </w:rPr>
        <w:t xml:space="preserve"> Sylvie Zaitra, Consultant; John Short, Consultant;</w:t>
      </w:r>
      <w:r w:rsidRPr="00C001AC">
        <w:rPr>
          <w:rFonts w:ascii="Times New Roman" w:hAnsi="Times New Roman"/>
        </w:rPr>
        <w:t xml:space="preserve"> </w:t>
      </w:r>
      <w:r>
        <w:rPr>
          <w:rFonts w:ascii="Times New Roman" w:hAnsi="Times New Roman"/>
        </w:rPr>
        <w:t xml:space="preserve">Viengmala Phomsengsavanh, Consultant; Maxwell Dapaah, Senior Governance Specialist (Financial Management); </w:t>
      </w:r>
      <w:r w:rsidRPr="00C001AC">
        <w:rPr>
          <w:rFonts w:ascii="Times New Roman" w:hAnsi="Times New Roman"/>
        </w:rPr>
        <w:t xml:space="preserve">Fanny Weiner, Senior </w:t>
      </w:r>
      <w:r>
        <w:rPr>
          <w:rFonts w:ascii="Times New Roman" w:hAnsi="Times New Roman"/>
        </w:rPr>
        <w:t xml:space="preserve">Governance </w:t>
      </w:r>
      <w:r w:rsidRPr="00C001AC">
        <w:rPr>
          <w:rFonts w:ascii="Times New Roman" w:hAnsi="Times New Roman"/>
        </w:rPr>
        <w:t>Specialist</w:t>
      </w:r>
      <w:r>
        <w:rPr>
          <w:rFonts w:ascii="Times New Roman" w:hAnsi="Times New Roman"/>
        </w:rPr>
        <w:t xml:space="preserve"> (Public Sector)</w:t>
      </w:r>
      <w:r w:rsidRPr="00C001AC">
        <w:rPr>
          <w:rFonts w:ascii="Times New Roman" w:hAnsi="Times New Roman"/>
        </w:rPr>
        <w:t>, and Saysanith Vongvien</w:t>
      </w:r>
      <w:r>
        <w:rPr>
          <w:rFonts w:ascii="Times New Roman" w:hAnsi="Times New Roman"/>
        </w:rPr>
        <w:t xml:space="preserve">gkham, Governance </w:t>
      </w:r>
      <w:r w:rsidRPr="00C001AC">
        <w:rPr>
          <w:rFonts w:ascii="Times New Roman" w:hAnsi="Times New Roman"/>
        </w:rPr>
        <w:t>Specialist</w:t>
      </w:r>
      <w:r>
        <w:rPr>
          <w:rFonts w:ascii="Times New Roman" w:hAnsi="Times New Roman"/>
        </w:rPr>
        <w:t xml:space="preserve"> (Public Sector)</w:t>
      </w:r>
      <w:r w:rsidRPr="00C001AC">
        <w:rPr>
          <w:rFonts w:ascii="Times New Roman" w:hAnsi="Times New Roman"/>
        </w:rPr>
        <w:t xml:space="preserve">. The work was funded by the European Union. </w:t>
      </w:r>
    </w:p>
    <w:p w14:paraId="3E798093" w14:textId="77777777" w:rsidR="00C66FE9" w:rsidRDefault="00C66FE9" w:rsidP="00A24325">
      <w:pPr>
        <w:spacing w:line="276" w:lineRule="auto"/>
        <w:ind w:left="540"/>
        <w:rPr>
          <w:rFonts w:ascii="Times New Roman" w:hAnsi="Times New Roman"/>
          <w:b/>
          <w:sz w:val="36"/>
          <w:szCs w:val="36"/>
        </w:rPr>
        <w:sectPr w:rsidR="00C66FE9" w:rsidSect="00016CCD">
          <w:footerReference w:type="default" r:id="rId11"/>
          <w:type w:val="continuous"/>
          <w:pgSz w:w="12240" w:h="15840" w:code="1"/>
          <w:pgMar w:top="1440" w:right="1440" w:bottom="1440" w:left="1440" w:header="720" w:footer="720" w:gutter="0"/>
          <w:cols w:space="720"/>
          <w:titlePg/>
          <w:docGrid w:linePitch="360"/>
        </w:sectPr>
      </w:pPr>
    </w:p>
    <w:sdt>
      <w:sdtPr>
        <w:rPr>
          <w:rFonts w:asciiTheme="minorHAnsi" w:eastAsia="Times New Roman" w:hAnsiTheme="minorHAnsi" w:cs="Times New Roman"/>
          <w:bCs w:val="0"/>
          <w:color w:val="auto"/>
          <w:sz w:val="22"/>
          <w:szCs w:val="24"/>
        </w:rPr>
        <w:id w:val="1218069861"/>
        <w:docPartObj>
          <w:docPartGallery w:val="Table of Contents"/>
          <w:docPartUnique/>
        </w:docPartObj>
      </w:sdtPr>
      <w:sdtEndPr/>
      <w:sdtContent>
        <w:p w14:paraId="5646504E" w14:textId="77777777" w:rsidR="008E618D" w:rsidRDefault="008E618D" w:rsidP="002F5ADE">
          <w:pPr>
            <w:pStyle w:val="TOCHeading"/>
            <w:spacing w:before="0" w:after="0" w:line="240" w:lineRule="auto"/>
            <w:ind w:left="0"/>
            <w:contextualSpacing w:val="0"/>
          </w:pPr>
          <w:r>
            <w:t>Table of Contents</w:t>
          </w:r>
        </w:p>
        <w:p w14:paraId="6283B66C" w14:textId="2B0B4E3A" w:rsidR="00A07C63" w:rsidRDefault="00310D44">
          <w:pPr>
            <w:pStyle w:val="TOC1"/>
            <w:rPr>
              <w:rFonts w:eastAsiaTheme="minorEastAsia" w:cstheme="minorBidi"/>
              <w:b w:val="0"/>
              <w:szCs w:val="22"/>
              <w:lang w:val="en-GB" w:eastAsia="en-GB"/>
            </w:rPr>
          </w:pPr>
          <w:r>
            <w:fldChar w:fldCharType="begin"/>
          </w:r>
          <w:r w:rsidR="008E618D">
            <w:instrText xml:space="preserve"> TOC \o "1-3" \h \z \u </w:instrText>
          </w:r>
          <w:r>
            <w:fldChar w:fldCharType="separate"/>
          </w:r>
          <w:hyperlink w:anchor="_Toc4148974" w:history="1">
            <w:r w:rsidR="00A07C63" w:rsidRPr="0074306D">
              <w:rPr>
                <w:rStyle w:val="Hyperlink"/>
                <w:rFonts w:ascii="Times New Roman" w:hAnsi="Times New Roman"/>
              </w:rPr>
              <w:t>Executive Summary</w:t>
            </w:r>
            <w:r w:rsidR="00A07C63">
              <w:rPr>
                <w:webHidden/>
              </w:rPr>
              <w:tab/>
            </w:r>
            <w:r w:rsidR="00A07C63">
              <w:rPr>
                <w:webHidden/>
              </w:rPr>
              <w:fldChar w:fldCharType="begin"/>
            </w:r>
            <w:r w:rsidR="00A07C63">
              <w:rPr>
                <w:webHidden/>
              </w:rPr>
              <w:instrText xml:space="preserve"> PAGEREF _Toc4148974 \h </w:instrText>
            </w:r>
            <w:r w:rsidR="00A07C63">
              <w:rPr>
                <w:webHidden/>
              </w:rPr>
            </w:r>
            <w:r w:rsidR="00A07C63">
              <w:rPr>
                <w:webHidden/>
              </w:rPr>
              <w:fldChar w:fldCharType="separate"/>
            </w:r>
            <w:r w:rsidR="00FD2AD9">
              <w:rPr>
                <w:webHidden/>
              </w:rPr>
              <w:t>7</w:t>
            </w:r>
            <w:r w:rsidR="00A07C63">
              <w:rPr>
                <w:webHidden/>
              </w:rPr>
              <w:fldChar w:fldCharType="end"/>
            </w:r>
          </w:hyperlink>
        </w:p>
        <w:p w14:paraId="71FA3143" w14:textId="421DC3AF" w:rsidR="00A07C63" w:rsidRDefault="008E0EF0">
          <w:pPr>
            <w:pStyle w:val="TOC1"/>
            <w:rPr>
              <w:rFonts w:eastAsiaTheme="minorEastAsia" w:cstheme="minorBidi"/>
              <w:b w:val="0"/>
              <w:szCs w:val="22"/>
              <w:lang w:val="en-GB" w:eastAsia="en-GB"/>
            </w:rPr>
          </w:pPr>
          <w:hyperlink w:anchor="_Toc4148975" w:history="1">
            <w:r w:rsidR="00A07C63" w:rsidRPr="0074306D">
              <w:rPr>
                <w:rStyle w:val="Hyperlink"/>
                <w:rFonts w:ascii="Times New Roman" w:hAnsi="Times New Roman"/>
              </w:rPr>
              <w:t>1. Introduction</w:t>
            </w:r>
            <w:r w:rsidR="00A07C63">
              <w:rPr>
                <w:webHidden/>
              </w:rPr>
              <w:tab/>
            </w:r>
            <w:r w:rsidR="00A07C63">
              <w:rPr>
                <w:webHidden/>
              </w:rPr>
              <w:fldChar w:fldCharType="begin"/>
            </w:r>
            <w:r w:rsidR="00A07C63">
              <w:rPr>
                <w:webHidden/>
              </w:rPr>
              <w:instrText xml:space="preserve"> PAGEREF _Toc4148975 \h </w:instrText>
            </w:r>
            <w:r w:rsidR="00A07C63">
              <w:rPr>
                <w:webHidden/>
              </w:rPr>
            </w:r>
            <w:r w:rsidR="00A07C63">
              <w:rPr>
                <w:webHidden/>
              </w:rPr>
              <w:fldChar w:fldCharType="separate"/>
            </w:r>
            <w:r w:rsidR="00FD2AD9">
              <w:rPr>
                <w:webHidden/>
              </w:rPr>
              <w:t>14</w:t>
            </w:r>
            <w:r w:rsidR="00A07C63">
              <w:rPr>
                <w:webHidden/>
              </w:rPr>
              <w:fldChar w:fldCharType="end"/>
            </w:r>
          </w:hyperlink>
        </w:p>
        <w:p w14:paraId="2640C3FD" w14:textId="19FF6EC1" w:rsidR="00A07C63" w:rsidRDefault="008E0EF0">
          <w:pPr>
            <w:pStyle w:val="TOC1"/>
            <w:rPr>
              <w:rFonts w:eastAsiaTheme="minorEastAsia" w:cstheme="minorBidi"/>
              <w:b w:val="0"/>
              <w:szCs w:val="22"/>
              <w:lang w:val="en-GB" w:eastAsia="en-GB"/>
            </w:rPr>
          </w:pPr>
          <w:hyperlink w:anchor="_Toc4148976" w:history="1">
            <w:r w:rsidR="00A07C63" w:rsidRPr="0074306D">
              <w:rPr>
                <w:rStyle w:val="Hyperlink"/>
                <w:rFonts w:ascii="Times New Roman" w:hAnsi="Times New Roman"/>
              </w:rPr>
              <w:t>2. Country Background Information</w:t>
            </w:r>
            <w:r w:rsidR="00A07C63">
              <w:rPr>
                <w:webHidden/>
              </w:rPr>
              <w:tab/>
            </w:r>
            <w:r w:rsidR="00A07C63">
              <w:rPr>
                <w:webHidden/>
              </w:rPr>
              <w:fldChar w:fldCharType="begin"/>
            </w:r>
            <w:r w:rsidR="00A07C63">
              <w:rPr>
                <w:webHidden/>
              </w:rPr>
              <w:instrText xml:space="preserve"> PAGEREF _Toc4148976 \h </w:instrText>
            </w:r>
            <w:r w:rsidR="00A07C63">
              <w:rPr>
                <w:webHidden/>
              </w:rPr>
            </w:r>
            <w:r w:rsidR="00A07C63">
              <w:rPr>
                <w:webHidden/>
              </w:rPr>
              <w:fldChar w:fldCharType="separate"/>
            </w:r>
            <w:r w:rsidR="00FD2AD9">
              <w:rPr>
                <w:webHidden/>
              </w:rPr>
              <w:t>23</w:t>
            </w:r>
            <w:r w:rsidR="00A07C63">
              <w:rPr>
                <w:webHidden/>
              </w:rPr>
              <w:fldChar w:fldCharType="end"/>
            </w:r>
          </w:hyperlink>
        </w:p>
        <w:p w14:paraId="1DAB8313" w14:textId="5BA7CBBF" w:rsidR="00A07C63" w:rsidRDefault="008E0EF0">
          <w:pPr>
            <w:pStyle w:val="TOC1"/>
            <w:rPr>
              <w:rFonts w:eastAsiaTheme="minorEastAsia" w:cstheme="minorBidi"/>
              <w:b w:val="0"/>
              <w:szCs w:val="22"/>
              <w:lang w:val="en-GB" w:eastAsia="en-GB"/>
            </w:rPr>
          </w:pPr>
          <w:hyperlink w:anchor="_Toc4148977" w:history="1">
            <w:r w:rsidR="00A07C63" w:rsidRPr="0074306D">
              <w:rPr>
                <w:rStyle w:val="Hyperlink"/>
                <w:rFonts w:ascii="Times New Roman" w:eastAsia="Calibri" w:hAnsi="Times New Roman"/>
              </w:rPr>
              <w:t>PILLAR ONE: Budget Reliability</w:t>
            </w:r>
            <w:r w:rsidR="00A07C63">
              <w:rPr>
                <w:webHidden/>
              </w:rPr>
              <w:tab/>
            </w:r>
            <w:r w:rsidR="00A07C63">
              <w:rPr>
                <w:webHidden/>
              </w:rPr>
              <w:fldChar w:fldCharType="begin"/>
            </w:r>
            <w:r w:rsidR="00A07C63">
              <w:rPr>
                <w:webHidden/>
              </w:rPr>
              <w:instrText xml:space="preserve"> PAGEREF _Toc4148977 \h </w:instrText>
            </w:r>
            <w:r w:rsidR="00A07C63">
              <w:rPr>
                <w:webHidden/>
              </w:rPr>
            </w:r>
            <w:r w:rsidR="00A07C63">
              <w:rPr>
                <w:webHidden/>
              </w:rPr>
              <w:fldChar w:fldCharType="separate"/>
            </w:r>
            <w:r w:rsidR="00FD2AD9">
              <w:rPr>
                <w:webHidden/>
              </w:rPr>
              <w:t>42</w:t>
            </w:r>
            <w:r w:rsidR="00A07C63">
              <w:rPr>
                <w:webHidden/>
              </w:rPr>
              <w:fldChar w:fldCharType="end"/>
            </w:r>
          </w:hyperlink>
        </w:p>
        <w:p w14:paraId="57D0324A" w14:textId="67D5A861" w:rsidR="00A07C63" w:rsidRDefault="008E0EF0">
          <w:pPr>
            <w:pStyle w:val="TOC3"/>
            <w:rPr>
              <w:rFonts w:eastAsiaTheme="minorEastAsia" w:cstheme="minorBidi"/>
              <w:noProof/>
              <w:szCs w:val="22"/>
              <w:lang w:val="en-GB" w:eastAsia="en-GB"/>
            </w:rPr>
          </w:pPr>
          <w:hyperlink w:anchor="_Toc4148978" w:history="1">
            <w:r w:rsidR="00A07C63" w:rsidRPr="0074306D">
              <w:rPr>
                <w:rStyle w:val="Hyperlink"/>
                <w:rFonts w:ascii="Times New Roman" w:eastAsia="Calibri" w:hAnsi="Times New Roman"/>
                <w:noProof/>
                <w:spacing w:val="-1"/>
              </w:rPr>
              <w:t>PI-1. Aggregate expenditure outturn</w:t>
            </w:r>
            <w:r w:rsidR="00A07C63">
              <w:rPr>
                <w:noProof/>
                <w:webHidden/>
              </w:rPr>
              <w:tab/>
            </w:r>
            <w:r w:rsidR="00A07C63">
              <w:rPr>
                <w:noProof/>
                <w:webHidden/>
              </w:rPr>
              <w:fldChar w:fldCharType="begin"/>
            </w:r>
            <w:r w:rsidR="00A07C63">
              <w:rPr>
                <w:noProof/>
                <w:webHidden/>
              </w:rPr>
              <w:instrText xml:space="preserve"> PAGEREF _Toc4148978 \h </w:instrText>
            </w:r>
            <w:r w:rsidR="00A07C63">
              <w:rPr>
                <w:noProof/>
                <w:webHidden/>
              </w:rPr>
            </w:r>
            <w:r w:rsidR="00A07C63">
              <w:rPr>
                <w:noProof/>
                <w:webHidden/>
              </w:rPr>
              <w:fldChar w:fldCharType="separate"/>
            </w:r>
            <w:r w:rsidR="00FD2AD9">
              <w:rPr>
                <w:noProof/>
                <w:webHidden/>
              </w:rPr>
              <w:t>42</w:t>
            </w:r>
            <w:r w:rsidR="00A07C63">
              <w:rPr>
                <w:noProof/>
                <w:webHidden/>
              </w:rPr>
              <w:fldChar w:fldCharType="end"/>
            </w:r>
          </w:hyperlink>
        </w:p>
        <w:p w14:paraId="6926182C" w14:textId="433F7618" w:rsidR="00A07C63" w:rsidRDefault="008E0EF0">
          <w:pPr>
            <w:pStyle w:val="TOC3"/>
            <w:rPr>
              <w:rFonts w:eastAsiaTheme="minorEastAsia" w:cstheme="minorBidi"/>
              <w:noProof/>
              <w:szCs w:val="22"/>
              <w:lang w:val="en-GB" w:eastAsia="en-GB"/>
            </w:rPr>
          </w:pPr>
          <w:hyperlink w:anchor="_Toc4148979" w:history="1">
            <w:r w:rsidR="00A07C63" w:rsidRPr="0074306D">
              <w:rPr>
                <w:rStyle w:val="Hyperlink"/>
                <w:rFonts w:ascii="Times New Roman" w:eastAsia="Calibri" w:hAnsi="Times New Roman"/>
                <w:noProof/>
                <w:spacing w:val="-1"/>
              </w:rPr>
              <w:t>PI-2. Expenditure composition outturn</w:t>
            </w:r>
            <w:r w:rsidR="00A07C63">
              <w:rPr>
                <w:noProof/>
                <w:webHidden/>
              </w:rPr>
              <w:tab/>
            </w:r>
            <w:r w:rsidR="00A07C63">
              <w:rPr>
                <w:noProof/>
                <w:webHidden/>
              </w:rPr>
              <w:fldChar w:fldCharType="begin"/>
            </w:r>
            <w:r w:rsidR="00A07C63">
              <w:rPr>
                <w:noProof/>
                <w:webHidden/>
              </w:rPr>
              <w:instrText xml:space="preserve"> PAGEREF _Toc4148979 \h </w:instrText>
            </w:r>
            <w:r w:rsidR="00A07C63">
              <w:rPr>
                <w:noProof/>
                <w:webHidden/>
              </w:rPr>
            </w:r>
            <w:r w:rsidR="00A07C63">
              <w:rPr>
                <w:noProof/>
                <w:webHidden/>
              </w:rPr>
              <w:fldChar w:fldCharType="separate"/>
            </w:r>
            <w:r w:rsidR="00FD2AD9">
              <w:rPr>
                <w:noProof/>
                <w:webHidden/>
              </w:rPr>
              <w:t>42</w:t>
            </w:r>
            <w:r w:rsidR="00A07C63">
              <w:rPr>
                <w:noProof/>
                <w:webHidden/>
              </w:rPr>
              <w:fldChar w:fldCharType="end"/>
            </w:r>
          </w:hyperlink>
        </w:p>
        <w:p w14:paraId="757A4146" w14:textId="289B7FAD" w:rsidR="00A07C63" w:rsidRDefault="008E0EF0">
          <w:pPr>
            <w:pStyle w:val="TOC1"/>
            <w:rPr>
              <w:rFonts w:eastAsiaTheme="minorEastAsia" w:cstheme="minorBidi"/>
              <w:b w:val="0"/>
              <w:szCs w:val="22"/>
              <w:lang w:val="en-GB" w:eastAsia="en-GB"/>
            </w:rPr>
          </w:pPr>
          <w:hyperlink w:anchor="_Toc4148980" w:history="1">
            <w:r w:rsidR="00A07C63" w:rsidRPr="0074306D">
              <w:rPr>
                <w:rStyle w:val="Hyperlink"/>
                <w:rFonts w:ascii="Times New Roman" w:hAnsi="Times New Roman"/>
              </w:rPr>
              <w:t>PILLAR TWO: Transparency of Public Finances</w:t>
            </w:r>
            <w:r w:rsidR="00A07C63">
              <w:rPr>
                <w:webHidden/>
              </w:rPr>
              <w:tab/>
            </w:r>
            <w:r w:rsidR="00A07C63">
              <w:rPr>
                <w:webHidden/>
              </w:rPr>
              <w:fldChar w:fldCharType="begin"/>
            </w:r>
            <w:r w:rsidR="00A07C63">
              <w:rPr>
                <w:webHidden/>
              </w:rPr>
              <w:instrText xml:space="preserve"> PAGEREF _Toc4148980 \h </w:instrText>
            </w:r>
            <w:r w:rsidR="00A07C63">
              <w:rPr>
                <w:webHidden/>
              </w:rPr>
            </w:r>
            <w:r w:rsidR="00A07C63">
              <w:rPr>
                <w:webHidden/>
              </w:rPr>
              <w:fldChar w:fldCharType="separate"/>
            </w:r>
            <w:r w:rsidR="00FD2AD9">
              <w:rPr>
                <w:webHidden/>
              </w:rPr>
              <w:t>47</w:t>
            </w:r>
            <w:r w:rsidR="00A07C63">
              <w:rPr>
                <w:webHidden/>
              </w:rPr>
              <w:fldChar w:fldCharType="end"/>
            </w:r>
          </w:hyperlink>
        </w:p>
        <w:p w14:paraId="6E270CD8" w14:textId="5525B82D" w:rsidR="00A07C63" w:rsidRDefault="008E0EF0">
          <w:pPr>
            <w:pStyle w:val="TOC3"/>
            <w:rPr>
              <w:rFonts w:eastAsiaTheme="minorEastAsia" w:cstheme="minorBidi"/>
              <w:noProof/>
              <w:szCs w:val="22"/>
              <w:lang w:val="en-GB" w:eastAsia="en-GB"/>
            </w:rPr>
          </w:pPr>
          <w:hyperlink w:anchor="_Toc4148981" w:history="1">
            <w:r w:rsidR="00A07C63" w:rsidRPr="0074306D">
              <w:rPr>
                <w:rStyle w:val="Hyperlink"/>
                <w:rFonts w:ascii="Times New Roman" w:eastAsia="Calibri" w:hAnsi="Times New Roman"/>
                <w:noProof/>
                <w:spacing w:val="-1"/>
              </w:rPr>
              <w:t>PI-4. Budget classification</w:t>
            </w:r>
            <w:r w:rsidR="00A07C63">
              <w:rPr>
                <w:noProof/>
                <w:webHidden/>
              </w:rPr>
              <w:tab/>
            </w:r>
            <w:r w:rsidR="00A07C63">
              <w:rPr>
                <w:noProof/>
                <w:webHidden/>
              </w:rPr>
              <w:fldChar w:fldCharType="begin"/>
            </w:r>
            <w:r w:rsidR="00A07C63">
              <w:rPr>
                <w:noProof/>
                <w:webHidden/>
              </w:rPr>
              <w:instrText xml:space="preserve"> PAGEREF _Toc4148981 \h </w:instrText>
            </w:r>
            <w:r w:rsidR="00A07C63">
              <w:rPr>
                <w:noProof/>
                <w:webHidden/>
              </w:rPr>
            </w:r>
            <w:r w:rsidR="00A07C63">
              <w:rPr>
                <w:noProof/>
                <w:webHidden/>
              </w:rPr>
              <w:fldChar w:fldCharType="separate"/>
            </w:r>
            <w:r w:rsidR="00FD2AD9">
              <w:rPr>
                <w:noProof/>
                <w:webHidden/>
              </w:rPr>
              <w:t>47</w:t>
            </w:r>
            <w:r w:rsidR="00A07C63">
              <w:rPr>
                <w:noProof/>
                <w:webHidden/>
              </w:rPr>
              <w:fldChar w:fldCharType="end"/>
            </w:r>
          </w:hyperlink>
        </w:p>
        <w:p w14:paraId="6B24A264" w14:textId="588DBD95" w:rsidR="00A07C63" w:rsidRDefault="008E0EF0">
          <w:pPr>
            <w:pStyle w:val="TOC3"/>
            <w:rPr>
              <w:rFonts w:eastAsiaTheme="minorEastAsia" w:cstheme="minorBidi"/>
              <w:noProof/>
              <w:szCs w:val="22"/>
              <w:lang w:val="en-GB" w:eastAsia="en-GB"/>
            </w:rPr>
          </w:pPr>
          <w:hyperlink w:anchor="_Toc4148982" w:history="1">
            <w:r w:rsidR="00A07C63" w:rsidRPr="0074306D">
              <w:rPr>
                <w:rStyle w:val="Hyperlink"/>
                <w:rFonts w:ascii="Times New Roman" w:eastAsia="Calibri" w:hAnsi="Times New Roman"/>
                <w:noProof/>
                <w:spacing w:val="-1"/>
              </w:rPr>
              <w:t>PI-5. Budget documentation</w:t>
            </w:r>
            <w:r w:rsidR="00A07C63">
              <w:rPr>
                <w:noProof/>
                <w:webHidden/>
              </w:rPr>
              <w:tab/>
            </w:r>
            <w:r w:rsidR="00A07C63">
              <w:rPr>
                <w:noProof/>
                <w:webHidden/>
              </w:rPr>
              <w:fldChar w:fldCharType="begin"/>
            </w:r>
            <w:r w:rsidR="00A07C63">
              <w:rPr>
                <w:noProof/>
                <w:webHidden/>
              </w:rPr>
              <w:instrText xml:space="preserve"> PAGEREF _Toc4148982 \h </w:instrText>
            </w:r>
            <w:r w:rsidR="00A07C63">
              <w:rPr>
                <w:noProof/>
                <w:webHidden/>
              </w:rPr>
            </w:r>
            <w:r w:rsidR="00A07C63">
              <w:rPr>
                <w:noProof/>
                <w:webHidden/>
              </w:rPr>
              <w:fldChar w:fldCharType="separate"/>
            </w:r>
            <w:r w:rsidR="00FD2AD9">
              <w:rPr>
                <w:noProof/>
                <w:webHidden/>
              </w:rPr>
              <w:t>49</w:t>
            </w:r>
            <w:r w:rsidR="00A07C63">
              <w:rPr>
                <w:noProof/>
                <w:webHidden/>
              </w:rPr>
              <w:fldChar w:fldCharType="end"/>
            </w:r>
          </w:hyperlink>
        </w:p>
        <w:p w14:paraId="7776D421" w14:textId="3FCBDFA0" w:rsidR="00A07C63" w:rsidRDefault="008E0EF0">
          <w:pPr>
            <w:pStyle w:val="TOC3"/>
            <w:rPr>
              <w:rFonts w:eastAsiaTheme="minorEastAsia" w:cstheme="minorBidi"/>
              <w:noProof/>
              <w:szCs w:val="22"/>
              <w:lang w:val="en-GB" w:eastAsia="en-GB"/>
            </w:rPr>
          </w:pPr>
          <w:hyperlink w:anchor="_Toc4148983" w:history="1">
            <w:r w:rsidR="00A07C63" w:rsidRPr="0074306D">
              <w:rPr>
                <w:rStyle w:val="Hyperlink"/>
                <w:rFonts w:ascii="Times New Roman" w:eastAsia="Calibri" w:hAnsi="Times New Roman"/>
                <w:noProof/>
                <w:spacing w:val="-1"/>
              </w:rPr>
              <w:t>PI-6. Central government operations outside financial reports</w:t>
            </w:r>
            <w:r w:rsidR="00A07C63">
              <w:rPr>
                <w:noProof/>
                <w:webHidden/>
              </w:rPr>
              <w:tab/>
            </w:r>
            <w:r w:rsidR="00A07C63">
              <w:rPr>
                <w:noProof/>
                <w:webHidden/>
              </w:rPr>
              <w:fldChar w:fldCharType="begin"/>
            </w:r>
            <w:r w:rsidR="00A07C63">
              <w:rPr>
                <w:noProof/>
                <w:webHidden/>
              </w:rPr>
              <w:instrText xml:space="preserve"> PAGEREF _Toc4148983 \h </w:instrText>
            </w:r>
            <w:r w:rsidR="00A07C63">
              <w:rPr>
                <w:noProof/>
                <w:webHidden/>
              </w:rPr>
            </w:r>
            <w:r w:rsidR="00A07C63">
              <w:rPr>
                <w:noProof/>
                <w:webHidden/>
              </w:rPr>
              <w:fldChar w:fldCharType="separate"/>
            </w:r>
            <w:r w:rsidR="00FD2AD9">
              <w:rPr>
                <w:noProof/>
                <w:webHidden/>
              </w:rPr>
              <w:t>51</w:t>
            </w:r>
            <w:r w:rsidR="00A07C63">
              <w:rPr>
                <w:noProof/>
                <w:webHidden/>
              </w:rPr>
              <w:fldChar w:fldCharType="end"/>
            </w:r>
          </w:hyperlink>
        </w:p>
        <w:p w14:paraId="24B4F54B" w14:textId="20D7CCEB" w:rsidR="00A07C63" w:rsidRDefault="008E0EF0">
          <w:pPr>
            <w:pStyle w:val="TOC3"/>
            <w:rPr>
              <w:rFonts w:eastAsiaTheme="minorEastAsia" w:cstheme="minorBidi"/>
              <w:noProof/>
              <w:szCs w:val="22"/>
              <w:lang w:val="en-GB" w:eastAsia="en-GB"/>
            </w:rPr>
          </w:pPr>
          <w:hyperlink w:anchor="_Toc4148984" w:history="1">
            <w:r w:rsidR="00A07C63" w:rsidRPr="0074306D">
              <w:rPr>
                <w:rStyle w:val="Hyperlink"/>
                <w:rFonts w:ascii="Times New Roman" w:eastAsia="Calibri" w:hAnsi="Times New Roman"/>
                <w:noProof/>
                <w:spacing w:val="-1"/>
              </w:rPr>
              <w:t>PI-7.  Transfers to subnational governments</w:t>
            </w:r>
            <w:r w:rsidR="00A07C63">
              <w:rPr>
                <w:noProof/>
                <w:webHidden/>
              </w:rPr>
              <w:tab/>
            </w:r>
            <w:r w:rsidR="00A07C63">
              <w:rPr>
                <w:noProof/>
                <w:webHidden/>
              </w:rPr>
              <w:fldChar w:fldCharType="begin"/>
            </w:r>
            <w:r w:rsidR="00A07C63">
              <w:rPr>
                <w:noProof/>
                <w:webHidden/>
              </w:rPr>
              <w:instrText xml:space="preserve"> PAGEREF _Toc4148984 \h </w:instrText>
            </w:r>
            <w:r w:rsidR="00A07C63">
              <w:rPr>
                <w:noProof/>
                <w:webHidden/>
              </w:rPr>
            </w:r>
            <w:r w:rsidR="00A07C63">
              <w:rPr>
                <w:noProof/>
                <w:webHidden/>
              </w:rPr>
              <w:fldChar w:fldCharType="separate"/>
            </w:r>
            <w:r w:rsidR="00FD2AD9">
              <w:rPr>
                <w:noProof/>
                <w:webHidden/>
              </w:rPr>
              <w:t>56</w:t>
            </w:r>
            <w:r w:rsidR="00A07C63">
              <w:rPr>
                <w:noProof/>
                <w:webHidden/>
              </w:rPr>
              <w:fldChar w:fldCharType="end"/>
            </w:r>
          </w:hyperlink>
        </w:p>
        <w:p w14:paraId="4D330919" w14:textId="2C215EC1" w:rsidR="00A07C63" w:rsidRDefault="008E0EF0">
          <w:pPr>
            <w:pStyle w:val="TOC3"/>
            <w:rPr>
              <w:rFonts w:eastAsiaTheme="minorEastAsia" w:cstheme="minorBidi"/>
              <w:noProof/>
              <w:szCs w:val="22"/>
              <w:lang w:val="en-GB" w:eastAsia="en-GB"/>
            </w:rPr>
          </w:pPr>
          <w:hyperlink w:anchor="_Toc4148985" w:history="1">
            <w:r w:rsidR="00A07C63" w:rsidRPr="0074306D">
              <w:rPr>
                <w:rStyle w:val="Hyperlink"/>
                <w:rFonts w:ascii="Times New Roman" w:eastAsia="Calibri" w:hAnsi="Times New Roman"/>
                <w:noProof/>
                <w:spacing w:val="-1"/>
              </w:rPr>
              <w:t>PI-8. Performance information for service delivery</w:t>
            </w:r>
            <w:r w:rsidR="00A07C63">
              <w:rPr>
                <w:noProof/>
                <w:webHidden/>
              </w:rPr>
              <w:tab/>
            </w:r>
            <w:r w:rsidR="00A07C63">
              <w:rPr>
                <w:noProof/>
                <w:webHidden/>
              </w:rPr>
              <w:fldChar w:fldCharType="begin"/>
            </w:r>
            <w:r w:rsidR="00A07C63">
              <w:rPr>
                <w:noProof/>
                <w:webHidden/>
              </w:rPr>
              <w:instrText xml:space="preserve"> PAGEREF _Toc4148985 \h </w:instrText>
            </w:r>
            <w:r w:rsidR="00A07C63">
              <w:rPr>
                <w:noProof/>
                <w:webHidden/>
              </w:rPr>
            </w:r>
            <w:r w:rsidR="00A07C63">
              <w:rPr>
                <w:noProof/>
                <w:webHidden/>
              </w:rPr>
              <w:fldChar w:fldCharType="separate"/>
            </w:r>
            <w:r w:rsidR="00FD2AD9">
              <w:rPr>
                <w:noProof/>
                <w:webHidden/>
              </w:rPr>
              <w:t>57</w:t>
            </w:r>
            <w:r w:rsidR="00A07C63">
              <w:rPr>
                <w:noProof/>
                <w:webHidden/>
              </w:rPr>
              <w:fldChar w:fldCharType="end"/>
            </w:r>
          </w:hyperlink>
        </w:p>
        <w:p w14:paraId="39F0EF88" w14:textId="054904E9" w:rsidR="00A07C63" w:rsidRDefault="008E0EF0">
          <w:pPr>
            <w:pStyle w:val="TOC3"/>
            <w:rPr>
              <w:rFonts w:eastAsiaTheme="minorEastAsia" w:cstheme="minorBidi"/>
              <w:noProof/>
              <w:szCs w:val="22"/>
              <w:lang w:val="en-GB" w:eastAsia="en-GB"/>
            </w:rPr>
          </w:pPr>
          <w:hyperlink w:anchor="_Toc4148986" w:history="1">
            <w:r w:rsidR="00A07C63" w:rsidRPr="0074306D">
              <w:rPr>
                <w:rStyle w:val="Hyperlink"/>
                <w:rFonts w:ascii="Times New Roman" w:eastAsia="Calibri" w:hAnsi="Times New Roman"/>
                <w:noProof/>
                <w:spacing w:val="-1"/>
              </w:rPr>
              <w:t>PI-9. Public access to fiscal information</w:t>
            </w:r>
            <w:r w:rsidR="00A07C63">
              <w:rPr>
                <w:noProof/>
                <w:webHidden/>
              </w:rPr>
              <w:tab/>
            </w:r>
            <w:r w:rsidR="00A07C63">
              <w:rPr>
                <w:noProof/>
                <w:webHidden/>
              </w:rPr>
              <w:fldChar w:fldCharType="begin"/>
            </w:r>
            <w:r w:rsidR="00A07C63">
              <w:rPr>
                <w:noProof/>
                <w:webHidden/>
              </w:rPr>
              <w:instrText xml:space="preserve"> PAGEREF _Toc4148986 \h </w:instrText>
            </w:r>
            <w:r w:rsidR="00A07C63">
              <w:rPr>
                <w:noProof/>
                <w:webHidden/>
              </w:rPr>
            </w:r>
            <w:r w:rsidR="00A07C63">
              <w:rPr>
                <w:noProof/>
                <w:webHidden/>
              </w:rPr>
              <w:fldChar w:fldCharType="separate"/>
            </w:r>
            <w:r w:rsidR="00FD2AD9">
              <w:rPr>
                <w:noProof/>
                <w:webHidden/>
              </w:rPr>
              <w:t>61</w:t>
            </w:r>
            <w:r w:rsidR="00A07C63">
              <w:rPr>
                <w:noProof/>
                <w:webHidden/>
              </w:rPr>
              <w:fldChar w:fldCharType="end"/>
            </w:r>
          </w:hyperlink>
        </w:p>
        <w:p w14:paraId="6B21FA03" w14:textId="5BE0E46D" w:rsidR="00A07C63" w:rsidRDefault="008E0EF0">
          <w:pPr>
            <w:pStyle w:val="TOC1"/>
            <w:rPr>
              <w:rFonts w:eastAsiaTheme="minorEastAsia" w:cstheme="minorBidi"/>
              <w:b w:val="0"/>
              <w:szCs w:val="22"/>
              <w:lang w:val="en-GB" w:eastAsia="en-GB"/>
            </w:rPr>
          </w:pPr>
          <w:hyperlink w:anchor="_Toc4148987" w:history="1">
            <w:r w:rsidR="00A07C63" w:rsidRPr="0074306D">
              <w:rPr>
                <w:rStyle w:val="Hyperlink"/>
                <w:rFonts w:ascii="Times New Roman" w:hAnsi="Times New Roman"/>
              </w:rPr>
              <w:t>PILLAR THREE: Management of Assets and Liabilities</w:t>
            </w:r>
            <w:r w:rsidR="00A07C63">
              <w:rPr>
                <w:webHidden/>
              </w:rPr>
              <w:tab/>
            </w:r>
            <w:r w:rsidR="00A07C63">
              <w:rPr>
                <w:webHidden/>
              </w:rPr>
              <w:fldChar w:fldCharType="begin"/>
            </w:r>
            <w:r w:rsidR="00A07C63">
              <w:rPr>
                <w:webHidden/>
              </w:rPr>
              <w:instrText xml:space="preserve"> PAGEREF _Toc4148987 \h </w:instrText>
            </w:r>
            <w:r w:rsidR="00A07C63">
              <w:rPr>
                <w:webHidden/>
              </w:rPr>
            </w:r>
            <w:r w:rsidR="00A07C63">
              <w:rPr>
                <w:webHidden/>
              </w:rPr>
              <w:fldChar w:fldCharType="separate"/>
            </w:r>
            <w:r w:rsidR="00FD2AD9">
              <w:rPr>
                <w:webHidden/>
              </w:rPr>
              <w:t>64</w:t>
            </w:r>
            <w:r w:rsidR="00A07C63">
              <w:rPr>
                <w:webHidden/>
              </w:rPr>
              <w:fldChar w:fldCharType="end"/>
            </w:r>
          </w:hyperlink>
        </w:p>
        <w:p w14:paraId="11813B7B" w14:textId="001585DF" w:rsidR="00A07C63" w:rsidRDefault="008E0EF0">
          <w:pPr>
            <w:pStyle w:val="TOC3"/>
            <w:rPr>
              <w:rFonts w:eastAsiaTheme="minorEastAsia" w:cstheme="minorBidi"/>
              <w:noProof/>
              <w:szCs w:val="22"/>
              <w:lang w:val="en-GB" w:eastAsia="en-GB"/>
            </w:rPr>
          </w:pPr>
          <w:hyperlink w:anchor="_Toc4148988" w:history="1">
            <w:r w:rsidR="00A07C63" w:rsidRPr="0074306D">
              <w:rPr>
                <w:rStyle w:val="Hyperlink"/>
                <w:rFonts w:ascii="Times New Roman" w:eastAsia="Calibri" w:hAnsi="Times New Roman"/>
                <w:noProof/>
              </w:rPr>
              <w:t>PI-10. Fiscal risk reporting</w:t>
            </w:r>
            <w:r w:rsidR="00A07C63">
              <w:rPr>
                <w:noProof/>
                <w:webHidden/>
              </w:rPr>
              <w:tab/>
            </w:r>
            <w:r w:rsidR="00A07C63">
              <w:rPr>
                <w:noProof/>
                <w:webHidden/>
              </w:rPr>
              <w:fldChar w:fldCharType="begin"/>
            </w:r>
            <w:r w:rsidR="00A07C63">
              <w:rPr>
                <w:noProof/>
                <w:webHidden/>
              </w:rPr>
              <w:instrText xml:space="preserve"> PAGEREF _Toc4148988 \h </w:instrText>
            </w:r>
            <w:r w:rsidR="00A07C63">
              <w:rPr>
                <w:noProof/>
                <w:webHidden/>
              </w:rPr>
            </w:r>
            <w:r w:rsidR="00A07C63">
              <w:rPr>
                <w:noProof/>
                <w:webHidden/>
              </w:rPr>
              <w:fldChar w:fldCharType="separate"/>
            </w:r>
            <w:r w:rsidR="00FD2AD9">
              <w:rPr>
                <w:noProof/>
                <w:webHidden/>
              </w:rPr>
              <w:t>64</w:t>
            </w:r>
            <w:r w:rsidR="00A07C63">
              <w:rPr>
                <w:noProof/>
                <w:webHidden/>
              </w:rPr>
              <w:fldChar w:fldCharType="end"/>
            </w:r>
          </w:hyperlink>
        </w:p>
        <w:p w14:paraId="25D390DD" w14:textId="2A08ADD7" w:rsidR="00A07C63" w:rsidRDefault="008E0EF0">
          <w:pPr>
            <w:pStyle w:val="TOC3"/>
            <w:rPr>
              <w:rFonts w:eastAsiaTheme="minorEastAsia" w:cstheme="minorBidi"/>
              <w:noProof/>
              <w:szCs w:val="22"/>
              <w:lang w:val="en-GB" w:eastAsia="en-GB"/>
            </w:rPr>
          </w:pPr>
          <w:hyperlink w:anchor="_Toc4148989" w:history="1">
            <w:r w:rsidR="00A07C63" w:rsidRPr="0074306D">
              <w:rPr>
                <w:rStyle w:val="Hyperlink"/>
                <w:rFonts w:ascii="Times New Roman" w:eastAsia="Calibri" w:hAnsi="Times New Roman"/>
                <w:noProof/>
                <w:spacing w:val="-1"/>
              </w:rPr>
              <w:t>PI-11. Public investment management</w:t>
            </w:r>
            <w:r w:rsidR="00A07C63">
              <w:rPr>
                <w:noProof/>
                <w:webHidden/>
              </w:rPr>
              <w:tab/>
            </w:r>
            <w:r w:rsidR="00A07C63">
              <w:rPr>
                <w:noProof/>
                <w:webHidden/>
              </w:rPr>
              <w:fldChar w:fldCharType="begin"/>
            </w:r>
            <w:r w:rsidR="00A07C63">
              <w:rPr>
                <w:noProof/>
                <w:webHidden/>
              </w:rPr>
              <w:instrText xml:space="preserve"> PAGEREF _Toc4148989 \h </w:instrText>
            </w:r>
            <w:r w:rsidR="00A07C63">
              <w:rPr>
                <w:noProof/>
                <w:webHidden/>
              </w:rPr>
            </w:r>
            <w:r w:rsidR="00A07C63">
              <w:rPr>
                <w:noProof/>
                <w:webHidden/>
              </w:rPr>
              <w:fldChar w:fldCharType="separate"/>
            </w:r>
            <w:r w:rsidR="00FD2AD9">
              <w:rPr>
                <w:noProof/>
                <w:webHidden/>
              </w:rPr>
              <w:t>66</w:t>
            </w:r>
            <w:r w:rsidR="00A07C63">
              <w:rPr>
                <w:noProof/>
                <w:webHidden/>
              </w:rPr>
              <w:fldChar w:fldCharType="end"/>
            </w:r>
          </w:hyperlink>
        </w:p>
        <w:p w14:paraId="40692415" w14:textId="0AFE44A4" w:rsidR="00A07C63" w:rsidRDefault="008E0EF0">
          <w:pPr>
            <w:pStyle w:val="TOC3"/>
            <w:rPr>
              <w:rFonts w:eastAsiaTheme="minorEastAsia" w:cstheme="minorBidi"/>
              <w:noProof/>
              <w:szCs w:val="22"/>
              <w:lang w:val="en-GB" w:eastAsia="en-GB"/>
            </w:rPr>
          </w:pPr>
          <w:hyperlink w:anchor="_Toc4148990" w:history="1">
            <w:r w:rsidR="00A07C63" w:rsidRPr="0074306D">
              <w:rPr>
                <w:rStyle w:val="Hyperlink"/>
                <w:rFonts w:ascii="Times New Roman" w:eastAsia="Calibri" w:hAnsi="Times New Roman"/>
                <w:noProof/>
                <w:spacing w:val="-1"/>
              </w:rPr>
              <w:t>PI-12. Public asset management</w:t>
            </w:r>
            <w:r w:rsidR="00A07C63">
              <w:rPr>
                <w:noProof/>
                <w:webHidden/>
              </w:rPr>
              <w:tab/>
            </w:r>
            <w:r w:rsidR="00A07C63">
              <w:rPr>
                <w:noProof/>
                <w:webHidden/>
              </w:rPr>
              <w:fldChar w:fldCharType="begin"/>
            </w:r>
            <w:r w:rsidR="00A07C63">
              <w:rPr>
                <w:noProof/>
                <w:webHidden/>
              </w:rPr>
              <w:instrText xml:space="preserve"> PAGEREF _Toc4148990 \h </w:instrText>
            </w:r>
            <w:r w:rsidR="00A07C63">
              <w:rPr>
                <w:noProof/>
                <w:webHidden/>
              </w:rPr>
            </w:r>
            <w:r w:rsidR="00A07C63">
              <w:rPr>
                <w:noProof/>
                <w:webHidden/>
              </w:rPr>
              <w:fldChar w:fldCharType="separate"/>
            </w:r>
            <w:r w:rsidR="00FD2AD9">
              <w:rPr>
                <w:noProof/>
                <w:webHidden/>
              </w:rPr>
              <w:t>71</w:t>
            </w:r>
            <w:r w:rsidR="00A07C63">
              <w:rPr>
                <w:noProof/>
                <w:webHidden/>
              </w:rPr>
              <w:fldChar w:fldCharType="end"/>
            </w:r>
          </w:hyperlink>
        </w:p>
        <w:p w14:paraId="1C9A2381" w14:textId="706AB23B" w:rsidR="00A07C63" w:rsidRDefault="008E0EF0">
          <w:pPr>
            <w:pStyle w:val="TOC3"/>
            <w:rPr>
              <w:rFonts w:eastAsiaTheme="minorEastAsia" w:cstheme="minorBidi"/>
              <w:noProof/>
              <w:szCs w:val="22"/>
              <w:lang w:val="en-GB" w:eastAsia="en-GB"/>
            </w:rPr>
          </w:pPr>
          <w:hyperlink w:anchor="_Toc4148991" w:history="1">
            <w:r w:rsidR="00A07C63" w:rsidRPr="0074306D">
              <w:rPr>
                <w:rStyle w:val="Hyperlink"/>
                <w:rFonts w:ascii="Times New Roman" w:eastAsia="Calibri" w:hAnsi="Times New Roman"/>
                <w:noProof/>
                <w:spacing w:val="-1"/>
              </w:rPr>
              <w:t>PI-13. Debt management</w:t>
            </w:r>
            <w:r w:rsidR="00A07C63">
              <w:rPr>
                <w:noProof/>
                <w:webHidden/>
              </w:rPr>
              <w:tab/>
            </w:r>
            <w:r w:rsidR="00A07C63">
              <w:rPr>
                <w:noProof/>
                <w:webHidden/>
              </w:rPr>
              <w:fldChar w:fldCharType="begin"/>
            </w:r>
            <w:r w:rsidR="00A07C63">
              <w:rPr>
                <w:noProof/>
                <w:webHidden/>
              </w:rPr>
              <w:instrText xml:space="preserve"> PAGEREF _Toc4148991 \h </w:instrText>
            </w:r>
            <w:r w:rsidR="00A07C63">
              <w:rPr>
                <w:noProof/>
                <w:webHidden/>
              </w:rPr>
            </w:r>
            <w:r w:rsidR="00A07C63">
              <w:rPr>
                <w:noProof/>
                <w:webHidden/>
              </w:rPr>
              <w:fldChar w:fldCharType="separate"/>
            </w:r>
            <w:r w:rsidR="00FD2AD9">
              <w:rPr>
                <w:noProof/>
                <w:webHidden/>
              </w:rPr>
              <w:t>74</w:t>
            </w:r>
            <w:r w:rsidR="00A07C63">
              <w:rPr>
                <w:noProof/>
                <w:webHidden/>
              </w:rPr>
              <w:fldChar w:fldCharType="end"/>
            </w:r>
          </w:hyperlink>
        </w:p>
        <w:p w14:paraId="6050D897" w14:textId="4FE6FEC2" w:rsidR="00A07C63" w:rsidRDefault="008E0EF0">
          <w:pPr>
            <w:pStyle w:val="TOC1"/>
            <w:rPr>
              <w:rFonts w:eastAsiaTheme="minorEastAsia" w:cstheme="minorBidi"/>
              <w:b w:val="0"/>
              <w:szCs w:val="22"/>
              <w:lang w:val="en-GB" w:eastAsia="en-GB"/>
            </w:rPr>
          </w:pPr>
          <w:hyperlink w:anchor="_Toc4148992" w:history="1">
            <w:r w:rsidR="00A07C63" w:rsidRPr="0074306D">
              <w:rPr>
                <w:rStyle w:val="Hyperlink"/>
                <w:rFonts w:ascii="Times New Roman" w:hAnsi="Times New Roman"/>
              </w:rPr>
              <w:t>PILLAR FOUR: Policy Based Fiscal Strategy and Budgeting</w:t>
            </w:r>
            <w:r w:rsidR="00A07C63">
              <w:rPr>
                <w:webHidden/>
              </w:rPr>
              <w:tab/>
            </w:r>
            <w:r w:rsidR="00A07C63">
              <w:rPr>
                <w:webHidden/>
              </w:rPr>
              <w:fldChar w:fldCharType="begin"/>
            </w:r>
            <w:r w:rsidR="00A07C63">
              <w:rPr>
                <w:webHidden/>
              </w:rPr>
              <w:instrText xml:space="preserve"> PAGEREF _Toc4148992 \h </w:instrText>
            </w:r>
            <w:r w:rsidR="00A07C63">
              <w:rPr>
                <w:webHidden/>
              </w:rPr>
            </w:r>
            <w:r w:rsidR="00A07C63">
              <w:rPr>
                <w:webHidden/>
              </w:rPr>
              <w:fldChar w:fldCharType="separate"/>
            </w:r>
            <w:r w:rsidR="00FD2AD9">
              <w:rPr>
                <w:webHidden/>
              </w:rPr>
              <w:t>78</w:t>
            </w:r>
            <w:r w:rsidR="00A07C63">
              <w:rPr>
                <w:webHidden/>
              </w:rPr>
              <w:fldChar w:fldCharType="end"/>
            </w:r>
          </w:hyperlink>
        </w:p>
        <w:p w14:paraId="1891F2B2" w14:textId="319738BE" w:rsidR="00A07C63" w:rsidRDefault="008E0EF0">
          <w:pPr>
            <w:pStyle w:val="TOC3"/>
            <w:rPr>
              <w:rFonts w:eastAsiaTheme="minorEastAsia" w:cstheme="minorBidi"/>
              <w:noProof/>
              <w:szCs w:val="22"/>
              <w:lang w:val="en-GB" w:eastAsia="en-GB"/>
            </w:rPr>
          </w:pPr>
          <w:hyperlink w:anchor="_Toc4148993" w:history="1">
            <w:r w:rsidR="00A07C63" w:rsidRPr="0074306D">
              <w:rPr>
                <w:rStyle w:val="Hyperlink"/>
                <w:rFonts w:ascii="Times New Roman" w:eastAsia="Calibri" w:hAnsi="Times New Roman"/>
                <w:noProof/>
                <w:spacing w:val="-1"/>
              </w:rPr>
              <w:t>PI-14. Macroeconomic and fiscal forecasting</w:t>
            </w:r>
            <w:r w:rsidR="00A07C63">
              <w:rPr>
                <w:noProof/>
                <w:webHidden/>
              </w:rPr>
              <w:tab/>
            </w:r>
            <w:r w:rsidR="00A07C63">
              <w:rPr>
                <w:noProof/>
                <w:webHidden/>
              </w:rPr>
              <w:fldChar w:fldCharType="begin"/>
            </w:r>
            <w:r w:rsidR="00A07C63">
              <w:rPr>
                <w:noProof/>
                <w:webHidden/>
              </w:rPr>
              <w:instrText xml:space="preserve"> PAGEREF _Toc4148993 \h </w:instrText>
            </w:r>
            <w:r w:rsidR="00A07C63">
              <w:rPr>
                <w:noProof/>
                <w:webHidden/>
              </w:rPr>
            </w:r>
            <w:r w:rsidR="00A07C63">
              <w:rPr>
                <w:noProof/>
                <w:webHidden/>
              </w:rPr>
              <w:fldChar w:fldCharType="separate"/>
            </w:r>
            <w:r w:rsidR="00FD2AD9">
              <w:rPr>
                <w:noProof/>
                <w:webHidden/>
              </w:rPr>
              <w:t>78</w:t>
            </w:r>
            <w:r w:rsidR="00A07C63">
              <w:rPr>
                <w:noProof/>
                <w:webHidden/>
              </w:rPr>
              <w:fldChar w:fldCharType="end"/>
            </w:r>
          </w:hyperlink>
        </w:p>
        <w:p w14:paraId="32186856" w14:textId="73A3B383" w:rsidR="00A07C63" w:rsidRDefault="008E0EF0">
          <w:pPr>
            <w:pStyle w:val="TOC3"/>
            <w:rPr>
              <w:rFonts w:eastAsiaTheme="minorEastAsia" w:cstheme="minorBidi"/>
              <w:noProof/>
              <w:szCs w:val="22"/>
              <w:lang w:val="en-GB" w:eastAsia="en-GB"/>
            </w:rPr>
          </w:pPr>
          <w:hyperlink w:anchor="_Toc4148994" w:history="1">
            <w:r w:rsidR="00A07C63" w:rsidRPr="0074306D">
              <w:rPr>
                <w:rStyle w:val="Hyperlink"/>
                <w:rFonts w:ascii="Times New Roman" w:eastAsia="Calibri" w:hAnsi="Times New Roman"/>
                <w:noProof/>
                <w:spacing w:val="-1"/>
              </w:rPr>
              <w:t>PI-15. Fiscal strategy</w:t>
            </w:r>
            <w:r w:rsidR="00A07C63">
              <w:rPr>
                <w:noProof/>
                <w:webHidden/>
              </w:rPr>
              <w:tab/>
            </w:r>
            <w:r w:rsidR="00A07C63">
              <w:rPr>
                <w:noProof/>
                <w:webHidden/>
              </w:rPr>
              <w:fldChar w:fldCharType="begin"/>
            </w:r>
            <w:r w:rsidR="00A07C63">
              <w:rPr>
                <w:noProof/>
                <w:webHidden/>
              </w:rPr>
              <w:instrText xml:space="preserve"> PAGEREF _Toc4148994 \h </w:instrText>
            </w:r>
            <w:r w:rsidR="00A07C63">
              <w:rPr>
                <w:noProof/>
                <w:webHidden/>
              </w:rPr>
            </w:r>
            <w:r w:rsidR="00A07C63">
              <w:rPr>
                <w:noProof/>
                <w:webHidden/>
              </w:rPr>
              <w:fldChar w:fldCharType="separate"/>
            </w:r>
            <w:r w:rsidR="00FD2AD9">
              <w:rPr>
                <w:noProof/>
                <w:webHidden/>
              </w:rPr>
              <w:t>81</w:t>
            </w:r>
            <w:r w:rsidR="00A07C63">
              <w:rPr>
                <w:noProof/>
                <w:webHidden/>
              </w:rPr>
              <w:fldChar w:fldCharType="end"/>
            </w:r>
          </w:hyperlink>
        </w:p>
        <w:p w14:paraId="6D6784A1" w14:textId="2FDD169B" w:rsidR="00A07C63" w:rsidRDefault="008E0EF0">
          <w:pPr>
            <w:pStyle w:val="TOC3"/>
            <w:rPr>
              <w:rFonts w:eastAsiaTheme="minorEastAsia" w:cstheme="minorBidi"/>
              <w:noProof/>
              <w:szCs w:val="22"/>
              <w:lang w:val="en-GB" w:eastAsia="en-GB"/>
            </w:rPr>
          </w:pPr>
          <w:hyperlink w:anchor="_Toc4148995" w:history="1">
            <w:r w:rsidR="00A07C63" w:rsidRPr="0074306D">
              <w:rPr>
                <w:rStyle w:val="Hyperlink"/>
                <w:rFonts w:ascii="Times New Roman" w:eastAsia="Calibri" w:hAnsi="Times New Roman"/>
                <w:noProof/>
                <w:spacing w:val="-1"/>
              </w:rPr>
              <w:t>PI-16. Medium-term perspective in expenditure budgeting</w:t>
            </w:r>
            <w:r w:rsidR="00A07C63">
              <w:rPr>
                <w:noProof/>
                <w:webHidden/>
              </w:rPr>
              <w:tab/>
            </w:r>
            <w:r w:rsidR="00A07C63">
              <w:rPr>
                <w:noProof/>
                <w:webHidden/>
              </w:rPr>
              <w:fldChar w:fldCharType="begin"/>
            </w:r>
            <w:r w:rsidR="00A07C63">
              <w:rPr>
                <w:noProof/>
                <w:webHidden/>
              </w:rPr>
              <w:instrText xml:space="preserve"> PAGEREF _Toc4148995 \h </w:instrText>
            </w:r>
            <w:r w:rsidR="00A07C63">
              <w:rPr>
                <w:noProof/>
                <w:webHidden/>
              </w:rPr>
            </w:r>
            <w:r w:rsidR="00A07C63">
              <w:rPr>
                <w:noProof/>
                <w:webHidden/>
              </w:rPr>
              <w:fldChar w:fldCharType="separate"/>
            </w:r>
            <w:r w:rsidR="00FD2AD9">
              <w:rPr>
                <w:noProof/>
                <w:webHidden/>
              </w:rPr>
              <w:t>83</w:t>
            </w:r>
            <w:r w:rsidR="00A07C63">
              <w:rPr>
                <w:noProof/>
                <w:webHidden/>
              </w:rPr>
              <w:fldChar w:fldCharType="end"/>
            </w:r>
          </w:hyperlink>
        </w:p>
        <w:p w14:paraId="37580914" w14:textId="5904FF4E" w:rsidR="00A07C63" w:rsidRDefault="008E0EF0">
          <w:pPr>
            <w:pStyle w:val="TOC3"/>
            <w:rPr>
              <w:rFonts w:eastAsiaTheme="minorEastAsia" w:cstheme="minorBidi"/>
              <w:noProof/>
              <w:szCs w:val="22"/>
              <w:lang w:val="en-GB" w:eastAsia="en-GB"/>
            </w:rPr>
          </w:pPr>
          <w:hyperlink w:anchor="_Toc4148996" w:history="1">
            <w:r w:rsidR="00A07C63" w:rsidRPr="0074306D">
              <w:rPr>
                <w:rStyle w:val="Hyperlink"/>
                <w:rFonts w:ascii="Times New Roman" w:eastAsia="Calibri" w:hAnsi="Times New Roman"/>
                <w:noProof/>
                <w:spacing w:val="-1"/>
              </w:rPr>
              <w:t>PI-17. Budget preparation process</w:t>
            </w:r>
            <w:r w:rsidR="00A07C63">
              <w:rPr>
                <w:noProof/>
                <w:webHidden/>
              </w:rPr>
              <w:tab/>
            </w:r>
            <w:r w:rsidR="00A07C63">
              <w:rPr>
                <w:noProof/>
                <w:webHidden/>
              </w:rPr>
              <w:fldChar w:fldCharType="begin"/>
            </w:r>
            <w:r w:rsidR="00A07C63">
              <w:rPr>
                <w:noProof/>
                <w:webHidden/>
              </w:rPr>
              <w:instrText xml:space="preserve"> PAGEREF _Toc4148996 \h </w:instrText>
            </w:r>
            <w:r w:rsidR="00A07C63">
              <w:rPr>
                <w:noProof/>
                <w:webHidden/>
              </w:rPr>
            </w:r>
            <w:r w:rsidR="00A07C63">
              <w:rPr>
                <w:noProof/>
                <w:webHidden/>
              </w:rPr>
              <w:fldChar w:fldCharType="separate"/>
            </w:r>
            <w:r w:rsidR="00FD2AD9">
              <w:rPr>
                <w:noProof/>
                <w:webHidden/>
              </w:rPr>
              <w:t>86</w:t>
            </w:r>
            <w:r w:rsidR="00A07C63">
              <w:rPr>
                <w:noProof/>
                <w:webHidden/>
              </w:rPr>
              <w:fldChar w:fldCharType="end"/>
            </w:r>
          </w:hyperlink>
        </w:p>
        <w:p w14:paraId="47611005" w14:textId="1F1D2B88" w:rsidR="00A07C63" w:rsidRDefault="008E0EF0">
          <w:pPr>
            <w:pStyle w:val="TOC3"/>
            <w:rPr>
              <w:rFonts w:eastAsiaTheme="minorEastAsia" w:cstheme="minorBidi"/>
              <w:noProof/>
              <w:szCs w:val="22"/>
              <w:lang w:val="en-GB" w:eastAsia="en-GB"/>
            </w:rPr>
          </w:pPr>
          <w:hyperlink w:anchor="_Toc4148997" w:history="1">
            <w:r w:rsidR="00A07C63" w:rsidRPr="0074306D">
              <w:rPr>
                <w:rStyle w:val="Hyperlink"/>
                <w:rFonts w:ascii="Times New Roman" w:eastAsia="Calibri" w:hAnsi="Times New Roman"/>
                <w:noProof/>
                <w:spacing w:val="-1"/>
              </w:rPr>
              <w:t>PI-18. Legislative scrutiny of budgets</w:t>
            </w:r>
            <w:r w:rsidR="00A07C63">
              <w:rPr>
                <w:noProof/>
                <w:webHidden/>
              </w:rPr>
              <w:tab/>
            </w:r>
            <w:r w:rsidR="00A07C63">
              <w:rPr>
                <w:noProof/>
                <w:webHidden/>
              </w:rPr>
              <w:fldChar w:fldCharType="begin"/>
            </w:r>
            <w:r w:rsidR="00A07C63">
              <w:rPr>
                <w:noProof/>
                <w:webHidden/>
              </w:rPr>
              <w:instrText xml:space="preserve"> PAGEREF _Toc4148997 \h </w:instrText>
            </w:r>
            <w:r w:rsidR="00A07C63">
              <w:rPr>
                <w:noProof/>
                <w:webHidden/>
              </w:rPr>
            </w:r>
            <w:r w:rsidR="00A07C63">
              <w:rPr>
                <w:noProof/>
                <w:webHidden/>
              </w:rPr>
              <w:fldChar w:fldCharType="separate"/>
            </w:r>
            <w:r w:rsidR="00FD2AD9">
              <w:rPr>
                <w:noProof/>
                <w:webHidden/>
              </w:rPr>
              <w:t>90</w:t>
            </w:r>
            <w:r w:rsidR="00A07C63">
              <w:rPr>
                <w:noProof/>
                <w:webHidden/>
              </w:rPr>
              <w:fldChar w:fldCharType="end"/>
            </w:r>
          </w:hyperlink>
        </w:p>
        <w:p w14:paraId="71B05BCA" w14:textId="7B8E02B9" w:rsidR="00A07C63" w:rsidRDefault="008E0EF0">
          <w:pPr>
            <w:pStyle w:val="TOC1"/>
            <w:rPr>
              <w:rFonts w:eastAsiaTheme="minorEastAsia" w:cstheme="minorBidi"/>
              <w:b w:val="0"/>
              <w:szCs w:val="22"/>
              <w:lang w:val="en-GB" w:eastAsia="en-GB"/>
            </w:rPr>
          </w:pPr>
          <w:hyperlink w:anchor="_Toc4148998" w:history="1">
            <w:r w:rsidR="00A07C63" w:rsidRPr="0074306D">
              <w:rPr>
                <w:rStyle w:val="Hyperlink"/>
                <w:rFonts w:ascii="Times New Roman" w:hAnsi="Times New Roman"/>
              </w:rPr>
              <w:t>PILLAR FIVE: Predictability and Control in Budget Execution</w:t>
            </w:r>
            <w:r w:rsidR="00A07C63">
              <w:rPr>
                <w:webHidden/>
              </w:rPr>
              <w:tab/>
            </w:r>
            <w:r w:rsidR="00A07C63">
              <w:rPr>
                <w:webHidden/>
              </w:rPr>
              <w:fldChar w:fldCharType="begin"/>
            </w:r>
            <w:r w:rsidR="00A07C63">
              <w:rPr>
                <w:webHidden/>
              </w:rPr>
              <w:instrText xml:space="preserve"> PAGEREF _Toc4148998 \h </w:instrText>
            </w:r>
            <w:r w:rsidR="00A07C63">
              <w:rPr>
                <w:webHidden/>
              </w:rPr>
            </w:r>
            <w:r w:rsidR="00A07C63">
              <w:rPr>
                <w:webHidden/>
              </w:rPr>
              <w:fldChar w:fldCharType="separate"/>
            </w:r>
            <w:r w:rsidR="00FD2AD9">
              <w:rPr>
                <w:webHidden/>
              </w:rPr>
              <w:t>94</w:t>
            </w:r>
            <w:r w:rsidR="00A07C63">
              <w:rPr>
                <w:webHidden/>
              </w:rPr>
              <w:fldChar w:fldCharType="end"/>
            </w:r>
          </w:hyperlink>
        </w:p>
        <w:p w14:paraId="15BE5BA2" w14:textId="3CC7B910" w:rsidR="00A07C63" w:rsidRDefault="008E0EF0">
          <w:pPr>
            <w:pStyle w:val="TOC3"/>
            <w:rPr>
              <w:rFonts w:eastAsiaTheme="minorEastAsia" w:cstheme="minorBidi"/>
              <w:noProof/>
              <w:szCs w:val="22"/>
              <w:lang w:val="en-GB" w:eastAsia="en-GB"/>
            </w:rPr>
          </w:pPr>
          <w:hyperlink w:anchor="_Toc4148999" w:history="1">
            <w:r w:rsidR="00A07C63" w:rsidRPr="0074306D">
              <w:rPr>
                <w:rStyle w:val="Hyperlink"/>
                <w:rFonts w:ascii="Times New Roman" w:eastAsia="Calibri" w:hAnsi="Times New Roman"/>
                <w:noProof/>
                <w:spacing w:val="-1"/>
              </w:rPr>
              <w:t>PI-19. Revenue administration</w:t>
            </w:r>
            <w:r w:rsidR="00A07C63">
              <w:rPr>
                <w:noProof/>
                <w:webHidden/>
              </w:rPr>
              <w:tab/>
            </w:r>
            <w:r w:rsidR="00A07C63">
              <w:rPr>
                <w:noProof/>
                <w:webHidden/>
              </w:rPr>
              <w:fldChar w:fldCharType="begin"/>
            </w:r>
            <w:r w:rsidR="00A07C63">
              <w:rPr>
                <w:noProof/>
                <w:webHidden/>
              </w:rPr>
              <w:instrText xml:space="preserve"> PAGEREF _Toc4148999 \h </w:instrText>
            </w:r>
            <w:r w:rsidR="00A07C63">
              <w:rPr>
                <w:noProof/>
                <w:webHidden/>
              </w:rPr>
            </w:r>
            <w:r w:rsidR="00A07C63">
              <w:rPr>
                <w:noProof/>
                <w:webHidden/>
              </w:rPr>
              <w:fldChar w:fldCharType="separate"/>
            </w:r>
            <w:r w:rsidR="00FD2AD9">
              <w:rPr>
                <w:noProof/>
                <w:webHidden/>
              </w:rPr>
              <w:t>94</w:t>
            </w:r>
            <w:r w:rsidR="00A07C63">
              <w:rPr>
                <w:noProof/>
                <w:webHidden/>
              </w:rPr>
              <w:fldChar w:fldCharType="end"/>
            </w:r>
          </w:hyperlink>
        </w:p>
        <w:p w14:paraId="42CE0415" w14:textId="72146357" w:rsidR="00A07C63" w:rsidRDefault="008E0EF0">
          <w:pPr>
            <w:pStyle w:val="TOC3"/>
            <w:rPr>
              <w:rFonts w:eastAsiaTheme="minorEastAsia" w:cstheme="minorBidi"/>
              <w:noProof/>
              <w:szCs w:val="22"/>
              <w:lang w:val="en-GB" w:eastAsia="en-GB"/>
            </w:rPr>
          </w:pPr>
          <w:hyperlink w:anchor="_Toc4149000" w:history="1">
            <w:r w:rsidR="00A07C63" w:rsidRPr="0074306D">
              <w:rPr>
                <w:rStyle w:val="Hyperlink"/>
                <w:rFonts w:ascii="Times New Roman" w:eastAsia="Calibri" w:hAnsi="Times New Roman"/>
                <w:noProof/>
                <w:spacing w:val="-1"/>
              </w:rPr>
              <w:t>PI-20. Accounting for revenue</w:t>
            </w:r>
            <w:r w:rsidR="00A07C63">
              <w:rPr>
                <w:noProof/>
                <w:webHidden/>
              </w:rPr>
              <w:tab/>
            </w:r>
            <w:r w:rsidR="00A07C63">
              <w:rPr>
                <w:noProof/>
                <w:webHidden/>
              </w:rPr>
              <w:fldChar w:fldCharType="begin"/>
            </w:r>
            <w:r w:rsidR="00A07C63">
              <w:rPr>
                <w:noProof/>
                <w:webHidden/>
              </w:rPr>
              <w:instrText xml:space="preserve"> PAGEREF _Toc4149000 \h </w:instrText>
            </w:r>
            <w:r w:rsidR="00A07C63">
              <w:rPr>
                <w:noProof/>
                <w:webHidden/>
              </w:rPr>
            </w:r>
            <w:r w:rsidR="00A07C63">
              <w:rPr>
                <w:noProof/>
                <w:webHidden/>
              </w:rPr>
              <w:fldChar w:fldCharType="separate"/>
            </w:r>
            <w:r w:rsidR="00FD2AD9">
              <w:rPr>
                <w:noProof/>
                <w:webHidden/>
              </w:rPr>
              <w:t>102</w:t>
            </w:r>
            <w:r w:rsidR="00A07C63">
              <w:rPr>
                <w:noProof/>
                <w:webHidden/>
              </w:rPr>
              <w:fldChar w:fldCharType="end"/>
            </w:r>
          </w:hyperlink>
        </w:p>
        <w:p w14:paraId="747F763D" w14:textId="6687A2CD" w:rsidR="00A07C63" w:rsidRDefault="008E0EF0">
          <w:pPr>
            <w:pStyle w:val="TOC3"/>
            <w:rPr>
              <w:rFonts w:eastAsiaTheme="minorEastAsia" w:cstheme="minorBidi"/>
              <w:noProof/>
              <w:szCs w:val="22"/>
              <w:lang w:val="en-GB" w:eastAsia="en-GB"/>
            </w:rPr>
          </w:pPr>
          <w:hyperlink w:anchor="_Toc4149001" w:history="1">
            <w:r w:rsidR="00A07C63" w:rsidRPr="0074306D">
              <w:rPr>
                <w:rStyle w:val="Hyperlink"/>
                <w:rFonts w:ascii="Times New Roman" w:eastAsia="Calibri" w:hAnsi="Times New Roman"/>
                <w:noProof/>
                <w:spacing w:val="-1"/>
              </w:rPr>
              <w:t>PI-21. Predictability of in-year resource allocation</w:t>
            </w:r>
            <w:r w:rsidR="00A07C63">
              <w:rPr>
                <w:noProof/>
                <w:webHidden/>
              </w:rPr>
              <w:tab/>
            </w:r>
            <w:r w:rsidR="00A07C63">
              <w:rPr>
                <w:noProof/>
                <w:webHidden/>
              </w:rPr>
              <w:fldChar w:fldCharType="begin"/>
            </w:r>
            <w:r w:rsidR="00A07C63">
              <w:rPr>
                <w:noProof/>
                <w:webHidden/>
              </w:rPr>
              <w:instrText xml:space="preserve"> PAGEREF _Toc4149001 \h </w:instrText>
            </w:r>
            <w:r w:rsidR="00A07C63">
              <w:rPr>
                <w:noProof/>
                <w:webHidden/>
              </w:rPr>
            </w:r>
            <w:r w:rsidR="00A07C63">
              <w:rPr>
                <w:noProof/>
                <w:webHidden/>
              </w:rPr>
              <w:fldChar w:fldCharType="separate"/>
            </w:r>
            <w:r w:rsidR="00FD2AD9">
              <w:rPr>
                <w:noProof/>
                <w:webHidden/>
              </w:rPr>
              <w:t>105</w:t>
            </w:r>
            <w:r w:rsidR="00A07C63">
              <w:rPr>
                <w:noProof/>
                <w:webHidden/>
              </w:rPr>
              <w:fldChar w:fldCharType="end"/>
            </w:r>
          </w:hyperlink>
        </w:p>
        <w:p w14:paraId="58E7EF7B" w14:textId="576B8E09" w:rsidR="00A07C63" w:rsidRDefault="008E0EF0">
          <w:pPr>
            <w:pStyle w:val="TOC3"/>
            <w:rPr>
              <w:rFonts w:eastAsiaTheme="minorEastAsia" w:cstheme="minorBidi"/>
              <w:noProof/>
              <w:szCs w:val="22"/>
              <w:lang w:val="en-GB" w:eastAsia="en-GB"/>
            </w:rPr>
          </w:pPr>
          <w:hyperlink w:anchor="_Toc4149002" w:history="1">
            <w:r w:rsidR="00A07C63" w:rsidRPr="0074306D">
              <w:rPr>
                <w:rStyle w:val="Hyperlink"/>
                <w:rFonts w:ascii="Times New Roman" w:eastAsia="Calibri" w:hAnsi="Times New Roman"/>
                <w:noProof/>
                <w:spacing w:val="-1"/>
              </w:rPr>
              <w:t>PI-22. Expenditure arrears</w:t>
            </w:r>
            <w:r w:rsidR="00A07C63">
              <w:rPr>
                <w:noProof/>
                <w:webHidden/>
              </w:rPr>
              <w:tab/>
            </w:r>
            <w:r w:rsidR="00A07C63">
              <w:rPr>
                <w:noProof/>
                <w:webHidden/>
              </w:rPr>
              <w:fldChar w:fldCharType="begin"/>
            </w:r>
            <w:r w:rsidR="00A07C63">
              <w:rPr>
                <w:noProof/>
                <w:webHidden/>
              </w:rPr>
              <w:instrText xml:space="preserve"> PAGEREF _Toc4149002 \h </w:instrText>
            </w:r>
            <w:r w:rsidR="00A07C63">
              <w:rPr>
                <w:noProof/>
                <w:webHidden/>
              </w:rPr>
            </w:r>
            <w:r w:rsidR="00A07C63">
              <w:rPr>
                <w:noProof/>
                <w:webHidden/>
              </w:rPr>
              <w:fldChar w:fldCharType="separate"/>
            </w:r>
            <w:r w:rsidR="00FD2AD9">
              <w:rPr>
                <w:noProof/>
                <w:webHidden/>
              </w:rPr>
              <w:t>110</w:t>
            </w:r>
            <w:r w:rsidR="00A07C63">
              <w:rPr>
                <w:noProof/>
                <w:webHidden/>
              </w:rPr>
              <w:fldChar w:fldCharType="end"/>
            </w:r>
          </w:hyperlink>
        </w:p>
        <w:p w14:paraId="54DB1C1F" w14:textId="14C22470" w:rsidR="00A07C63" w:rsidRDefault="008E0EF0">
          <w:pPr>
            <w:pStyle w:val="TOC3"/>
            <w:rPr>
              <w:rFonts w:eastAsiaTheme="minorEastAsia" w:cstheme="minorBidi"/>
              <w:noProof/>
              <w:szCs w:val="22"/>
              <w:lang w:val="en-GB" w:eastAsia="en-GB"/>
            </w:rPr>
          </w:pPr>
          <w:hyperlink w:anchor="_Toc4149003" w:history="1">
            <w:r w:rsidR="00A07C63" w:rsidRPr="0074306D">
              <w:rPr>
                <w:rStyle w:val="Hyperlink"/>
                <w:rFonts w:ascii="Times New Roman" w:eastAsia="Calibri" w:hAnsi="Times New Roman"/>
                <w:noProof/>
                <w:spacing w:val="-1"/>
              </w:rPr>
              <w:t>PI-23. Payroll controls</w:t>
            </w:r>
            <w:r w:rsidR="00A07C63">
              <w:rPr>
                <w:noProof/>
                <w:webHidden/>
              </w:rPr>
              <w:tab/>
            </w:r>
            <w:r w:rsidR="00A07C63">
              <w:rPr>
                <w:noProof/>
                <w:webHidden/>
              </w:rPr>
              <w:fldChar w:fldCharType="begin"/>
            </w:r>
            <w:r w:rsidR="00A07C63">
              <w:rPr>
                <w:noProof/>
                <w:webHidden/>
              </w:rPr>
              <w:instrText xml:space="preserve"> PAGEREF _Toc4149003 \h </w:instrText>
            </w:r>
            <w:r w:rsidR="00A07C63">
              <w:rPr>
                <w:noProof/>
                <w:webHidden/>
              </w:rPr>
            </w:r>
            <w:r w:rsidR="00A07C63">
              <w:rPr>
                <w:noProof/>
                <w:webHidden/>
              </w:rPr>
              <w:fldChar w:fldCharType="separate"/>
            </w:r>
            <w:r w:rsidR="00FD2AD9">
              <w:rPr>
                <w:noProof/>
                <w:webHidden/>
              </w:rPr>
              <w:t>112</w:t>
            </w:r>
            <w:r w:rsidR="00A07C63">
              <w:rPr>
                <w:noProof/>
                <w:webHidden/>
              </w:rPr>
              <w:fldChar w:fldCharType="end"/>
            </w:r>
          </w:hyperlink>
        </w:p>
        <w:p w14:paraId="74D2B450" w14:textId="045F61B1" w:rsidR="00A07C63" w:rsidRDefault="008E0EF0">
          <w:pPr>
            <w:pStyle w:val="TOC3"/>
            <w:rPr>
              <w:rFonts w:eastAsiaTheme="minorEastAsia" w:cstheme="minorBidi"/>
              <w:noProof/>
              <w:szCs w:val="22"/>
              <w:lang w:val="en-GB" w:eastAsia="en-GB"/>
            </w:rPr>
          </w:pPr>
          <w:hyperlink w:anchor="_Toc4149004" w:history="1">
            <w:r w:rsidR="00A07C63" w:rsidRPr="0074306D">
              <w:rPr>
                <w:rStyle w:val="Hyperlink"/>
                <w:rFonts w:ascii="Times New Roman" w:eastAsia="Calibri" w:hAnsi="Times New Roman"/>
                <w:noProof/>
                <w:spacing w:val="-1"/>
              </w:rPr>
              <w:t>PI-24. Procurement</w:t>
            </w:r>
            <w:r w:rsidR="00A07C63">
              <w:rPr>
                <w:noProof/>
                <w:webHidden/>
              </w:rPr>
              <w:tab/>
            </w:r>
            <w:r w:rsidR="00A07C63">
              <w:rPr>
                <w:noProof/>
                <w:webHidden/>
              </w:rPr>
              <w:fldChar w:fldCharType="begin"/>
            </w:r>
            <w:r w:rsidR="00A07C63">
              <w:rPr>
                <w:noProof/>
                <w:webHidden/>
              </w:rPr>
              <w:instrText xml:space="preserve"> PAGEREF _Toc4149004 \h </w:instrText>
            </w:r>
            <w:r w:rsidR="00A07C63">
              <w:rPr>
                <w:noProof/>
                <w:webHidden/>
              </w:rPr>
            </w:r>
            <w:r w:rsidR="00A07C63">
              <w:rPr>
                <w:noProof/>
                <w:webHidden/>
              </w:rPr>
              <w:fldChar w:fldCharType="separate"/>
            </w:r>
            <w:r w:rsidR="00FD2AD9">
              <w:rPr>
                <w:noProof/>
                <w:webHidden/>
              </w:rPr>
              <w:t>116</w:t>
            </w:r>
            <w:r w:rsidR="00A07C63">
              <w:rPr>
                <w:noProof/>
                <w:webHidden/>
              </w:rPr>
              <w:fldChar w:fldCharType="end"/>
            </w:r>
          </w:hyperlink>
        </w:p>
        <w:p w14:paraId="525C6636" w14:textId="148805BC" w:rsidR="00A07C63" w:rsidRDefault="008E0EF0">
          <w:pPr>
            <w:pStyle w:val="TOC3"/>
            <w:rPr>
              <w:rFonts w:eastAsiaTheme="minorEastAsia" w:cstheme="minorBidi"/>
              <w:noProof/>
              <w:szCs w:val="22"/>
              <w:lang w:val="en-GB" w:eastAsia="en-GB"/>
            </w:rPr>
          </w:pPr>
          <w:hyperlink w:anchor="_Toc4149005" w:history="1">
            <w:r w:rsidR="00A07C63" w:rsidRPr="0074306D">
              <w:rPr>
                <w:rStyle w:val="Hyperlink"/>
                <w:rFonts w:ascii="Times New Roman" w:eastAsia="Calibri" w:hAnsi="Times New Roman"/>
                <w:noProof/>
                <w:spacing w:val="-1"/>
              </w:rPr>
              <w:t>PI-25. Internal controls on non-salary expenditure</w:t>
            </w:r>
            <w:r w:rsidR="00A07C63">
              <w:rPr>
                <w:noProof/>
                <w:webHidden/>
              </w:rPr>
              <w:tab/>
            </w:r>
            <w:r w:rsidR="00A07C63">
              <w:rPr>
                <w:noProof/>
                <w:webHidden/>
              </w:rPr>
              <w:fldChar w:fldCharType="begin"/>
            </w:r>
            <w:r w:rsidR="00A07C63">
              <w:rPr>
                <w:noProof/>
                <w:webHidden/>
              </w:rPr>
              <w:instrText xml:space="preserve"> PAGEREF _Toc4149005 \h </w:instrText>
            </w:r>
            <w:r w:rsidR="00A07C63">
              <w:rPr>
                <w:noProof/>
                <w:webHidden/>
              </w:rPr>
            </w:r>
            <w:r w:rsidR="00A07C63">
              <w:rPr>
                <w:noProof/>
                <w:webHidden/>
              </w:rPr>
              <w:fldChar w:fldCharType="separate"/>
            </w:r>
            <w:r w:rsidR="00FD2AD9">
              <w:rPr>
                <w:noProof/>
                <w:webHidden/>
              </w:rPr>
              <w:t>121</w:t>
            </w:r>
            <w:r w:rsidR="00A07C63">
              <w:rPr>
                <w:noProof/>
                <w:webHidden/>
              </w:rPr>
              <w:fldChar w:fldCharType="end"/>
            </w:r>
          </w:hyperlink>
        </w:p>
        <w:p w14:paraId="3DC9F6EA" w14:textId="4A6FE359" w:rsidR="00A07C63" w:rsidRDefault="008E0EF0">
          <w:pPr>
            <w:pStyle w:val="TOC3"/>
            <w:rPr>
              <w:rFonts w:eastAsiaTheme="minorEastAsia" w:cstheme="minorBidi"/>
              <w:noProof/>
              <w:szCs w:val="22"/>
              <w:lang w:val="en-GB" w:eastAsia="en-GB"/>
            </w:rPr>
          </w:pPr>
          <w:hyperlink w:anchor="_Toc4149006" w:history="1">
            <w:r w:rsidR="00A07C63" w:rsidRPr="0074306D">
              <w:rPr>
                <w:rStyle w:val="Hyperlink"/>
                <w:rFonts w:ascii="Times New Roman" w:eastAsia="Calibri" w:hAnsi="Times New Roman"/>
                <w:noProof/>
                <w:spacing w:val="-1"/>
              </w:rPr>
              <w:t>PI-26. Internal audit</w:t>
            </w:r>
            <w:r w:rsidR="00A07C63">
              <w:rPr>
                <w:noProof/>
                <w:webHidden/>
              </w:rPr>
              <w:tab/>
            </w:r>
            <w:r w:rsidR="00A07C63">
              <w:rPr>
                <w:noProof/>
                <w:webHidden/>
              </w:rPr>
              <w:fldChar w:fldCharType="begin"/>
            </w:r>
            <w:r w:rsidR="00A07C63">
              <w:rPr>
                <w:noProof/>
                <w:webHidden/>
              </w:rPr>
              <w:instrText xml:space="preserve"> PAGEREF _Toc4149006 \h </w:instrText>
            </w:r>
            <w:r w:rsidR="00A07C63">
              <w:rPr>
                <w:noProof/>
                <w:webHidden/>
              </w:rPr>
            </w:r>
            <w:r w:rsidR="00A07C63">
              <w:rPr>
                <w:noProof/>
                <w:webHidden/>
              </w:rPr>
              <w:fldChar w:fldCharType="separate"/>
            </w:r>
            <w:r w:rsidR="00FD2AD9">
              <w:rPr>
                <w:noProof/>
                <w:webHidden/>
              </w:rPr>
              <w:t>124</w:t>
            </w:r>
            <w:r w:rsidR="00A07C63">
              <w:rPr>
                <w:noProof/>
                <w:webHidden/>
              </w:rPr>
              <w:fldChar w:fldCharType="end"/>
            </w:r>
          </w:hyperlink>
        </w:p>
        <w:p w14:paraId="08124BEC" w14:textId="0348A660" w:rsidR="00A07C63" w:rsidRDefault="008E0EF0">
          <w:pPr>
            <w:pStyle w:val="TOC1"/>
            <w:rPr>
              <w:rFonts w:eastAsiaTheme="minorEastAsia" w:cstheme="minorBidi"/>
              <w:b w:val="0"/>
              <w:szCs w:val="22"/>
              <w:lang w:val="en-GB" w:eastAsia="en-GB"/>
            </w:rPr>
          </w:pPr>
          <w:hyperlink w:anchor="_Toc4149007" w:history="1">
            <w:r w:rsidR="00A07C63" w:rsidRPr="0074306D">
              <w:rPr>
                <w:rStyle w:val="Hyperlink"/>
                <w:rFonts w:ascii="Times New Roman" w:hAnsi="Times New Roman"/>
              </w:rPr>
              <w:t>PILLAR SIX: Accounting and reporting</w:t>
            </w:r>
            <w:r w:rsidR="00A07C63">
              <w:rPr>
                <w:webHidden/>
              </w:rPr>
              <w:tab/>
            </w:r>
            <w:r w:rsidR="00A07C63">
              <w:rPr>
                <w:webHidden/>
              </w:rPr>
              <w:fldChar w:fldCharType="begin"/>
            </w:r>
            <w:r w:rsidR="00A07C63">
              <w:rPr>
                <w:webHidden/>
              </w:rPr>
              <w:instrText xml:space="preserve"> PAGEREF _Toc4149007 \h </w:instrText>
            </w:r>
            <w:r w:rsidR="00A07C63">
              <w:rPr>
                <w:webHidden/>
              </w:rPr>
            </w:r>
            <w:r w:rsidR="00A07C63">
              <w:rPr>
                <w:webHidden/>
              </w:rPr>
              <w:fldChar w:fldCharType="separate"/>
            </w:r>
            <w:r w:rsidR="00FD2AD9">
              <w:rPr>
                <w:webHidden/>
              </w:rPr>
              <w:t>128</w:t>
            </w:r>
            <w:r w:rsidR="00A07C63">
              <w:rPr>
                <w:webHidden/>
              </w:rPr>
              <w:fldChar w:fldCharType="end"/>
            </w:r>
          </w:hyperlink>
        </w:p>
        <w:p w14:paraId="40F75934" w14:textId="79E65741" w:rsidR="00A07C63" w:rsidRDefault="008E0EF0">
          <w:pPr>
            <w:pStyle w:val="TOC3"/>
            <w:rPr>
              <w:rFonts w:eastAsiaTheme="minorEastAsia" w:cstheme="minorBidi"/>
              <w:noProof/>
              <w:szCs w:val="22"/>
              <w:lang w:val="en-GB" w:eastAsia="en-GB"/>
            </w:rPr>
          </w:pPr>
          <w:hyperlink w:anchor="_Toc4149008" w:history="1">
            <w:r w:rsidR="00A07C63" w:rsidRPr="0074306D">
              <w:rPr>
                <w:rStyle w:val="Hyperlink"/>
                <w:rFonts w:ascii="Times New Roman" w:eastAsia="Calibri" w:hAnsi="Times New Roman"/>
                <w:noProof/>
                <w:spacing w:val="-1"/>
              </w:rPr>
              <w:t>PI-27. Financial data integrity</w:t>
            </w:r>
            <w:r w:rsidR="00A07C63">
              <w:rPr>
                <w:noProof/>
                <w:webHidden/>
              </w:rPr>
              <w:tab/>
            </w:r>
            <w:r w:rsidR="00A07C63">
              <w:rPr>
                <w:noProof/>
                <w:webHidden/>
              </w:rPr>
              <w:fldChar w:fldCharType="begin"/>
            </w:r>
            <w:r w:rsidR="00A07C63">
              <w:rPr>
                <w:noProof/>
                <w:webHidden/>
              </w:rPr>
              <w:instrText xml:space="preserve"> PAGEREF _Toc4149008 \h </w:instrText>
            </w:r>
            <w:r w:rsidR="00A07C63">
              <w:rPr>
                <w:noProof/>
                <w:webHidden/>
              </w:rPr>
            </w:r>
            <w:r w:rsidR="00A07C63">
              <w:rPr>
                <w:noProof/>
                <w:webHidden/>
              </w:rPr>
              <w:fldChar w:fldCharType="separate"/>
            </w:r>
            <w:r w:rsidR="00FD2AD9">
              <w:rPr>
                <w:noProof/>
                <w:webHidden/>
              </w:rPr>
              <w:t>128</w:t>
            </w:r>
            <w:r w:rsidR="00A07C63">
              <w:rPr>
                <w:noProof/>
                <w:webHidden/>
              </w:rPr>
              <w:fldChar w:fldCharType="end"/>
            </w:r>
          </w:hyperlink>
        </w:p>
        <w:p w14:paraId="6C25E9C4" w14:textId="395F659D" w:rsidR="00A07C63" w:rsidRDefault="008E0EF0">
          <w:pPr>
            <w:pStyle w:val="TOC3"/>
            <w:rPr>
              <w:rFonts w:eastAsiaTheme="minorEastAsia" w:cstheme="minorBidi"/>
              <w:noProof/>
              <w:szCs w:val="22"/>
              <w:lang w:val="en-GB" w:eastAsia="en-GB"/>
            </w:rPr>
          </w:pPr>
          <w:hyperlink w:anchor="_Toc4149009" w:history="1">
            <w:r w:rsidR="00A07C63" w:rsidRPr="0074306D">
              <w:rPr>
                <w:rStyle w:val="Hyperlink"/>
                <w:rFonts w:ascii="Times New Roman" w:eastAsia="Calibri" w:hAnsi="Times New Roman"/>
                <w:noProof/>
                <w:spacing w:val="-1"/>
              </w:rPr>
              <w:t>PI-28. In-year budget reports</w:t>
            </w:r>
            <w:r w:rsidR="00A07C63">
              <w:rPr>
                <w:noProof/>
                <w:webHidden/>
              </w:rPr>
              <w:tab/>
            </w:r>
            <w:r w:rsidR="00A07C63">
              <w:rPr>
                <w:noProof/>
                <w:webHidden/>
              </w:rPr>
              <w:fldChar w:fldCharType="begin"/>
            </w:r>
            <w:r w:rsidR="00A07C63">
              <w:rPr>
                <w:noProof/>
                <w:webHidden/>
              </w:rPr>
              <w:instrText xml:space="preserve"> PAGEREF _Toc4149009 \h </w:instrText>
            </w:r>
            <w:r w:rsidR="00A07C63">
              <w:rPr>
                <w:noProof/>
                <w:webHidden/>
              </w:rPr>
            </w:r>
            <w:r w:rsidR="00A07C63">
              <w:rPr>
                <w:noProof/>
                <w:webHidden/>
              </w:rPr>
              <w:fldChar w:fldCharType="separate"/>
            </w:r>
            <w:r w:rsidR="00FD2AD9">
              <w:rPr>
                <w:noProof/>
                <w:webHidden/>
              </w:rPr>
              <w:t>133</w:t>
            </w:r>
            <w:r w:rsidR="00A07C63">
              <w:rPr>
                <w:noProof/>
                <w:webHidden/>
              </w:rPr>
              <w:fldChar w:fldCharType="end"/>
            </w:r>
          </w:hyperlink>
        </w:p>
        <w:p w14:paraId="05860828" w14:textId="2C361FA1" w:rsidR="00A07C63" w:rsidRDefault="008E0EF0">
          <w:pPr>
            <w:pStyle w:val="TOC3"/>
            <w:rPr>
              <w:rFonts w:eastAsiaTheme="minorEastAsia" w:cstheme="minorBidi"/>
              <w:noProof/>
              <w:szCs w:val="22"/>
              <w:lang w:val="en-GB" w:eastAsia="en-GB"/>
            </w:rPr>
          </w:pPr>
          <w:hyperlink w:anchor="_Toc4149010" w:history="1">
            <w:r w:rsidR="00A07C63" w:rsidRPr="0074306D">
              <w:rPr>
                <w:rStyle w:val="Hyperlink"/>
                <w:rFonts w:ascii="Times New Roman" w:eastAsia="Calibri" w:hAnsi="Times New Roman"/>
                <w:noProof/>
                <w:spacing w:val="-1"/>
              </w:rPr>
              <w:t>PI-29. Annual financial reports</w:t>
            </w:r>
            <w:r w:rsidR="00A07C63">
              <w:rPr>
                <w:noProof/>
                <w:webHidden/>
              </w:rPr>
              <w:tab/>
            </w:r>
            <w:r w:rsidR="00A07C63">
              <w:rPr>
                <w:noProof/>
                <w:webHidden/>
              </w:rPr>
              <w:fldChar w:fldCharType="begin"/>
            </w:r>
            <w:r w:rsidR="00A07C63">
              <w:rPr>
                <w:noProof/>
                <w:webHidden/>
              </w:rPr>
              <w:instrText xml:space="preserve"> PAGEREF _Toc4149010 \h </w:instrText>
            </w:r>
            <w:r w:rsidR="00A07C63">
              <w:rPr>
                <w:noProof/>
                <w:webHidden/>
              </w:rPr>
            </w:r>
            <w:r w:rsidR="00A07C63">
              <w:rPr>
                <w:noProof/>
                <w:webHidden/>
              </w:rPr>
              <w:fldChar w:fldCharType="separate"/>
            </w:r>
            <w:r w:rsidR="00FD2AD9">
              <w:rPr>
                <w:noProof/>
                <w:webHidden/>
              </w:rPr>
              <w:t>135</w:t>
            </w:r>
            <w:r w:rsidR="00A07C63">
              <w:rPr>
                <w:noProof/>
                <w:webHidden/>
              </w:rPr>
              <w:fldChar w:fldCharType="end"/>
            </w:r>
          </w:hyperlink>
        </w:p>
        <w:p w14:paraId="01F39511" w14:textId="592DA424" w:rsidR="00A07C63" w:rsidRDefault="008E0EF0">
          <w:pPr>
            <w:pStyle w:val="TOC1"/>
            <w:rPr>
              <w:rFonts w:eastAsiaTheme="minorEastAsia" w:cstheme="minorBidi"/>
              <w:b w:val="0"/>
              <w:szCs w:val="22"/>
              <w:lang w:val="en-GB" w:eastAsia="en-GB"/>
            </w:rPr>
          </w:pPr>
          <w:hyperlink w:anchor="_Toc4149011" w:history="1">
            <w:r w:rsidR="00A07C63" w:rsidRPr="0074306D">
              <w:rPr>
                <w:rStyle w:val="Hyperlink"/>
                <w:rFonts w:ascii="Times New Roman" w:hAnsi="Times New Roman"/>
              </w:rPr>
              <w:t>PILLAR SEVEN: External Scrutiny and Audit</w:t>
            </w:r>
            <w:r w:rsidR="00A07C63">
              <w:rPr>
                <w:webHidden/>
              </w:rPr>
              <w:tab/>
            </w:r>
            <w:r w:rsidR="00A07C63">
              <w:rPr>
                <w:webHidden/>
              </w:rPr>
              <w:fldChar w:fldCharType="begin"/>
            </w:r>
            <w:r w:rsidR="00A07C63">
              <w:rPr>
                <w:webHidden/>
              </w:rPr>
              <w:instrText xml:space="preserve"> PAGEREF _Toc4149011 \h </w:instrText>
            </w:r>
            <w:r w:rsidR="00A07C63">
              <w:rPr>
                <w:webHidden/>
              </w:rPr>
            </w:r>
            <w:r w:rsidR="00A07C63">
              <w:rPr>
                <w:webHidden/>
              </w:rPr>
              <w:fldChar w:fldCharType="separate"/>
            </w:r>
            <w:r w:rsidR="00FD2AD9">
              <w:rPr>
                <w:webHidden/>
              </w:rPr>
              <w:t>139</w:t>
            </w:r>
            <w:r w:rsidR="00A07C63">
              <w:rPr>
                <w:webHidden/>
              </w:rPr>
              <w:fldChar w:fldCharType="end"/>
            </w:r>
          </w:hyperlink>
        </w:p>
        <w:p w14:paraId="78AA58EE" w14:textId="126746FB" w:rsidR="00A07C63" w:rsidRDefault="008E0EF0">
          <w:pPr>
            <w:pStyle w:val="TOC3"/>
            <w:rPr>
              <w:rFonts w:eastAsiaTheme="minorEastAsia" w:cstheme="minorBidi"/>
              <w:noProof/>
              <w:szCs w:val="22"/>
              <w:lang w:val="en-GB" w:eastAsia="en-GB"/>
            </w:rPr>
          </w:pPr>
          <w:hyperlink w:anchor="_Toc4149012" w:history="1">
            <w:r w:rsidR="00A07C63" w:rsidRPr="0074306D">
              <w:rPr>
                <w:rStyle w:val="Hyperlink"/>
                <w:rFonts w:ascii="Times New Roman" w:eastAsia="Calibri" w:hAnsi="Times New Roman"/>
                <w:noProof/>
                <w:spacing w:val="-1"/>
              </w:rPr>
              <w:t>PI-30. External audit</w:t>
            </w:r>
            <w:r w:rsidR="00A07C63">
              <w:rPr>
                <w:noProof/>
                <w:webHidden/>
              </w:rPr>
              <w:tab/>
            </w:r>
            <w:r w:rsidR="00A07C63">
              <w:rPr>
                <w:noProof/>
                <w:webHidden/>
              </w:rPr>
              <w:fldChar w:fldCharType="begin"/>
            </w:r>
            <w:r w:rsidR="00A07C63">
              <w:rPr>
                <w:noProof/>
                <w:webHidden/>
              </w:rPr>
              <w:instrText xml:space="preserve"> PAGEREF _Toc4149012 \h </w:instrText>
            </w:r>
            <w:r w:rsidR="00A07C63">
              <w:rPr>
                <w:noProof/>
                <w:webHidden/>
              </w:rPr>
            </w:r>
            <w:r w:rsidR="00A07C63">
              <w:rPr>
                <w:noProof/>
                <w:webHidden/>
              </w:rPr>
              <w:fldChar w:fldCharType="separate"/>
            </w:r>
            <w:r w:rsidR="00FD2AD9">
              <w:rPr>
                <w:noProof/>
                <w:webHidden/>
              </w:rPr>
              <w:t>139</w:t>
            </w:r>
            <w:r w:rsidR="00A07C63">
              <w:rPr>
                <w:noProof/>
                <w:webHidden/>
              </w:rPr>
              <w:fldChar w:fldCharType="end"/>
            </w:r>
          </w:hyperlink>
        </w:p>
        <w:p w14:paraId="3A22A5AA" w14:textId="601CD27E" w:rsidR="00A07C63" w:rsidRDefault="008E0EF0">
          <w:pPr>
            <w:pStyle w:val="TOC3"/>
            <w:rPr>
              <w:rFonts w:eastAsiaTheme="minorEastAsia" w:cstheme="minorBidi"/>
              <w:noProof/>
              <w:szCs w:val="22"/>
              <w:lang w:val="en-GB" w:eastAsia="en-GB"/>
            </w:rPr>
          </w:pPr>
          <w:hyperlink w:anchor="_Toc4149013" w:history="1">
            <w:r w:rsidR="00A07C63" w:rsidRPr="0074306D">
              <w:rPr>
                <w:rStyle w:val="Hyperlink"/>
                <w:rFonts w:ascii="Times New Roman" w:eastAsia="Calibri" w:hAnsi="Times New Roman"/>
                <w:noProof/>
                <w:spacing w:val="-1"/>
              </w:rPr>
              <w:t>PI-31. Legislative scrutiny of audit reports</w:t>
            </w:r>
            <w:r w:rsidR="00A07C63">
              <w:rPr>
                <w:noProof/>
                <w:webHidden/>
              </w:rPr>
              <w:tab/>
            </w:r>
            <w:r w:rsidR="00A07C63">
              <w:rPr>
                <w:noProof/>
                <w:webHidden/>
              </w:rPr>
              <w:fldChar w:fldCharType="begin"/>
            </w:r>
            <w:r w:rsidR="00A07C63">
              <w:rPr>
                <w:noProof/>
                <w:webHidden/>
              </w:rPr>
              <w:instrText xml:space="preserve"> PAGEREF _Toc4149013 \h </w:instrText>
            </w:r>
            <w:r w:rsidR="00A07C63">
              <w:rPr>
                <w:noProof/>
                <w:webHidden/>
              </w:rPr>
            </w:r>
            <w:r w:rsidR="00A07C63">
              <w:rPr>
                <w:noProof/>
                <w:webHidden/>
              </w:rPr>
              <w:fldChar w:fldCharType="separate"/>
            </w:r>
            <w:r w:rsidR="00FD2AD9">
              <w:rPr>
                <w:noProof/>
                <w:webHidden/>
              </w:rPr>
              <w:t>144</w:t>
            </w:r>
            <w:r w:rsidR="00A07C63">
              <w:rPr>
                <w:noProof/>
                <w:webHidden/>
              </w:rPr>
              <w:fldChar w:fldCharType="end"/>
            </w:r>
          </w:hyperlink>
        </w:p>
        <w:p w14:paraId="5E3A3742" w14:textId="5FB8FEB5" w:rsidR="00A07C63" w:rsidRDefault="008E0EF0">
          <w:pPr>
            <w:pStyle w:val="TOC1"/>
            <w:rPr>
              <w:rFonts w:eastAsiaTheme="minorEastAsia" w:cstheme="minorBidi"/>
              <w:b w:val="0"/>
              <w:szCs w:val="22"/>
              <w:lang w:val="en-GB" w:eastAsia="en-GB"/>
            </w:rPr>
          </w:pPr>
          <w:hyperlink w:anchor="_Toc4149014" w:history="1">
            <w:r w:rsidR="00A07C63" w:rsidRPr="0074306D">
              <w:rPr>
                <w:rStyle w:val="Hyperlink"/>
                <w:rFonts w:ascii="Times New Roman" w:hAnsi="Times New Roman"/>
              </w:rPr>
              <w:t>4. Conclusions of the Analysis of PFM Systems</w:t>
            </w:r>
            <w:r w:rsidR="00A07C63">
              <w:rPr>
                <w:webHidden/>
              </w:rPr>
              <w:tab/>
            </w:r>
            <w:r w:rsidR="00A07C63">
              <w:rPr>
                <w:webHidden/>
              </w:rPr>
              <w:fldChar w:fldCharType="begin"/>
            </w:r>
            <w:r w:rsidR="00A07C63">
              <w:rPr>
                <w:webHidden/>
              </w:rPr>
              <w:instrText xml:space="preserve"> PAGEREF _Toc4149014 \h </w:instrText>
            </w:r>
            <w:r w:rsidR="00A07C63">
              <w:rPr>
                <w:webHidden/>
              </w:rPr>
            </w:r>
            <w:r w:rsidR="00A07C63">
              <w:rPr>
                <w:webHidden/>
              </w:rPr>
              <w:fldChar w:fldCharType="separate"/>
            </w:r>
            <w:r w:rsidR="00FD2AD9">
              <w:rPr>
                <w:webHidden/>
              </w:rPr>
              <w:t>148</w:t>
            </w:r>
            <w:r w:rsidR="00A07C63">
              <w:rPr>
                <w:webHidden/>
              </w:rPr>
              <w:fldChar w:fldCharType="end"/>
            </w:r>
          </w:hyperlink>
        </w:p>
        <w:p w14:paraId="7A66CA45" w14:textId="4BD438FD" w:rsidR="00A07C63" w:rsidRDefault="008E0EF0">
          <w:pPr>
            <w:pStyle w:val="TOC2"/>
            <w:rPr>
              <w:rFonts w:eastAsiaTheme="minorEastAsia" w:cstheme="minorBidi"/>
              <w:noProof/>
              <w:szCs w:val="22"/>
              <w:lang w:val="en-GB" w:eastAsia="en-GB"/>
            </w:rPr>
          </w:pPr>
          <w:hyperlink w:anchor="_Toc4149015" w:history="1">
            <w:r w:rsidR="00A07C63" w:rsidRPr="0074306D">
              <w:rPr>
                <w:rStyle w:val="Hyperlink"/>
                <w:rFonts w:ascii="Times New Roman" w:hAnsi="Times New Roman"/>
                <w:noProof/>
              </w:rPr>
              <w:t>4.1 Integrated Assessment of PFM Performance</w:t>
            </w:r>
            <w:r w:rsidR="00A07C63">
              <w:rPr>
                <w:noProof/>
                <w:webHidden/>
              </w:rPr>
              <w:tab/>
            </w:r>
            <w:r w:rsidR="00A07C63">
              <w:rPr>
                <w:noProof/>
                <w:webHidden/>
              </w:rPr>
              <w:fldChar w:fldCharType="begin"/>
            </w:r>
            <w:r w:rsidR="00A07C63">
              <w:rPr>
                <w:noProof/>
                <w:webHidden/>
              </w:rPr>
              <w:instrText xml:space="preserve"> PAGEREF _Toc4149015 \h </w:instrText>
            </w:r>
            <w:r w:rsidR="00A07C63">
              <w:rPr>
                <w:noProof/>
                <w:webHidden/>
              </w:rPr>
            </w:r>
            <w:r w:rsidR="00A07C63">
              <w:rPr>
                <w:noProof/>
                <w:webHidden/>
              </w:rPr>
              <w:fldChar w:fldCharType="separate"/>
            </w:r>
            <w:r w:rsidR="00FD2AD9">
              <w:rPr>
                <w:noProof/>
                <w:webHidden/>
              </w:rPr>
              <w:t>148</w:t>
            </w:r>
            <w:r w:rsidR="00A07C63">
              <w:rPr>
                <w:noProof/>
                <w:webHidden/>
              </w:rPr>
              <w:fldChar w:fldCharType="end"/>
            </w:r>
          </w:hyperlink>
        </w:p>
        <w:p w14:paraId="546ABD77" w14:textId="0950CE6B" w:rsidR="00A07C63" w:rsidRDefault="008E0EF0">
          <w:pPr>
            <w:pStyle w:val="TOC2"/>
            <w:rPr>
              <w:rFonts w:eastAsiaTheme="minorEastAsia" w:cstheme="minorBidi"/>
              <w:noProof/>
              <w:szCs w:val="22"/>
              <w:lang w:val="en-GB" w:eastAsia="en-GB"/>
            </w:rPr>
          </w:pPr>
          <w:hyperlink w:anchor="_Toc4149016" w:history="1">
            <w:r w:rsidR="00A07C63" w:rsidRPr="0074306D">
              <w:rPr>
                <w:rStyle w:val="Hyperlink"/>
                <w:rFonts w:ascii="Times New Roman" w:hAnsi="Times New Roman"/>
                <w:noProof/>
              </w:rPr>
              <w:t>4.2</w:t>
            </w:r>
            <w:r w:rsidR="00A07C63">
              <w:rPr>
                <w:rFonts w:eastAsiaTheme="minorEastAsia" w:cstheme="minorBidi"/>
                <w:noProof/>
                <w:szCs w:val="22"/>
                <w:lang w:val="en-GB" w:eastAsia="en-GB"/>
              </w:rPr>
              <w:tab/>
            </w:r>
            <w:r w:rsidR="00A07C63" w:rsidRPr="0074306D">
              <w:rPr>
                <w:rStyle w:val="Hyperlink"/>
                <w:rFonts w:ascii="Times New Roman" w:hAnsi="Times New Roman"/>
                <w:noProof/>
              </w:rPr>
              <w:t>Effectiveness of the Internal Control Framework</w:t>
            </w:r>
            <w:r w:rsidR="00A07C63">
              <w:rPr>
                <w:noProof/>
                <w:webHidden/>
              </w:rPr>
              <w:tab/>
            </w:r>
            <w:r w:rsidR="00A07C63">
              <w:rPr>
                <w:noProof/>
                <w:webHidden/>
              </w:rPr>
              <w:fldChar w:fldCharType="begin"/>
            </w:r>
            <w:r w:rsidR="00A07C63">
              <w:rPr>
                <w:noProof/>
                <w:webHidden/>
              </w:rPr>
              <w:instrText xml:space="preserve"> PAGEREF _Toc4149016 \h </w:instrText>
            </w:r>
            <w:r w:rsidR="00A07C63">
              <w:rPr>
                <w:noProof/>
                <w:webHidden/>
              </w:rPr>
            </w:r>
            <w:r w:rsidR="00A07C63">
              <w:rPr>
                <w:noProof/>
                <w:webHidden/>
              </w:rPr>
              <w:fldChar w:fldCharType="separate"/>
            </w:r>
            <w:r w:rsidR="00FD2AD9">
              <w:rPr>
                <w:noProof/>
                <w:webHidden/>
              </w:rPr>
              <w:t>151</w:t>
            </w:r>
            <w:r w:rsidR="00A07C63">
              <w:rPr>
                <w:noProof/>
                <w:webHidden/>
              </w:rPr>
              <w:fldChar w:fldCharType="end"/>
            </w:r>
          </w:hyperlink>
        </w:p>
        <w:p w14:paraId="1DF35693" w14:textId="03E513B2" w:rsidR="00A07C63" w:rsidRDefault="008E0EF0">
          <w:pPr>
            <w:pStyle w:val="TOC2"/>
            <w:rPr>
              <w:rFonts w:eastAsiaTheme="minorEastAsia" w:cstheme="minorBidi"/>
              <w:noProof/>
              <w:szCs w:val="22"/>
              <w:lang w:val="en-GB" w:eastAsia="en-GB"/>
            </w:rPr>
          </w:pPr>
          <w:hyperlink w:anchor="_Toc4149017" w:history="1">
            <w:r w:rsidR="00A07C63" w:rsidRPr="0074306D">
              <w:rPr>
                <w:rStyle w:val="Hyperlink"/>
                <w:rFonts w:ascii="Times New Roman" w:hAnsi="Times New Roman"/>
                <w:noProof/>
              </w:rPr>
              <w:t>4.3</w:t>
            </w:r>
            <w:r w:rsidR="00A07C63">
              <w:rPr>
                <w:rFonts w:eastAsiaTheme="minorEastAsia" w:cstheme="minorBidi"/>
                <w:noProof/>
                <w:szCs w:val="22"/>
                <w:lang w:val="en-GB" w:eastAsia="en-GB"/>
              </w:rPr>
              <w:tab/>
            </w:r>
            <w:r w:rsidR="00A07C63" w:rsidRPr="0074306D">
              <w:rPr>
                <w:rStyle w:val="Hyperlink"/>
                <w:rFonts w:ascii="Times New Roman" w:hAnsi="Times New Roman"/>
                <w:noProof/>
              </w:rPr>
              <w:t>PFM Strengths and Weaknesses</w:t>
            </w:r>
            <w:r w:rsidR="00A07C63">
              <w:rPr>
                <w:noProof/>
                <w:webHidden/>
              </w:rPr>
              <w:tab/>
            </w:r>
            <w:r w:rsidR="00A07C63">
              <w:rPr>
                <w:noProof/>
                <w:webHidden/>
              </w:rPr>
              <w:fldChar w:fldCharType="begin"/>
            </w:r>
            <w:r w:rsidR="00A07C63">
              <w:rPr>
                <w:noProof/>
                <w:webHidden/>
              </w:rPr>
              <w:instrText xml:space="preserve"> PAGEREF _Toc4149017 \h </w:instrText>
            </w:r>
            <w:r w:rsidR="00A07C63">
              <w:rPr>
                <w:noProof/>
                <w:webHidden/>
              </w:rPr>
            </w:r>
            <w:r w:rsidR="00A07C63">
              <w:rPr>
                <w:noProof/>
                <w:webHidden/>
              </w:rPr>
              <w:fldChar w:fldCharType="separate"/>
            </w:r>
            <w:r w:rsidR="00FD2AD9">
              <w:rPr>
                <w:noProof/>
                <w:webHidden/>
              </w:rPr>
              <w:t>153</w:t>
            </w:r>
            <w:r w:rsidR="00A07C63">
              <w:rPr>
                <w:noProof/>
                <w:webHidden/>
              </w:rPr>
              <w:fldChar w:fldCharType="end"/>
            </w:r>
          </w:hyperlink>
        </w:p>
        <w:p w14:paraId="1B4CFECD" w14:textId="2CAD2038" w:rsidR="00A07C63" w:rsidRDefault="008E0EF0">
          <w:pPr>
            <w:pStyle w:val="TOC1"/>
            <w:tabs>
              <w:tab w:val="left" w:pos="1100"/>
            </w:tabs>
            <w:rPr>
              <w:rFonts w:eastAsiaTheme="minorEastAsia" w:cstheme="minorBidi"/>
              <w:b w:val="0"/>
              <w:szCs w:val="22"/>
              <w:lang w:val="en-GB" w:eastAsia="en-GB"/>
            </w:rPr>
          </w:pPr>
          <w:hyperlink w:anchor="_Toc4149018" w:history="1">
            <w:r w:rsidR="00A07C63" w:rsidRPr="0074306D">
              <w:rPr>
                <w:rStyle w:val="Hyperlink"/>
                <w:rFonts w:ascii="Times New Roman" w:hAnsi="Times New Roman"/>
              </w:rPr>
              <w:t>5.</w:t>
            </w:r>
            <w:r w:rsidR="00A07C63">
              <w:rPr>
                <w:rFonts w:eastAsiaTheme="minorEastAsia" w:cstheme="minorBidi"/>
                <w:b w:val="0"/>
                <w:szCs w:val="22"/>
                <w:lang w:val="en-GB" w:eastAsia="en-GB"/>
              </w:rPr>
              <w:tab/>
            </w:r>
            <w:r w:rsidR="00A07C63" w:rsidRPr="0074306D">
              <w:rPr>
                <w:rStyle w:val="Hyperlink"/>
                <w:rFonts w:ascii="Times New Roman" w:hAnsi="Times New Roman"/>
              </w:rPr>
              <w:t>The Government’s PFM Reform Process</w:t>
            </w:r>
            <w:r w:rsidR="00A07C63">
              <w:rPr>
                <w:webHidden/>
              </w:rPr>
              <w:tab/>
            </w:r>
            <w:r w:rsidR="00A07C63">
              <w:rPr>
                <w:webHidden/>
              </w:rPr>
              <w:fldChar w:fldCharType="begin"/>
            </w:r>
            <w:r w:rsidR="00A07C63">
              <w:rPr>
                <w:webHidden/>
              </w:rPr>
              <w:instrText xml:space="preserve"> PAGEREF _Toc4149018 \h </w:instrText>
            </w:r>
            <w:r w:rsidR="00A07C63">
              <w:rPr>
                <w:webHidden/>
              </w:rPr>
            </w:r>
            <w:r w:rsidR="00A07C63">
              <w:rPr>
                <w:webHidden/>
              </w:rPr>
              <w:fldChar w:fldCharType="separate"/>
            </w:r>
            <w:r w:rsidR="00FD2AD9">
              <w:rPr>
                <w:webHidden/>
              </w:rPr>
              <w:t>158</w:t>
            </w:r>
            <w:r w:rsidR="00A07C63">
              <w:rPr>
                <w:webHidden/>
              </w:rPr>
              <w:fldChar w:fldCharType="end"/>
            </w:r>
          </w:hyperlink>
        </w:p>
        <w:p w14:paraId="73D7B731" w14:textId="681A4A1C" w:rsidR="00A07C63" w:rsidRDefault="008E0EF0">
          <w:pPr>
            <w:pStyle w:val="TOC2"/>
            <w:rPr>
              <w:rFonts w:eastAsiaTheme="minorEastAsia" w:cstheme="minorBidi"/>
              <w:noProof/>
              <w:szCs w:val="22"/>
              <w:lang w:val="en-GB" w:eastAsia="en-GB"/>
            </w:rPr>
          </w:pPr>
          <w:hyperlink w:anchor="_Toc4149019" w:history="1">
            <w:r w:rsidR="00A07C63" w:rsidRPr="0074306D">
              <w:rPr>
                <w:rStyle w:val="Hyperlink"/>
                <w:rFonts w:ascii="Times New Roman" w:eastAsia="MS Gothic" w:hAnsi="Times New Roman"/>
                <w:b/>
                <w:bCs/>
                <w:noProof/>
              </w:rPr>
              <w:t>5.1</w:t>
            </w:r>
            <w:r w:rsidR="00A07C63">
              <w:rPr>
                <w:rFonts w:eastAsiaTheme="minorEastAsia" w:cstheme="minorBidi"/>
                <w:noProof/>
                <w:szCs w:val="22"/>
                <w:lang w:val="en-GB" w:eastAsia="en-GB"/>
              </w:rPr>
              <w:tab/>
            </w:r>
            <w:r w:rsidR="00A07C63" w:rsidRPr="0074306D">
              <w:rPr>
                <w:rStyle w:val="Hyperlink"/>
                <w:rFonts w:ascii="Times New Roman" w:eastAsia="MS Gothic" w:hAnsi="Times New Roman"/>
                <w:b/>
                <w:bCs/>
                <w:noProof/>
              </w:rPr>
              <w:t>Approach to PFM Reforms</w:t>
            </w:r>
            <w:r w:rsidR="00A07C63">
              <w:rPr>
                <w:noProof/>
                <w:webHidden/>
              </w:rPr>
              <w:tab/>
            </w:r>
            <w:r w:rsidR="00A07C63">
              <w:rPr>
                <w:noProof/>
                <w:webHidden/>
              </w:rPr>
              <w:fldChar w:fldCharType="begin"/>
            </w:r>
            <w:r w:rsidR="00A07C63">
              <w:rPr>
                <w:noProof/>
                <w:webHidden/>
              </w:rPr>
              <w:instrText xml:space="preserve"> PAGEREF _Toc4149019 \h </w:instrText>
            </w:r>
            <w:r w:rsidR="00A07C63">
              <w:rPr>
                <w:noProof/>
                <w:webHidden/>
              </w:rPr>
            </w:r>
            <w:r w:rsidR="00A07C63">
              <w:rPr>
                <w:noProof/>
                <w:webHidden/>
              </w:rPr>
              <w:fldChar w:fldCharType="separate"/>
            </w:r>
            <w:r w:rsidR="00FD2AD9">
              <w:rPr>
                <w:noProof/>
                <w:webHidden/>
              </w:rPr>
              <w:t>158</w:t>
            </w:r>
            <w:r w:rsidR="00A07C63">
              <w:rPr>
                <w:noProof/>
                <w:webHidden/>
              </w:rPr>
              <w:fldChar w:fldCharType="end"/>
            </w:r>
          </w:hyperlink>
        </w:p>
        <w:p w14:paraId="359BBFE6" w14:textId="2FADD3E8" w:rsidR="00A07C63" w:rsidRDefault="008E0EF0">
          <w:pPr>
            <w:pStyle w:val="TOC2"/>
            <w:rPr>
              <w:rFonts w:eastAsiaTheme="minorEastAsia" w:cstheme="minorBidi"/>
              <w:noProof/>
              <w:szCs w:val="22"/>
              <w:lang w:val="en-GB" w:eastAsia="en-GB"/>
            </w:rPr>
          </w:pPr>
          <w:hyperlink w:anchor="_Toc4149020" w:history="1">
            <w:r w:rsidR="00A07C63" w:rsidRPr="0074306D">
              <w:rPr>
                <w:rStyle w:val="Hyperlink"/>
                <w:rFonts w:ascii="Times New Roman" w:eastAsia="MS Gothic" w:hAnsi="Times New Roman"/>
                <w:b/>
                <w:bCs/>
                <w:noProof/>
              </w:rPr>
              <w:t>5.2</w:t>
            </w:r>
            <w:r w:rsidR="00A07C63">
              <w:rPr>
                <w:rFonts w:eastAsiaTheme="minorEastAsia" w:cstheme="minorBidi"/>
                <w:noProof/>
                <w:szCs w:val="22"/>
                <w:lang w:val="en-GB" w:eastAsia="en-GB"/>
              </w:rPr>
              <w:tab/>
            </w:r>
            <w:r w:rsidR="00A07C63" w:rsidRPr="0074306D">
              <w:rPr>
                <w:rStyle w:val="Hyperlink"/>
                <w:rFonts w:ascii="Times New Roman" w:eastAsia="MS Gothic" w:hAnsi="Times New Roman"/>
                <w:b/>
                <w:bCs/>
                <w:noProof/>
              </w:rPr>
              <w:t>Recent and Ongoing Reform Actions</w:t>
            </w:r>
            <w:r w:rsidR="00A07C63">
              <w:rPr>
                <w:noProof/>
                <w:webHidden/>
              </w:rPr>
              <w:tab/>
            </w:r>
            <w:r w:rsidR="00A07C63">
              <w:rPr>
                <w:noProof/>
                <w:webHidden/>
              </w:rPr>
              <w:fldChar w:fldCharType="begin"/>
            </w:r>
            <w:r w:rsidR="00A07C63">
              <w:rPr>
                <w:noProof/>
                <w:webHidden/>
              </w:rPr>
              <w:instrText xml:space="preserve"> PAGEREF _Toc4149020 \h </w:instrText>
            </w:r>
            <w:r w:rsidR="00A07C63">
              <w:rPr>
                <w:noProof/>
                <w:webHidden/>
              </w:rPr>
            </w:r>
            <w:r w:rsidR="00A07C63">
              <w:rPr>
                <w:noProof/>
                <w:webHidden/>
              </w:rPr>
              <w:fldChar w:fldCharType="separate"/>
            </w:r>
            <w:r w:rsidR="00FD2AD9">
              <w:rPr>
                <w:noProof/>
                <w:webHidden/>
              </w:rPr>
              <w:t>162</w:t>
            </w:r>
            <w:r w:rsidR="00A07C63">
              <w:rPr>
                <w:noProof/>
                <w:webHidden/>
              </w:rPr>
              <w:fldChar w:fldCharType="end"/>
            </w:r>
          </w:hyperlink>
        </w:p>
        <w:p w14:paraId="331DA004" w14:textId="6305BE86" w:rsidR="00A07C63" w:rsidRDefault="008E0EF0">
          <w:pPr>
            <w:pStyle w:val="TOC2"/>
            <w:rPr>
              <w:rFonts w:eastAsiaTheme="minorEastAsia" w:cstheme="minorBidi"/>
              <w:noProof/>
              <w:szCs w:val="22"/>
              <w:lang w:val="en-GB" w:eastAsia="en-GB"/>
            </w:rPr>
          </w:pPr>
          <w:hyperlink w:anchor="_Toc4149021" w:history="1">
            <w:r w:rsidR="00A07C63" w:rsidRPr="0074306D">
              <w:rPr>
                <w:rStyle w:val="Hyperlink"/>
                <w:rFonts w:ascii="Times New Roman" w:eastAsia="MS Gothic" w:hAnsi="Times New Roman"/>
                <w:b/>
                <w:bCs/>
                <w:noProof/>
              </w:rPr>
              <w:t>5.3.</w:t>
            </w:r>
            <w:r w:rsidR="00A07C63">
              <w:rPr>
                <w:rFonts w:eastAsiaTheme="minorEastAsia" w:cstheme="minorBidi"/>
                <w:noProof/>
                <w:szCs w:val="22"/>
                <w:lang w:val="en-GB" w:eastAsia="en-GB"/>
              </w:rPr>
              <w:tab/>
            </w:r>
            <w:r w:rsidR="00A07C63" w:rsidRPr="0074306D">
              <w:rPr>
                <w:rStyle w:val="Hyperlink"/>
                <w:rFonts w:ascii="Times New Roman" w:eastAsia="MS Gothic" w:hAnsi="Times New Roman"/>
                <w:b/>
                <w:bCs/>
                <w:noProof/>
              </w:rPr>
              <w:t>Institutional Considerations</w:t>
            </w:r>
            <w:r w:rsidR="00A07C63">
              <w:rPr>
                <w:noProof/>
                <w:webHidden/>
              </w:rPr>
              <w:tab/>
            </w:r>
            <w:r w:rsidR="00A07C63">
              <w:rPr>
                <w:noProof/>
                <w:webHidden/>
              </w:rPr>
              <w:fldChar w:fldCharType="begin"/>
            </w:r>
            <w:r w:rsidR="00A07C63">
              <w:rPr>
                <w:noProof/>
                <w:webHidden/>
              </w:rPr>
              <w:instrText xml:space="preserve"> PAGEREF _Toc4149021 \h </w:instrText>
            </w:r>
            <w:r w:rsidR="00A07C63">
              <w:rPr>
                <w:noProof/>
                <w:webHidden/>
              </w:rPr>
            </w:r>
            <w:r w:rsidR="00A07C63">
              <w:rPr>
                <w:noProof/>
                <w:webHidden/>
              </w:rPr>
              <w:fldChar w:fldCharType="separate"/>
            </w:r>
            <w:r w:rsidR="00FD2AD9">
              <w:rPr>
                <w:noProof/>
                <w:webHidden/>
              </w:rPr>
              <w:t>167</w:t>
            </w:r>
            <w:r w:rsidR="00A07C63">
              <w:rPr>
                <w:noProof/>
                <w:webHidden/>
              </w:rPr>
              <w:fldChar w:fldCharType="end"/>
            </w:r>
          </w:hyperlink>
        </w:p>
        <w:p w14:paraId="12907B8B" w14:textId="764093E6" w:rsidR="00A07C63" w:rsidRDefault="008E0EF0">
          <w:pPr>
            <w:pStyle w:val="TOC1"/>
            <w:rPr>
              <w:rFonts w:eastAsiaTheme="minorEastAsia" w:cstheme="minorBidi"/>
              <w:b w:val="0"/>
              <w:szCs w:val="22"/>
              <w:lang w:val="en-GB" w:eastAsia="en-GB"/>
            </w:rPr>
          </w:pPr>
          <w:hyperlink w:anchor="_Toc4149022" w:history="1">
            <w:r w:rsidR="00A07C63" w:rsidRPr="0074306D">
              <w:rPr>
                <w:rStyle w:val="Hyperlink"/>
                <w:rFonts w:ascii="Times New Roman" w:hAnsi="Times New Roman"/>
              </w:rPr>
              <w:t>Annex 1: Performance indicator summary</w:t>
            </w:r>
            <w:r w:rsidR="00A07C63">
              <w:rPr>
                <w:webHidden/>
              </w:rPr>
              <w:tab/>
            </w:r>
            <w:r w:rsidR="00A07C63">
              <w:rPr>
                <w:webHidden/>
              </w:rPr>
              <w:fldChar w:fldCharType="begin"/>
            </w:r>
            <w:r w:rsidR="00A07C63">
              <w:rPr>
                <w:webHidden/>
              </w:rPr>
              <w:instrText xml:space="preserve"> PAGEREF _Toc4149022 \h </w:instrText>
            </w:r>
            <w:r w:rsidR="00A07C63">
              <w:rPr>
                <w:webHidden/>
              </w:rPr>
            </w:r>
            <w:r w:rsidR="00A07C63">
              <w:rPr>
                <w:webHidden/>
              </w:rPr>
              <w:fldChar w:fldCharType="separate"/>
            </w:r>
            <w:r w:rsidR="00FD2AD9">
              <w:rPr>
                <w:webHidden/>
              </w:rPr>
              <w:t>171</w:t>
            </w:r>
            <w:r w:rsidR="00A07C63">
              <w:rPr>
                <w:webHidden/>
              </w:rPr>
              <w:fldChar w:fldCharType="end"/>
            </w:r>
          </w:hyperlink>
        </w:p>
        <w:p w14:paraId="4BE03EEA" w14:textId="1B4DAF4B" w:rsidR="00A07C63" w:rsidRDefault="008E0EF0">
          <w:pPr>
            <w:pStyle w:val="TOC1"/>
            <w:rPr>
              <w:rFonts w:eastAsiaTheme="minorEastAsia" w:cstheme="minorBidi"/>
              <w:b w:val="0"/>
              <w:szCs w:val="22"/>
              <w:lang w:val="en-GB" w:eastAsia="en-GB"/>
            </w:rPr>
          </w:pPr>
          <w:hyperlink w:anchor="_Toc4149023" w:history="1">
            <w:r w:rsidR="00A07C63" w:rsidRPr="0074306D">
              <w:rPr>
                <w:rStyle w:val="Hyperlink"/>
                <w:rFonts w:ascii="Times New Roman" w:hAnsi="Times New Roman"/>
              </w:rPr>
              <w:t>Annex 2: Summary of observations on the internal control framework</w:t>
            </w:r>
            <w:r w:rsidR="00A07C63">
              <w:rPr>
                <w:webHidden/>
              </w:rPr>
              <w:tab/>
            </w:r>
            <w:r w:rsidR="00A07C63">
              <w:rPr>
                <w:webHidden/>
              </w:rPr>
              <w:fldChar w:fldCharType="begin"/>
            </w:r>
            <w:r w:rsidR="00A07C63">
              <w:rPr>
                <w:webHidden/>
              </w:rPr>
              <w:instrText xml:space="preserve"> PAGEREF _Toc4149023 \h </w:instrText>
            </w:r>
            <w:r w:rsidR="00A07C63">
              <w:rPr>
                <w:webHidden/>
              </w:rPr>
            </w:r>
            <w:r w:rsidR="00A07C63">
              <w:rPr>
                <w:webHidden/>
              </w:rPr>
              <w:fldChar w:fldCharType="separate"/>
            </w:r>
            <w:r w:rsidR="00FD2AD9">
              <w:rPr>
                <w:webHidden/>
              </w:rPr>
              <w:t>180</w:t>
            </w:r>
            <w:r w:rsidR="00A07C63">
              <w:rPr>
                <w:webHidden/>
              </w:rPr>
              <w:fldChar w:fldCharType="end"/>
            </w:r>
          </w:hyperlink>
        </w:p>
        <w:p w14:paraId="74DA726B" w14:textId="06F8CCEC" w:rsidR="00A07C63" w:rsidRDefault="008E0EF0">
          <w:pPr>
            <w:pStyle w:val="TOC1"/>
            <w:rPr>
              <w:rFonts w:eastAsiaTheme="minorEastAsia" w:cstheme="minorBidi"/>
              <w:b w:val="0"/>
              <w:szCs w:val="22"/>
              <w:lang w:val="en-GB" w:eastAsia="en-GB"/>
            </w:rPr>
          </w:pPr>
          <w:hyperlink w:anchor="_Toc4149024" w:history="1">
            <w:r w:rsidR="00A07C63" w:rsidRPr="0074306D">
              <w:rPr>
                <w:rStyle w:val="Hyperlink"/>
                <w:rFonts w:ascii="Times New Roman" w:hAnsi="Times New Roman"/>
                <w:lang w:val="en-GB" w:eastAsia="en-GB"/>
              </w:rPr>
              <w:t>Annex -3A: List of persons interviewed or consulted</w:t>
            </w:r>
            <w:r w:rsidR="00A07C63">
              <w:rPr>
                <w:webHidden/>
              </w:rPr>
              <w:tab/>
            </w:r>
            <w:r w:rsidR="00A07C63">
              <w:rPr>
                <w:webHidden/>
              </w:rPr>
              <w:fldChar w:fldCharType="begin"/>
            </w:r>
            <w:r w:rsidR="00A07C63">
              <w:rPr>
                <w:webHidden/>
              </w:rPr>
              <w:instrText xml:space="preserve"> PAGEREF _Toc4149024 \h </w:instrText>
            </w:r>
            <w:r w:rsidR="00A07C63">
              <w:rPr>
                <w:webHidden/>
              </w:rPr>
            </w:r>
            <w:r w:rsidR="00A07C63">
              <w:rPr>
                <w:webHidden/>
              </w:rPr>
              <w:fldChar w:fldCharType="separate"/>
            </w:r>
            <w:r w:rsidR="00FD2AD9">
              <w:rPr>
                <w:webHidden/>
              </w:rPr>
              <w:t>184</w:t>
            </w:r>
            <w:r w:rsidR="00A07C63">
              <w:rPr>
                <w:webHidden/>
              </w:rPr>
              <w:fldChar w:fldCharType="end"/>
            </w:r>
          </w:hyperlink>
        </w:p>
        <w:p w14:paraId="7B6463C9" w14:textId="2F507720" w:rsidR="00A07C63" w:rsidRDefault="008E0EF0">
          <w:pPr>
            <w:pStyle w:val="TOC1"/>
            <w:rPr>
              <w:rFonts w:eastAsiaTheme="minorEastAsia" w:cstheme="minorBidi"/>
              <w:b w:val="0"/>
              <w:szCs w:val="22"/>
              <w:lang w:val="en-GB" w:eastAsia="en-GB"/>
            </w:rPr>
          </w:pPr>
          <w:hyperlink w:anchor="_Toc4149025" w:history="1">
            <w:r w:rsidR="00A07C63" w:rsidRPr="0074306D">
              <w:rPr>
                <w:rStyle w:val="Hyperlink"/>
                <w:rFonts w:ascii="Times New Roman" w:hAnsi="Times New Roman"/>
              </w:rPr>
              <w:t>Annex 4: Calculation Sheets for PI-1, PI-2 and PI-3</w:t>
            </w:r>
            <w:r w:rsidR="00A07C63">
              <w:rPr>
                <w:webHidden/>
              </w:rPr>
              <w:tab/>
            </w:r>
            <w:r w:rsidR="00A07C63">
              <w:rPr>
                <w:webHidden/>
              </w:rPr>
              <w:fldChar w:fldCharType="begin"/>
            </w:r>
            <w:r w:rsidR="00A07C63">
              <w:rPr>
                <w:webHidden/>
              </w:rPr>
              <w:instrText xml:space="preserve"> PAGEREF _Toc4149025 \h </w:instrText>
            </w:r>
            <w:r w:rsidR="00A07C63">
              <w:rPr>
                <w:webHidden/>
              </w:rPr>
            </w:r>
            <w:r w:rsidR="00A07C63">
              <w:rPr>
                <w:webHidden/>
              </w:rPr>
              <w:fldChar w:fldCharType="separate"/>
            </w:r>
            <w:r w:rsidR="00FD2AD9">
              <w:rPr>
                <w:webHidden/>
              </w:rPr>
              <w:t>197</w:t>
            </w:r>
            <w:r w:rsidR="00A07C63">
              <w:rPr>
                <w:webHidden/>
              </w:rPr>
              <w:fldChar w:fldCharType="end"/>
            </w:r>
          </w:hyperlink>
        </w:p>
        <w:p w14:paraId="55550C08" w14:textId="77777777" w:rsidR="008E618D" w:rsidRDefault="00310D44" w:rsidP="00DA743C">
          <w:pPr>
            <w:spacing w:before="0"/>
            <w:ind w:left="0"/>
          </w:pPr>
          <w:r>
            <w:fldChar w:fldCharType="end"/>
          </w:r>
        </w:p>
      </w:sdtContent>
    </w:sdt>
    <w:p w14:paraId="3ABB6C0B" w14:textId="77777777" w:rsidR="00A24325" w:rsidRPr="00C001AC" w:rsidRDefault="00A24325" w:rsidP="00A24325">
      <w:pPr>
        <w:spacing w:line="276" w:lineRule="auto"/>
        <w:ind w:left="540"/>
        <w:jc w:val="left"/>
        <w:rPr>
          <w:rFonts w:ascii="Times New Roman" w:hAnsi="Times New Roman"/>
          <w:sz w:val="20"/>
          <w:szCs w:val="20"/>
        </w:rPr>
      </w:pPr>
      <w:r w:rsidRPr="00C001AC">
        <w:rPr>
          <w:rFonts w:ascii="Times New Roman" w:hAnsi="Times New Roman"/>
          <w:sz w:val="20"/>
          <w:szCs w:val="20"/>
        </w:rPr>
        <w:br w:type="page"/>
      </w:r>
    </w:p>
    <w:p w14:paraId="432CB35E" w14:textId="77777777" w:rsidR="00A24325" w:rsidRPr="00C001AC" w:rsidRDefault="00A24325" w:rsidP="00A24325">
      <w:pPr>
        <w:spacing w:after="120" w:line="276" w:lineRule="auto"/>
        <w:ind w:left="540"/>
        <w:rPr>
          <w:rFonts w:ascii="Times New Roman" w:hAnsi="Times New Roman"/>
          <w:color w:val="17365D" w:themeColor="text2" w:themeShade="BF"/>
          <w:sz w:val="32"/>
          <w:szCs w:val="32"/>
        </w:rPr>
      </w:pPr>
      <w:r w:rsidRPr="00C001AC">
        <w:rPr>
          <w:rFonts w:ascii="Times New Roman" w:hAnsi="Times New Roman"/>
          <w:color w:val="17365D" w:themeColor="text2" w:themeShade="BF"/>
          <w:sz w:val="32"/>
          <w:szCs w:val="32"/>
        </w:rPr>
        <w:lastRenderedPageBreak/>
        <w:t xml:space="preserve">List of acronyms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622"/>
      </w:tblGrid>
      <w:tr w:rsidR="00A24325" w:rsidRPr="00C001AC" w14:paraId="7D7EAFDD" w14:textId="77777777" w:rsidTr="005D140A">
        <w:trPr>
          <w:trHeight w:val="302"/>
        </w:trPr>
        <w:tc>
          <w:tcPr>
            <w:tcW w:w="1728" w:type="dxa"/>
          </w:tcPr>
          <w:p w14:paraId="24EA0108" w14:textId="77777777" w:rsidR="00A24325" w:rsidRPr="00A24325" w:rsidRDefault="00A24325" w:rsidP="00A24325">
            <w:pPr>
              <w:spacing w:before="0"/>
              <w:ind w:left="0"/>
              <w:rPr>
                <w:sz w:val="20"/>
                <w:szCs w:val="20"/>
              </w:rPr>
            </w:pPr>
            <w:r w:rsidRPr="00A24325">
              <w:rPr>
                <w:sz w:val="20"/>
                <w:szCs w:val="20"/>
              </w:rPr>
              <w:t>ADB</w:t>
            </w:r>
          </w:p>
        </w:tc>
        <w:tc>
          <w:tcPr>
            <w:tcW w:w="7622" w:type="dxa"/>
          </w:tcPr>
          <w:p w14:paraId="40364841" w14:textId="77777777" w:rsidR="00A24325" w:rsidRPr="00A24325" w:rsidRDefault="00A24325" w:rsidP="00A24325">
            <w:pPr>
              <w:spacing w:before="0"/>
              <w:ind w:left="0"/>
              <w:rPr>
                <w:sz w:val="20"/>
                <w:szCs w:val="20"/>
              </w:rPr>
            </w:pPr>
            <w:r w:rsidRPr="00A24325">
              <w:rPr>
                <w:sz w:val="20"/>
                <w:szCs w:val="20"/>
              </w:rPr>
              <w:t xml:space="preserve">Asian Development Bank </w:t>
            </w:r>
          </w:p>
        </w:tc>
      </w:tr>
      <w:tr w:rsidR="00A24325" w:rsidRPr="00C001AC" w14:paraId="5DDA2E6F" w14:textId="77777777" w:rsidTr="005D140A">
        <w:trPr>
          <w:trHeight w:val="302"/>
        </w:trPr>
        <w:tc>
          <w:tcPr>
            <w:tcW w:w="1728" w:type="dxa"/>
          </w:tcPr>
          <w:p w14:paraId="002DB1B7" w14:textId="77777777" w:rsidR="00A24325" w:rsidRPr="00A24325" w:rsidRDefault="00A24325" w:rsidP="00A24325">
            <w:pPr>
              <w:spacing w:before="0"/>
              <w:ind w:left="0"/>
              <w:rPr>
                <w:sz w:val="20"/>
                <w:szCs w:val="20"/>
              </w:rPr>
            </w:pPr>
            <w:r w:rsidRPr="00A24325">
              <w:rPr>
                <w:sz w:val="20"/>
                <w:szCs w:val="20"/>
              </w:rPr>
              <w:t>ASEAN</w:t>
            </w:r>
          </w:p>
        </w:tc>
        <w:tc>
          <w:tcPr>
            <w:tcW w:w="7622" w:type="dxa"/>
          </w:tcPr>
          <w:p w14:paraId="740779D7" w14:textId="77777777" w:rsidR="00A24325" w:rsidRPr="00A24325" w:rsidRDefault="00A24325" w:rsidP="00A24325">
            <w:pPr>
              <w:spacing w:before="0"/>
              <w:ind w:left="0"/>
              <w:rPr>
                <w:sz w:val="20"/>
                <w:szCs w:val="20"/>
              </w:rPr>
            </w:pPr>
            <w:r w:rsidRPr="00A24325">
              <w:rPr>
                <w:sz w:val="20"/>
                <w:szCs w:val="20"/>
              </w:rPr>
              <w:t>Association of Southeast Asian Nations</w:t>
            </w:r>
          </w:p>
        </w:tc>
      </w:tr>
      <w:tr w:rsidR="00A24325" w:rsidRPr="00C001AC" w14:paraId="113AF432" w14:textId="77777777" w:rsidTr="005D140A">
        <w:trPr>
          <w:trHeight w:val="302"/>
        </w:trPr>
        <w:tc>
          <w:tcPr>
            <w:tcW w:w="1728" w:type="dxa"/>
          </w:tcPr>
          <w:p w14:paraId="16342DD2" w14:textId="77777777" w:rsidR="00A24325" w:rsidRPr="00A24325" w:rsidRDefault="00A24325" w:rsidP="00A24325">
            <w:pPr>
              <w:spacing w:before="0"/>
              <w:ind w:left="0"/>
              <w:rPr>
                <w:sz w:val="20"/>
                <w:szCs w:val="20"/>
              </w:rPr>
            </w:pPr>
            <w:r w:rsidRPr="00A24325">
              <w:rPr>
                <w:sz w:val="20"/>
                <w:szCs w:val="20"/>
              </w:rPr>
              <w:t>AT</w:t>
            </w:r>
          </w:p>
        </w:tc>
        <w:tc>
          <w:tcPr>
            <w:tcW w:w="7622" w:type="dxa"/>
          </w:tcPr>
          <w:p w14:paraId="6ACE8E6E" w14:textId="77777777" w:rsidR="00A24325" w:rsidRPr="00A24325" w:rsidRDefault="00A24325" w:rsidP="00A24325">
            <w:pPr>
              <w:spacing w:before="0"/>
              <w:ind w:left="0"/>
              <w:rPr>
                <w:sz w:val="20"/>
                <w:szCs w:val="20"/>
              </w:rPr>
            </w:pPr>
            <w:r w:rsidRPr="00A24325">
              <w:rPr>
                <w:sz w:val="20"/>
                <w:szCs w:val="20"/>
              </w:rPr>
              <w:t>Lao PEFA Assessment Team</w:t>
            </w:r>
          </w:p>
        </w:tc>
      </w:tr>
      <w:tr w:rsidR="00A24325" w:rsidRPr="00787D84" w14:paraId="0A2C7F35" w14:textId="77777777" w:rsidTr="005D140A">
        <w:trPr>
          <w:trHeight w:val="302"/>
        </w:trPr>
        <w:tc>
          <w:tcPr>
            <w:tcW w:w="1728" w:type="dxa"/>
          </w:tcPr>
          <w:p w14:paraId="1DB6DABD" w14:textId="77777777" w:rsidR="00A24325" w:rsidRPr="00A24325" w:rsidRDefault="00A24325" w:rsidP="00A24325">
            <w:pPr>
              <w:spacing w:before="0"/>
              <w:ind w:left="0"/>
              <w:rPr>
                <w:sz w:val="20"/>
                <w:szCs w:val="20"/>
              </w:rPr>
            </w:pPr>
            <w:r w:rsidRPr="00A24325">
              <w:rPr>
                <w:sz w:val="20"/>
                <w:szCs w:val="20"/>
              </w:rPr>
              <w:t>BCEL</w:t>
            </w:r>
          </w:p>
        </w:tc>
        <w:tc>
          <w:tcPr>
            <w:tcW w:w="7622" w:type="dxa"/>
          </w:tcPr>
          <w:p w14:paraId="0AF23D76" w14:textId="77777777" w:rsidR="00A24325" w:rsidRPr="00A24325" w:rsidRDefault="00A24325" w:rsidP="00A24325">
            <w:pPr>
              <w:spacing w:before="0"/>
              <w:ind w:left="0"/>
              <w:rPr>
                <w:sz w:val="20"/>
                <w:szCs w:val="20"/>
                <w:lang w:val="fr-FR"/>
              </w:rPr>
            </w:pPr>
            <w:r w:rsidRPr="00A24325">
              <w:rPr>
                <w:sz w:val="20"/>
                <w:szCs w:val="20"/>
                <w:lang w:val="fr-FR"/>
              </w:rPr>
              <w:t xml:space="preserve">Banque pour le Commerce </w:t>
            </w:r>
            <w:proofErr w:type="spellStart"/>
            <w:r w:rsidRPr="00A24325">
              <w:rPr>
                <w:sz w:val="20"/>
                <w:szCs w:val="20"/>
                <w:lang w:val="fr-FR"/>
              </w:rPr>
              <w:t>Exterieur</w:t>
            </w:r>
            <w:proofErr w:type="spellEnd"/>
            <w:r w:rsidRPr="00A24325">
              <w:rPr>
                <w:sz w:val="20"/>
                <w:szCs w:val="20"/>
                <w:lang w:val="fr-FR"/>
              </w:rPr>
              <w:t xml:space="preserve"> Lao </w:t>
            </w:r>
          </w:p>
        </w:tc>
      </w:tr>
      <w:tr w:rsidR="00A24325" w:rsidRPr="00C001AC" w14:paraId="3925F379" w14:textId="77777777" w:rsidTr="005D140A">
        <w:trPr>
          <w:trHeight w:val="302"/>
        </w:trPr>
        <w:tc>
          <w:tcPr>
            <w:tcW w:w="1728" w:type="dxa"/>
          </w:tcPr>
          <w:p w14:paraId="6818D597" w14:textId="77777777" w:rsidR="00A24325" w:rsidRPr="00A24325" w:rsidRDefault="00A24325" w:rsidP="00A24325">
            <w:pPr>
              <w:spacing w:before="0"/>
              <w:ind w:left="0"/>
              <w:rPr>
                <w:sz w:val="20"/>
                <w:szCs w:val="20"/>
              </w:rPr>
            </w:pPr>
            <w:r w:rsidRPr="00A24325">
              <w:rPr>
                <w:sz w:val="20"/>
                <w:szCs w:val="20"/>
              </w:rPr>
              <w:t>BoL</w:t>
            </w:r>
          </w:p>
        </w:tc>
        <w:tc>
          <w:tcPr>
            <w:tcW w:w="7622" w:type="dxa"/>
          </w:tcPr>
          <w:p w14:paraId="1BC6EAAF" w14:textId="77777777" w:rsidR="00A24325" w:rsidRPr="00A24325" w:rsidRDefault="00A24325" w:rsidP="00A24325">
            <w:pPr>
              <w:spacing w:before="0"/>
              <w:ind w:left="0"/>
              <w:rPr>
                <w:sz w:val="20"/>
                <w:szCs w:val="20"/>
              </w:rPr>
            </w:pPr>
            <w:r w:rsidRPr="00A24325">
              <w:rPr>
                <w:sz w:val="20"/>
                <w:szCs w:val="20"/>
              </w:rPr>
              <w:t>Bank of Lao PDR</w:t>
            </w:r>
          </w:p>
        </w:tc>
      </w:tr>
      <w:tr w:rsidR="00A24325" w:rsidRPr="00C001AC" w14:paraId="7CFA8AD0" w14:textId="77777777" w:rsidTr="005D140A">
        <w:trPr>
          <w:trHeight w:val="302"/>
        </w:trPr>
        <w:tc>
          <w:tcPr>
            <w:tcW w:w="1728" w:type="dxa"/>
          </w:tcPr>
          <w:p w14:paraId="7FFA2FC3" w14:textId="77777777" w:rsidR="00A24325" w:rsidRPr="00A24325" w:rsidRDefault="00A24325" w:rsidP="00A24325">
            <w:pPr>
              <w:spacing w:before="0"/>
              <w:ind w:left="0"/>
              <w:rPr>
                <w:sz w:val="20"/>
                <w:szCs w:val="20"/>
              </w:rPr>
            </w:pPr>
            <w:proofErr w:type="spellStart"/>
            <w:r w:rsidRPr="00A24325">
              <w:rPr>
                <w:sz w:val="20"/>
                <w:szCs w:val="20"/>
              </w:rPr>
              <w:t>BoP</w:t>
            </w:r>
            <w:proofErr w:type="spellEnd"/>
          </w:p>
        </w:tc>
        <w:tc>
          <w:tcPr>
            <w:tcW w:w="7622" w:type="dxa"/>
          </w:tcPr>
          <w:p w14:paraId="3C073EA1" w14:textId="77777777" w:rsidR="00A24325" w:rsidRPr="00A24325" w:rsidRDefault="00A24325" w:rsidP="00A24325">
            <w:pPr>
              <w:spacing w:before="0"/>
              <w:ind w:left="0"/>
              <w:rPr>
                <w:sz w:val="20"/>
                <w:szCs w:val="20"/>
              </w:rPr>
            </w:pPr>
            <w:r w:rsidRPr="00A24325">
              <w:rPr>
                <w:sz w:val="20"/>
                <w:szCs w:val="20"/>
              </w:rPr>
              <w:t>Balance of Payments</w:t>
            </w:r>
          </w:p>
        </w:tc>
      </w:tr>
      <w:tr w:rsidR="00A24325" w:rsidRPr="00C001AC" w14:paraId="7E50F95E" w14:textId="77777777" w:rsidTr="005D140A">
        <w:trPr>
          <w:trHeight w:val="302"/>
        </w:trPr>
        <w:tc>
          <w:tcPr>
            <w:tcW w:w="1728" w:type="dxa"/>
          </w:tcPr>
          <w:p w14:paraId="32AC5615" w14:textId="77777777" w:rsidR="00A24325" w:rsidRPr="00A24325" w:rsidRDefault="00A24325" w:rsidP="00A24325">
            <w:pPr>
              <w:spacing w:before="0"/>
              <w:ind w:left="0"/>
              <w:rPr>
                <w:sz w:val="20"/>
                <w:szCs w:val="20"/>
              </w:rPr>
            </w:pPr>
            <w:r w:rsidRPr="00A24325">
              <w:rPr>
                <w:sz w:val="20"/>
                <w:szCs w:val="20"/>
              </w:rPr>
              <w:t>CN</w:t>
            </w:r>
          </w:p>
        </w:tc>
        <w:tc>
          <w:tcPr>
            <w:tcW w:w="7622" w:type="dxa"/>
          </w:tcPr>
          <w:p w14:paraId="186F3BAC" w14:textId="77777777" w:rsidR="00A24325" w:rsidRPr="00A24325" w:rsidRDefault="00A24325" w:rsidP="00A24325">
            <w:pPr>
              <w:spacing w:before="0"/>
              <w:ind w:left="0"/>
              <w:rPr>
                <w:sz w:val="20"/>
                <w:szCs w:val="20"/>
              </w:rPr>
            </w:pPr>
            <w:r w:rsidRPr="00A24325">
              <w:rPr>
                <w:sz w:val="20"/>
                <w:szCs w:val="20"/>
              </w:rPr>
              <w:t>Concept Note</w:t>
            </w:r>
          </w:p>
        </w:tc>
      </w:tr>
      <w:tr w:rsidR="00A24325" w:rsidRPr="00C001AC" w14:paraId="60CF74AE" w14:textId="77777777" w:rsidTr="005D140A">
        <w:trPr>
          <w:trHeight w:val="302"/>
        </w:trPr>
        <w:tc>
          <w:tcPr>
            <w:tcW w:w="1728" w:type="dxa"/>
          </w:tcPr>
          <w:p w14:paraId="037B7AB8" w14:textId="77777777" w:rsidR="00A24325" w:rsidRPr="00A24325" w:rsidRDefault="00A24325" w:rsidP="00A24325">
            <w:pPr>
              <w:spacing w:before="0"/>
              <w:ind w:left="0"/>
              <w:rPr>
                <w:sz w:val="20"/>
                <w:szCs w:val="20"/>
              </w:rPr>
            </w:pPr>
            <w:r w:rsidRPr="00A24325">
              <w:rPr>
                <w:sz w:val="20"/>
                <w:szCs w:val="20"/>
              </w:rPr>
              <w:t>CPI</w:t>
            </w:r>
          </w:p>
        </w:tc>
        <w:tc>
          <w:tcPr>
            <w:tcW w:w="7622" w:type="dxa"/>
          </w:tcPr>
          <w:p w14:paraId="331FAA27" w14:textId="77777777" w:rsidR="00A24325" w:rsidRPr="00A24325" w:rsidRDefault="00A24325" w:rsidP="00A24325">
            <w:pPr>
              <w:spacing w:before="0"/>
              <w:ind w:left="0"/>
              <w:rPr>
                <w:sz w:val="20"/>
                <w:szCs w:val="20"/>
              </w:rPr>
            </w:pPr>
            <w:r w:rsidRPr="00A24325">
              <w:rPr>
                <w:sz w:val="20"/>
                <w:szCs w:val="20"/>
              </w:rPr>
              <w:t>Consumer Price Index</w:t>
            </w:r>
          </w:p>
        </w:tc>
      </w:tr>
      <w:tr w:rsidR="00A24325" w:rsidRPr="00C001AC" w14:paraId="2030E177" w14:textId="77777777" w:rsidTr="005D140A">
        <w:trPr>
          <w:trHeight w:val="302"/>
        </w:trPr>
        <w:tc>
          <w:tcPr>
            <w:tcW w:w="1728" w:type="dxa"/>
          </w:tcPr>
          <w:p w14:paraId="11BC213D" w14:textId="77777777" w:rsidR="00A24325" w:rsidRPr="00A24325" w:rsidRDefault="00A24325" w:rsidP="00A24325">
            <w:pPr>
              <w:spacing w:before="0"/>
              <w:ind w:left="0"/>
              <w:rPr>
                <w:sz w:val="20"/>
                <w:szCs w:val="20"/>
              </w:rPr>
            </w:pPr>
            <w:r w:rsidRPr="00A24325">
              <w:rPr>
                <w:sz w:val="20"/>
                <w:szCs w:val="20"/>
              </w:rPr>
              <w:t>EDL</w:t>
            </w:r>
          </w:p>
        </w:tc>
        <w:tc>
          <w:tcPr>
            <w:tcW w:w="7622" w:type="dxa"/>
          </w:tcPr>
          <w:p w14:paraId="7953D575" w14:textId="77777777" w:rsidR="00A24325" w:rsidRPr="00A24325" w:rsidRDefault="00A24325" w:rsidP="00A24325">
            <w:pPr>
              <w:spacing w:before="0"/>
              <w:ind w:left="0"/>
              <w:rPr>
                <w:sz w:val="20"/>
                <w:szCs w:val="20"/>
              </w:rPr>
            </w:pPr>
            <w:proofErr w:type="spellStart"/>
            <w:r w:rsidRPr="00A24325">
              <w:rPr>
                <w:sz w:val="20"/>
                <w:szCs w:val="20"/>
              </w:rPr>
              <w:t>Electricité</w:t>
            </w:r>
            <w:proofErr w:type="spellEnd"/>
            <w:r w:rsidRPr="00A24325">
              <w:rPr>
                <w:sz w:val="20"/>
                <w:szCs w:val="20"/>
              </w:rPr>
              <w:t xml:space="preserve"> du Lao</w:t>
            </w:r>
          </w:p>
        </w:tc>
      </w:tr>
      <w:tr w:rsidR="00A24325" w:rsidRPr="00C001AC" w14:paraId="4D6227B9" w14:textId="77777777" w:rsidTr="005D140A">
        <w:trPr>
          <w:trHeight w:val="302"/>
        </w:trPr>
        <w:tc>
          <w:tcPr>
            <w:tcW w:w="1728" w:type="dxa"/>
          </w:tcPr>
          <w:p w14:paraId="0E4664BB" w14:textId="77777777" w:rsidR="00A24325" w:rsidRPr="00A24325" w:rsidRDefault="00A24325" w:rsidP="00A24325">
            <w:pPr>
              <w:spacing w:before="0"/>
              <w:ind w:left="0"/>
              <w:rPr>
                <w:sz w:val="20"/>
                <w:szCs w:val="20"/>
              </w:rPr>
            </w:pPr>
            <w:r w:rsidRPr="00A24325">
              <w:rPr>
                <w:sz w:val="20"/>
                <w:szCs w:val="20"/>
              </w:rPr>
              <w:t>EU</w:t>
            </w:r>
          </w:p>
        </w:tc>
        <w:tc>
          <w:tcPr>
            <w:tcW w:w="7622" w:type="dxa"/>
          </w:tcPr>
          <w:p w14:paraId="3D930CE3" w14:textId="77777777" w:rsidR="00A24325" w:rsidRPr="00A24325" w:rsidRDefault="00A24325" w:rsidP="00A24325">
            <w:pPr>
              <w:spacing w:before="0"/>
              <w:ind w:left="0"/>
              <w:rPr>
                <w:sz w:val="20"/>
                <w:szCs w:val="20"/>
              </w:rPr>
            </w:pPr>
            <w:r w:rsidRPr="00A24325">
              <w:rPr>
                <w:sz w:val="20"/>
                <w:szCs w:val="20"/>
              </w:rPr>
              <w:t>European Union</w:t>
            </w:r>
          </w:p>
        </w:tc>
      </w:tr>
      <w:tr w:rsidR="00A24325" w:rsidRPr="00C001AC" w14:paraId="1B019CD7" w14:textId="77777777" w:rsidTr="005D140A">
        <w:trPr>
          <w:trHeight w:val="302"/>
        </w:trPr>
        <w:tc>
          <w:tcPr>
            <w:tcW w:w="1728" w:type="dxa"/>
          </w:tcPr>
          <w:p w14:paraId="499AB415" w14:textId="77777777" w:rsidR="00A24325" w:rsidRPr="00A24325" w:rsidRDefault="00A24325" w:rsidP="00A24325">
            <w:pPr>
              <w:spacing w:before="0"/>
              <w:ind w:left="0"/>
              <w:rPr>
                <w:sz w:val="20"/>
                <w:szCs w:val="20"/>
              </w:rPr>
            </w:pPr>
            <w:r w:rsidRPr="00A24325">
              <w:rPr>
                <w:sz w:val="20"/>
                <w:szCs w:val="20"/>
              </w:rPr>
              <w:t>FDI</w:t>
            </w:r>
          </w:p>
        </w:tc>
        <w:tc>
          <w:tcPr>
            <w:tcW w:w="7622" w:type="dxa"/>
          </w:tcPr>
          <w:p w14:paraId="4EFB553B" w14:textId="77777777" w:rsidR="00A24325" w:rsidRPr="00A24325" w:rsidRDefault="00A24325" w:rsidP="00A24325">
            <w:pPr>
              <w:spacing w:before="0"/>
              <w:ind w:left="0"/>
              <w:rPr>
                <w:sz w:val="20"/>
                <w:szCs w:val="20"/>
              </w:rPr>
            </w:pPr>
            <w:r w:rsidRPr="00A24325">
              <w:rPr>
                <w:sz w:val="20"/>
                <w:szCs w:val="20"/>
              </w:rPr>
              <w:t>Foreign Direct Investment</w:t>
            </w:r>
          </w:p>
        </w:tc>
      </w:tr>
      <w:tr w:rsidR="00A24325" w:rsidRPr="00C001AC" w14:paraId="4035F38F" w14:textId="77777777" w:rsidTr="005D140A">
        <w:trPr>
          <w:trHeight w:val="302"/>
        </w:trPr>
        <w:tc>
          <w:tcPr>
            <w:tcW w:w="1728" w:type="dxa"/>
          </w:tcPr>
          <w:p w14:paraId="27EAA6DE" w14:textId="77777777" w:rsidR="00A24325" w:rsidRPr="00A24325" w:rsidRDefault="00A24325" w:rsidP="00A24325">
            <w:pPr>
              <w:spacing w:before="0"/>
              <w:ind w:left="0"/>
              <w:rPr>
                <w:sz w:val="20"/>
                <w:szCs w:val="20"/>
              </w:rPr>
            </w:pPr>
            <w:r w:rsidRPr="00A24325">
              <w:rPr>
                <w:sz w:val="20"/>
                <w:szCs w:val="20"/>
              </w:rPr>
              <w:t>FFRDF</w:t>
            </w:r>
          </w:p>
        </w:tc>
        <w:tc>
          <w:tcPr>
            <w:tcW w:w="7622" w:type="dxa"/>
          </w:tcPr>
          <w:p w14:paraId="7010666A" w14:textId="77777777" w:rsidR="00A24325" w:rsidRPr="00A24325" w:rsidRDefault="00A24325" w:rsidP="00A24325">
            <w:pPr>
              <w:spacing w:before="0"/>
              <w:ind w:left="0"/>
              <w:rPr>
                <w:sz w:val="20"/>
                <w:szCs w:val="20"/>
              </w:rPr>
            </w:pPr>
            <w:r w:rsidRPr="00A24325">
              <w:rPr>
                <w:sz w:val="20"/>
                <w:szCs w:val="20"/>
              </w:rPr>
              <w:t>Forest and Forest Resources Development Fund</w:t>
            </w:r>
          </w:p>
        </w:tc>
      </w:tr>
      <w:tr w:rsidR="00A24325" w:rsidRPr="00C001AC" w14:paraId="14E570C1" w14:textId="77777777" w:rsidTr="005D140A">
        <w:trPr>
          <w:trHeight w:val="302"/>
        </w:trPr>
        <w:tc>
          <w:tcPr>
            <w:tcW w:w="1728" w:type="dxa"/>
          </w:tcPr>
          <w:p w14:paraId="70CD82F2" w14:textId="77777777" w:rsidR="00A24325" w:rsidRPr="00A24325" w:rsidRDefault="00A24325" w:rsidP="00A24325">
            <w:pPr>
              <w:spacing w:before="0"/>
              <w:ind w:left="0"/>
              <w:rPr>
                <w:sz w:val="20"/>
                <w:szCs w:val="20"/>
              </w:rPr>
            </w:pPr>
            <w:r w:rsidRPr="00A24325">
              <w:rPr>
                <w:sz w:val="20"/>
                <w:szCs w:val="20"/>
              </w:rPr>
              <w:t>EPF</w:t>
            </w:r>
          </w:p>
        </w:tc>
        <w:tc>
          <w:tcPr>
            <w:tcW w:w="7622" w:type="dxa"/>
          </w:tcPr>
          <w:p w14:paraId="1725817E" w14:textId="77777777" w:rsidR="00A24325" w:rsidRPr="00A24325" w:rsidRDefault="00A24325" w:rsidP="00A24325">
            <w:pPr>
              <w:spacing w:before="0"/>
              <w:ind w:left="0"/>
              <w:rPr>
                <w:sz w:val="20"/>
                <w:szCs w:val="20"/>
              </w:rPr>
            </w:pPr>
            <w:r w:rsidRPr="00A24325">
              <w:rPr>
                <w:sz w:val="20"/>
                <w:szCs w:val="20"/>
              </w:rPr>
              <w:t>Environment Protection Fund</w:t>
            </w:r>
          </w:p>
        </w:tc>
      </w:tr>
      <w:tr w:rsidR="00A24325" w:rsidRPr="00C001AC" w14:paraId="68B432CB" w14:textId="77777777" w:rsidTr="005D140A">
        <w:trPr>
          <w:trHeight w:val="302"/>
        </w:trPr>
        <w:tc>
          <w:tcPr>
            <w:tcW w:w="1728" w:type="dxa"/>
          </w:tcPr>
          <w:p w14:paraId="41235582" w14:textId="77777777" w:rsidR="00A24325" w:rsidRPr="00A24325" w:rsidRDefault="00A24325" w:rsidP="00A24325">
            <w:pPr>
              <w:spacing w:before="0"/>
              <w:ind w:left="0"/>
              <w:rPr>
                <w:sz w:val="20"/>
                <w:szCs w:val="20"/>
              </w:rPr>
            </w:pPr>
            <w:r w:rsidRPr="00A24325">
              <w:rPr>
                <w:sz w:val="20"/>
                <w:szCs w:val="20"/>
              </w:rPr>
              <w:t>FICT</w:t>
            </w:r>
          </w:p>
        </w:tc>
        <w:tc>
          <w:tcPr>
            <w:tcW w:w="7622" w:type="dxa"/>
          </w:tcPr>
          <w:p w14:paraId="03943B51" w14:textId="77777777" w:rsidR="00A24325" w:rsidRPr="00A24325" w:rsidRDefault="00A24325" w:rsidP="00A24325">
            <w:pPr>
              <w:spacing w:before="0"/>
              <w:ind w:left="0"/>
              <w:rPr>
                <w:sz w:val="20"/>
                <w:szCs w:val="20"/>
              </w:rPr>
            </w:pPr>
            <w:r w:rsidRPr="00A24325">
              <w:rPr>
                <w:sz w:val="20"/>
                <w:szCs w:val="20"/>
              </w:rPr>
              <w:t xml:space="preserve">Financial Information Technology Center </w:t>
            </w:r>
          </w:p>
        </w:tc>
      </w:tr>
      <w:tr w:rsidR="00A24325" w:rsidRPr="00C001AC" w14:paraId="60B02D68" w14:textId="77777777" w:rsidTr="005D140A">
        <w:trPr>
          <w:trHeight w:val="302"/>
        </w:trPr>
        <w:tc>
          <w:tcPr>
            <w:tcW w:w="1728" w:type="dxa"/>
          </w:tcPr>
          <w:p w14:paraId="640D8191" w14:textId="77777777" w:rsidR="00A24325" w:rsidRPr="00A24325" w:rsidRDefault="00A24325" w:rsidP="00A24325">
            <w:pPr>
              <w:spacing w:before="0"/>
              <w:ind w:left="0"/>
              <w:rPr>
                <w:sz w:val="20"/>
                <w:szCs w:val="20"/>
              </w:rPr>
            </w:pPr>
            <w:r w:rsidRPr="00A24325">
              <w:rPr>
                <w:sz w:val="20"/>
                <w:szCs w:val="20"/>
              </w:rPr>
              <w:t>FMCBP</w:t>
            </w:r>
          </w:p>
        </w:tc>
        <w:tc>
          <w:tcPr>
            <w:tcW w:w="7622" w:type="dxa"/>
          </w:tcPr>
          <w:p w14:paraId="7530801F" w14:textId="77777777" w:rsidR="00A24325" w:rsidRPr="00A24325" w:rsidRDefault="00A24325" w:rsidP="00A24325">
            <w:pPr>
              <w:spacing w:before="0"/>
              <w:ind w:left="0"/>
              <w:rPr>
                <w:sz w:val="20"/>
                <w:szCs w:val="20"/>
              </w:rPr>
            </w:pPr>
            <w:r w:rsidRPr="00A24325">
              <w:rPr>
                <w:sz w:val="20"/>
                <w:szCs w:val="20"/>
              </w:rPr>
              <w:t>Financial Management Capacity Building Program</w:t>
            </w:r>
          </w:p>
        </w:tc>
      </w:tr>
      <w:tr w:rsidR="00A24325" w:rsidRPr="00C001AC" w14:paraId="17D78E50" w14:textId="77777777" w:rsidTr="005D140A">
        <w:trPr>
          <w:trHeight w:val="302"/>
        </w:trPr>
        <w:tc>
          <w:tcPr>
            <w:tcW w:w="1728" w:type="dxa"/>
          </w:tcPr>
          <w:p w14:paraId="61CACA44" w14:textId="77777777" w:rsidR="00A24325" w:rsidRPr="00A24325" w:rsidRDefault="00A24325" w:rsidP="00A24325">
            <w:pPr>
              <w:spacing w:before="0"/>
              <w:ind w:left="0"/>
              <w:rPr>
                <w:sz w:val="20"/>
                <w:szCs w:val="20"/>
              </w:rPr>
            </w:pPr>
            <w:r w:rsidRPr="00A24325">
              <w:rPr>
                <w:sz w:val="20"/>
                <w:szCs w:val="20"/>
              </w:rPr>
              <w:t>FMIS</w:t>
            </w:r>
          </w:p>
        </w:tc>
        <w:tc>
          <w:tcPr>
            <w:tcW w:w="7622" w:type="dxa"/>
          </w:tcPr>
          <w:p w14:paraId="3BBE8A97" w14:textId="77777777" w:rsidR="00A24325" w:rsidRPr="00A24325" w:rsidRDefault="00A24325" w:rsidP="00A24325">
            <w:pPr>
              <w:spacing w:before="0"/>
              <w:ind w:left="0"/>
              <w:rPr>
                <w:sz w:val="20"/>
                <w:szCs w:val="20"/>
              </w:rPr>
            </w:pPr>
            <w:r w:rsidRPr="00A24325">
              <w:rPr>
                <w:sz w:val="20"/>
                <w:szCs w:val="20"/>
              </w:rPr>
              <w:t>Financial Management Information System</w:t>
            </w:r>
          </w:p>
        </w:tc>
      </w:tr>
      <w:tr w:rsidR="00A24325" w:rsidRPr="00C001AC" w14:paraId="45483425" w14:textId="77777777" w:rsidTr="005D140A">
        <w:trPr>
          <w:trHeight w:val="302"/>
        </w:trPr>
        <w:tc>
          <w:tcPr>
            <w:tcW w:w="1728" w:type="dxa"/>
          </w:tcPr>
          <w:p w14:paraId="437B432B" w14:textId="77777777" w:rsidR="00A24325" w:rsidRPr="00A24325" w:rsidRDefault="00A24325" w:rsidP="00A24325">
            <w:pPr>
              <w:spacing w:before="0"/>
              <w:ind w:left="0"/>
              <w:rPr>
                <w:sz w:val="20"/>
                <w:szCs w:val="20"/>
              </w:rPr>
            </w:pPr>
            <w:r w:rsidRPr="00A24325">
              <w:rPr>
                <w:sz w:val="20"/>
                <w:szCs w:val="20"/>
              </w:rPr>
              <w:t>FY</w:t>
            </w:r>
          </w:p>
        </w:tc>
        <w:tc>
          <w:tcPr>
            <w:tcW w:w="7622" w:type="dxa"/>
          </w:tcPr>
          <w:p w14:paraId="6ACC939F" w14:textId="77777777" w:rsidR="00A24325" w:rsidRPr="00A24325" w:rsidRDefault="00A24325" w:rsidP="00A24325">
            <w:pPr>
              <w:spacing w:before="0"/>
              <w:ind w:left="0"/>
              <w:rPr>
                <w:sz w:val="20"/>
                <w:szCs w:val="20"/>
              </w:rPr>
            </w:pPr>
            <w:r w:rsidRPr="00A24325">
              <w:rPr>
                <w:sz w:val="20"/>
                <w:szCs w:val="20"/>
              </w:rPr>
              <w:t>Fiscal Year</w:t>
            </w:r>
          </w:p>
        </w:tc>
      </w:tr>
      <w:tr w:rsidR="00A24325" w:rsidRPr="00C001AC" w14:paraId="201BD820" w14:textId="77777777" w:rsidTr="005D140A">
        <w:trPr>
          <w:trHeight w:val="302"/>
        </w:trPr>
        <w:tc>
          <w:tcPr>
            <w:tcW w:w="1728" w:type="dxa"/>
          </w:tcPr>
          <w:p w14:paraId="7E05532B" w14:textId="77777777" w:rsidR="00A24325" w:rsidRPr="00A24325" w:rsidRDefault="00A24325" w:rsidP="00A24325">
            <w:pPr>
              <w:spacing w:before="0"/>
              <w:ind w:left="0"/>
              <w:rPr>
                <w:sz w:val="20"/>
                <w:szCs w:val="20"/>
              </w:rPr>
            </w:pPr>
            <w:r w:rsidRPr="00A24325">
              <w:rPr>
                <w:sz w:val="20"/>
                <w:szCs w:val="20"/>
              </w:rPr>
              <w:t>GDP</w:t>
            </w:r>
          </w:p>
        </w:tc>
        <w:tc>
          <w:tcPr>
            <w:tcW w:w="7622" w:type="dxa"/>
          </w:tcPr>
          <w:p w14:paraId="2D548FC2" w14:textId="77777777" w:rsidR="00A24325" w:rsidRPr="00A24325" w:rsidRDefault="00A24325" w:rsidP="00A24325">
            <w:pPr>
              <w:spacing w:before="0"/>
              <w:ind w:left="0"/>
              <w:rPr>
                <w:sz w:val="20"/>
                <w:szCs w:val="20"/>
              </w:rPr>
            </w:pPr>
            <w:r w:rsidRPr="00A24325">
              <w:rPr>
                <w:sz w:val="20"/>
                <w:szCs w:val="20"/>
              </w:rPr>
              <w:t>Gross Domestic Product</w:t>
            </w:r>
          </w:p>
        </w:tc>
      </w:tr>
      <w:tr w:rsidR="00A24325" w:rsidRPr="00C001AC" w14:paraId="5C54CCB7" w14:textId="77777777" w:rsidTr="005D140A">
        <w:trPr>
          <w:trHeight w:val="302"/>
        </w:trPr>
        <w:tc>
          <w:tcPr>
            <w:tcW w:w="1728" w:type="dxa"/>
          </w:tcPr>
          <w:p w14:paraId="673F0483" w14:textId="77777777" w:rsidR="00A24325" w:rsidRPr="00A24325" w:rsidRDefault="00A24325" w:rsidP="00A24325">
            <w:pPr>
              <w:spacing w:before="0"/>
              <w:ind w:left="0"/>
              <w:rPr>
                <w:sz w:val="20"/>
                <w:szCs w:val="20"/>
              </w:rPr>
            </w:pPr>
            <w:r w:rsidRPr="00A24325">
              <w:rPr>
                <w:sz w:val="20"/>
                <w:szCs w:val="20"/>
              </w:rPr>
              <w:t>GFIS</w:t>
            </w:r>
          </w:p>
        </w:tc>
        <w:tc>
          <w:tcPr>
            <w:tcW w:w="7622" w:type="dxa"/>
          </w:tcPr>
          <w:p w14:paraId="779CFAF7" w14:textId="77777777" w:rsidR="00A24325" w:rsidRPr="00A24325" w:rsidRDefault="00A24325" w:rsidP="00A24325">
            <w:pPr>
              <w:spacing w:before="0"/>
              <w:ind w:left="0"/>
              <w:rPr>
                <w:sz w:val="20"/>
                <w:szCs w:val="20"/>
              </w:rPr>
            </w:pPr>
            <w:r w:rsidRPr="00A24325">
              <w:rPr>
                <w:sz w:val="20"/>
                <w:szCs w:val="20"/>
              </w:rPr>
              <w:t>Government Financial Information System</w:t>
            </w:r>
          </w:p>
        </w:tc>
      </w:tr>
      <w:tr w:rsidR="00A24325" w:rsidRPr="00C001AC" w14:paraId="5D4A9854" w14:textId="77777777" w:rsidTr="005D140A">
        <w:trPr>
          <w:trHeight w:val="302"/>
        </w:trPr>
        <w:tc>
          <w:tcPr>
            <w:tcW w:w="1728" w:type="dxa"/>
          </w:tcPr>
          <w:p w14:paraId="3C3E7367" w14:textId="77777777" w:rsidR="00A24325" w:rsidRPr="00A24325" w:rsidRDefault="00A24325" w:rsidP="00A24325">
            <w:pPr>
              <w:spacing w:before="0"/>
              <w:ind w:left="0"/>
              <w:rPr>
                <w:sz w:val="20"/>
                <w:szCs w:val="20"/>
              </w:rPr>
            </w:pPr>
            <w:r w:rsidRPr="00A24325">
              <w:rPr>
                <w:sz w:val="20"/>
                <w:szCs w:val="20"/>
              </w:rPr>
              <w:t>GGP</w:t>
            </w:r>
          </w:p>
        </w:tc>
        <w:tc>
          <w:tcPr>
            <w:tcW w:w="7622" w:type="dxa"/>
          </w:tcPr>
          <w:p w14:paraId="42DE17FA" w14:textId="77777777" w:rsidR="00A24325" w:rsidRPr="00A24325" w:rsidRDefault="00A24325" w:rsidP="00A24325">
            <w:pPr>
              <w:spacing w:before="0"/>
              <w:ind w:left="0"/>
              <w:rPr>
                <w:sz w:val="20"/>
                <w:szCs w:val="20"/>
              </w:rPr>
            </w:pPr>
            <w:r w:rsidRPr="00A24325">
              <w:rPr>
                <w:sz w:val="20"/>
                <w:szCs w:val="20"/>
              </w:rPr>
              <w:t>Governance Global Practice</w:t>
            </w:r>
          </w:p>
        </w:tc>
      </w:tr>
      <w:tr w:rsidR="00A24325" w:rsidRPr="00C001AC" w14:paraId="1420C997" w14:textId="77777777" w:rsidTr="005D140A">
        <w:trPr>
          <w:trHeight w:val="302"/>
        </w:trPr>
        <w:tc>
          <w:tcPr>
            <w:tcW w:w="1728" w:type="dxa"/>
          </w:tcPr>
          <w:p w14:paraId="11C2A570" w14:textId="77777777" w:rsidR="00A24325" w:rsidRPr="00A24325" w:rsidRDefault="00A24325" w:rsidP="00A24325">
            <w:pPr>
              <w:spacing w:before="0"/>
              <w:ind w:left="0"/>
              <w:rPr>
                <w:sz w:val="20"/>
                <w:szCs w:val="20"/>
              </w:rPr>
            </w:pPr>
            <w:r w:rsidRPr="00A24325">
              <w:rPr>
                <w:sz w:val="20"/>
                <w:szCs w:val="20"/>
              </w:rPr>
              <w:t>GIZ</w:t>
            </w:r>
          </w:p>
        </w:tc>
        <w:tc>
          <w:tcPr>
            <w:tcW w:w="7622" w:type="dxa"/>
          </w:tcPr>
          <w:p w14:paraId="735161C5" w14:textId="77777777" w:rsidR="00A24325" w:rsidRPr="00A24325" w:rsidRDefault="00A24325" w:rsidP="00A24325">
            <w:pPr>
              <w:spacing w:before="0"/>
              <w:ind w:left="0"/>
              <w:rPr>
                <w:sz w:val="20"/>
                <w:szCs w:val="20"/>
              </w:rPr>
            </w:pPr>
            <w:r w:rsidRPr="00A24325">
              <w:rPr>
                <w:sz w:val="20"/>
                <w:szCs w:val="20"/>
              </w:rPr>
              <w:t xml:space="preserve">Gesellschaft </w:t>
            </w:r>
            <w:proofErr w:type="spellStart"/>
            <w:r w:rsidRPr="00A24325">
              <w:rPr>
                <w:sz w:val="20"/>
                <w:szCs w:val="20"/>
              </w:rPr>
              <w:t>für</w:t>
            </w:r>
            <w:proofErr w:type="spellEnd"/>
            <w:r w:rsidRPr="00A24325">
              <w:rPr>
                <w:sz w:val="20"/>
                <w:szCs w:val="20"/>
              </w:rPr>
              <w:t xml:space="preserve"> </w:t>
            </w:r>
            <w:proofErr w:type="spellStart"/>
            <w:r w:rsidRPr="00A24325">
              <w:rPr>
                <w:sz w:val="20"/>
                <w:szCs w:val="20"/>
              </w:rPr>
              <w:t>Internationale</w:t>
            </w:r>
            <w:proofErr w:type="spellEnd"/>
            <w:r w:rsidRPr="00A24325">
              <w:rPr>
                <w:sz w:val="20"/>
                <w:szCs w:val="20"/>
              </w:rPr>
              <w:t xml:space="preserve"> </w:t>
            </w:r>
            <w:proofErr w:type="spellStart"/>
            <w:r w:rsidRPr="00A24325">
              <w:rPr>
                <w:sz w:val="20"/>
                <w:szCs w:val="20"/>
              </w:rPr>
              <w:t>Zusammenarbeit</w:t>
            </w:r>
            <w:proofErr w:type="spellEnd"/>
          </w:p>
        </w:tc>
      </w:tr>
      <w:tr w:rsidR="00A24325" w:rsidRPr="00C001AC" w14:paraId="200747AF" w14:textId="77777777" w:rsidTr="005D140A">
        <w:trPr>
          <w:trHeight w:val="302"/>
        </w:trPr>
        <w:tc>
          <w:tcPr>
            <w:tcW w:w="1728" w:type="dxa"/>
          </w:tcPr>
          <w:p w14:paraId="48E2659F" w14:textId="77777777" w:rsidR="00A24325" w:rsidRPr="00A24325" w:rsidRDefault="00A24325" w:rsidP="00A24325">
            <w:pPr>
              <w:spacing w:before="0"/>
              <w:ind w:left="0"/>
              <w:rPr>
                <w:sz w:val="20"/>
                <w:szCs w:val="20"/>
              </w:rPr>
            </w:pPr>
            <w:r w:rsidRPr="00A24325">
              <w:rPr>
                <w:sz w:val="20"/>
                <w:szCs w:val="20"/>
              </w:rPr>
              <w:t>GNI</w:t>
            </w:r>
          </w:p>
        </w:tc>
        <w:tc>
          <w:tcPr>
            <w:tcW w:w="7622" w:type="dxa"/>
          </w:tcPr>
          <w:p w14:paraId="30614E58" w14:textId="77777777" w:rsidR="00A24325" w:rsidRPr="00A24325" w:rsidRDefault="00A24325" w:rsidP="00A24325">
            <w:pPr>
              <w:spacing w:before="0"/>
              <w:ind w:left="0"/>
              <w:rPr>
                <w:sz w:val="20"/>
                <w:szCs w:val="20"/>
              </w:rPr>
            </w:pPr>
            <w:r w:rsidRPr="00A24325">
              <w:rPr>
                <w:sz w:val="20"/>
                <w:szCs w:val="20"/>
              </w:rPr>
              <w:t>Gross National Income</w:t>
            </w:r>
          </w:p>
        </w:tc>
      </w:tr>
      <w:tr w:rsidR="00A24325" w:rsidRPr="00C001AC" w14:paraId="3ECBF15A" w14:textId="77777777" w:rsidTr="005D140A">
        <w:trPr>
          <w:trHeight w:val="302"/>
        </w:trPr>
        <w:tc>
          <w:tcPr>
            <w:tcW w:w="1728" w:type="dxa"/>
          </w:tcPr>
          <w:p w14:paraId="5255C383" w14:textId="77777777" w:rsidR="00A24325" w:rsidRPr="00A24325" w:rsidRDefault="00A24325" w:rsidP="00A24325">
            <w:pPr>
              <w:spacing w:before="0"/>
              <w:ind w:left="0"/>
              <w:rPr>
                <w:sz w:val="20"/>
                <w:szCs w:val="20"/>
              </w:rPr>
            </w:pPr>
            <w:r w:rsidRPr="00A24325">
              <w:rPr>
                <w:sz w:val="20"/>
                <w:szCs w:val="20"/>
              </w:rPr>
              <w:t>GoL</w:t>
            </w:r>
          </w:p>
        </w:tc>
        <w:tc>
          <w:tcPr>
            <w:tcW w:w="7622" w:type="dxa"/>
          </w:tcPr>
          <w:p w14:paraId="3F3A689C" w14:textId="77777777" w:rsidR="00A24325" w:rsidRPr="00A24325" w:rsidRDefault="00A24325" w:rsidP="00A24325">
            <w:pPr>
              <w:spacing w:before="0"/>
              <w:ind w:left="0"/>
              <w:rPr>
                <w:sz w:val="20"/>
                <w:szCs w:val="20"/>
              </w:rPr>
            </w:pPr>
            <w:r w:rsidRPr="00A24325">
              <w:rPr>
                <w:sz w:val="20"/>
                <w:szCs w:val="20"/>
              </w:rPr>
              <w:t>Government of Lao PDR</w:t>
            </w:r>
          </w:p>
        </w:tc>
      </w:tr>
      <w:tr w:rsidR="00A24325" w:rsidRPr="00C001AC" w14:paraId="34D4E1BA" w14:textId="77777777" w:rsidTr="005D140A">
        <w:trPr>
          <w:trHeight w:val="302"/>
        </w:trPr>
        <w:tc>
          <w:tcPr>
            <w:tcW w:w="1728" w:type="dxa"/>
          </w:tcPr>
          <w:p w14:paraId="30F6EAE1" w14:textId="77777777" w:rsidR="00A24325" w:rsidRPr="00A24325" w:rsidRDefault="00A24325" w:rsidP="00A24325">
            <w:pPr>
              <w:spacing w:before="0"/>
              <w:ind w:left="0"/>
              <w:rPr>
                <w:sz w:val="20"/>
                <w:szCs w:val="20"/>
              </w:rPr>
            </w:pPr>
            <w:r w:rsidRPr="00A24325">
              <w:rPr>
                <w:sz w:val="20"/>
                <w:szCs w:val="20"/>
              </w:rPr>
              <w:t>HDI</w:t>
            </w:r>
          </w:p>
        </w:tc>
        <w:tc>
          <w:tcPr>
            <w:tcW w:w="7622" w:type="dxa"/>
          </w:tcPr>
          <w:p w14:paraId="0B9D83C5" w14:textId="77777777" w:rsidR="00A24325" w:rsidRPr="00A24325" w:rsidRDefault="00A24325" w:rsidP="00A24325">
            <w:pPr>
              <w:spacing w:before="0"/>
              <w:ind w:left="0"/>
              <w:rPr>
                <w:sz w:val="20"/>
                <w:szCs w:val="20"/>
              </w:rPr>
            </w:pPr>
            <w:r w:rsidRPr="00A24325">
              <w:rPr>
                <w:sz w:val="20"/>
                <w:szCs w:val="20"/>
              </w:rPr>
              <w:t>Human Development Index</w:t>
            </w:r>
          </w:p>
        </w:tc>
      </w:tr>
      <w:tr w:rsidR="00A24325" w:rsidRPr="00C001AC" w14:paraId="2848D3AB" w14:textId="77777777" w:rsidTr="005D140A">
        <w:trPr>
          <w:trHeight w:val="302"/>
        </w:trPr>
        <w:tc>
          <w:tcPr>
            <w:tcW w:w="1728" w:type="dxa"/>
          </w:tcPr>
          <w:p w14:paraId="65E46925" w14:textId="77777777" w:rsidR="00A24325" w:rsidRPr="00A24325" w:rsidRDefault="00A24325" w:rsidP="00A24325">
            <w:pPr>
              <w:spacing w:before="0"/>
              <w:ind w:left="0"/>
              <w:rPr>
                <w:sz w:val="20"/>
                <w:szCs w:val="20"/>
              </w:rPr>
            </w:pPr>
            <w:r w:rsidRPr="00A24325">
              <w:rPr>
                <w:sz w:val="20"/>
                <w:szCs w:val="20"/>
              </w:rPr>
              <w:t>ICT</w:t>
            </w:r>
          </w:p>
        </w:tc>
        <w:tc>
          <w:tcPr>
            <w:tcW w:w="7622" w:type="dxa"/>
          </w:tcPr>
          <w:p w14:paraId="06A2A2B6" w14:textId="77777777" w:rsidR="00A24325" w:rsidRPr="00A24325" w:rsidRDefault="00A24325" w:rsidP="00A24325">
            <w:pPr>
              <w:spacing w:before="0"/>
              <w:ind w:left="0"/>
              <w:rPr>
                <w:sz w:val="20"/>
                <w:szCs w:val="20"/>
              </w:rPr>
            </w:pPr>
            <w:r w:rsidRPr="00A24325">
              <w:rPr>
                <w:sz w:val="20"/>
                <w:szCs w:val="20"/>
              </w:rPr>
              <w:t xml:space="preserve">Information, Communications and Technology </w:t>
            </w:r>
          </w:p>
        </w:tc>
      </w:tr>
      <w:tr w:rsidR="00A24325" w:rsidRPr="00C001AC" w14:paraId="0E7C6DC6" w14:textId="77777777" w:rsidTr="005D140A">
        <w:trPr>
          <w:trHeight w:val="302"/>
        </w:trPr>
        <w:tc>
          <w:tcPr>
            <w:tcW w:w="1728" w:type="dxa"/>
          </w:tcPr>
          <w:p w14:paraId="0CED1FC4" w14:textId="77777777" w:rsidR="00A24325" w:rsidRPr="00A24325" w:rsidRDefault="00A24325" w:rsidP="00A24325">
            <w:pPr>
              <w:spacing w:before="0"/>
              <w:ind w:left="0"/>
              <w:rPr>
                <w:sz w:val="20"/>
                <w:szCs w:val="20"/>
              </w:rPr>
            </w:pPr>
            <w:r w:rsidRPr="00A24325">
              <w:rPr>
                <w:sz w:val="20"/>
                <w:szCs w:val="20"/>
              </w:rPr>
              <w:t>IMF</w:t>
            </w:r>
          </w:p>
        </w:tc>
        <w:tc>
          <w:tcPr>
            <w:tcW w:w="7622" w:type="dxa"/>
          </w:tcPr>
          <w:p w14:paraId="7FE8511B" w14:textId="77777777" w:rsidR="00A24325" w:rsidRPr="00A24325" w:rsidRDefault="00A24325" w:rsidP="00A24325">
            <w:pPr>
              <w:spacing w:before="0"/>
              <w:ind w:left="0"/>
              <w:rPr>
                <w:sz w:val="20"/>
                <w:szCs w:val="20"/>
              </w:rPr>
            </w:pPr>
            <w:r w:rsidRPr="00A24325">
              <w:rPr>
                <w:sz w:val="20"/>
                <w:szCs w:val="20"/>
              </w:rPr>
              <w:t>International Monetary Fund</w:t>
            </w:r>
          </w:p>
        </w:tc>
      </w:tr>
      <w:tr w:rsidR="00A24325" w:rsidRPr="00C001AC" w14:paraId="3E2E5C23" w14:textId="77777777" w:rsidTr="005D140A">
        <w:trPr>
          <w:trHeight w:val="302"/>
        </w:trPr>
        <w:tc>
          <w:tcPr>
            <w:tcW w:w="1728" w:type="dxa"/>
          </w:tcPr>
          <w:p w14:paraId="568C0D3C" w14:textId="77777777" w:rsidR="00A24325" w:rsidRPr="00A24325" w:rsidRDefault="00A24325" w:rsidP="00A24325">
            <w:pPr>
              <w:spacing w:before="0"/>
              <w:ind w:left="0"/>
              <w:rPr>
                <w:sz w:val="20"/>
                <w:szCs w:val="20"/>
              </w:rPr>
            </w:pPr>
            <w:r w:rsidRPr="00A24325">
              <w:rPr>
                <w:sz w:val="20"/>
                <w:szCs w:val="20"/>
              </w:rPr>
              <w:t>IT</w:t>
            </w:r>
          </w:p>
        </w:tc>
        <w:tc>
          <w:tcPr>
            <w:tcW w:w="7622" w:type="dxa"/>
          </w:tcPr>
          <w:p w14:paraId="55E49B80" w14:textId="77777777" w:rsidR="00A24325" w:rsidRPr="00A24325" w:rsidRDefault="00A24325" w:rsidP="00A24325">
            <w:pPr>
              <w:spacing w:before="0"/>
              <w:ind w:left="0"/>
              <w:rPr>
                <w:sz w:val="20"/>
                <w:szCs w:val="20"/>
              </w:rPr>
            </w:pPr>
            <w:r w:rsidRPr="00A24325">
              <w:rPr>
                <w:sz w:val="20"/>
                <w:szCs w:val="20"/>
              </w:rPr>
              <w:t>Information Technology</w:t>
            </w:r>
          </w:p>
        </w:tc>
      </w:tr>
      <w:tr w:rsidR="00A24325" w:rsidRPr="00C001AC" w14:paraId="2519F547" w14:textId="77777777" w:rsidTr="005D140A">
        <w:trPr>
          <w:trHeight w:val="302"/>
        </w:trPr>
        <w:tc>
          <w:tcPr>
            <w:tcW w:w="1728" w:type="dxa"/>
          </w:tcPr>
          <w:p w14:paraId="13916E01" w14:textId="77777777" w:rsidR="00A24325" w:rsidRPr="00A24325" w:rsidRDefault="00A24325" w:rsidP="00A24325">
            <w:pPr>
              <w:spacing w:before="0"/>
              <w:ind w:left="0"/>
              <w:rPr>
                <w:sz w:val="20"/>
                <w:szCs w:val="20"/>
              </w:rPr>
            </w:pPr>
            <w:r w:rsidRPr="00A24325">
              <w:rPr>
                <w:sz w:val="20"/>
                <w:szCs w:val="20"/>
              </w:rPr>
              <w:t>JICA</w:t>
            </w:r>
          </w:p>
        </w:tc>
        <w:tc>
          <w:tcPr>
            <w:tcW w:w="7622" w:type="dxa"/>
          </w:tcPr>
          <w:p w14:paraId="4D35D42F" w14:textId="77777777" w:rsidR="00A24325" w:rsidRPr="00A24325" w:rsidRDefault="00A24325" w:rsidP="00A24325">
            <w:pPr>
              <w:spacing w:before="0"/>
              <w:ind w:left="0"/>
              <w:rPr>
                <w:sz w:val="20"/>
                <w:szCs w:val="20"/>
              </w:rPr>
            </w:pPr>
            <w:r w:rsidRPr="00A24325">
              <w:rPr>
                <w:sz w:val="20"/>
                <w:szCs w:val="20"/>
              </w:rPr>
              <w:t>Japan International Cooperation Agency</w:t>
            </w:r>
          </w:p>
        </w:tc>
      </w:tr>
      <w:tr w:rsidR="00A24325" w:rsidRPr="00C001AC" w14:paraId="5EB349C6" w14:textId="77777777" w:rsidTr="005D140A">
        <w:trPr>
          <w:trHeight w:val="302"/>
        </w:trPr>
        <w:tc>
          <w:tcPr>
            <w:tcW w:w="1728" w:type="dxa"/>
          </w:tcPr>
          <w:p w14:paraId="6FE37557" w14:textId="77777777" w:rsidR="00A24325" w:rsidRPr="00A24325" w:rsidRDefault="00A24325" w:rsidP="00A24325">
            <w:pPr>
              <w:spacing w:before="0"/>
              <w:ind w:left="0"/>
              <w:rPr>
                <w:sz w:val="20"/>
                <w:szCs w:val="20"/>
              </w:rPr>
            </w:pPr>
            <w:r w:rsidRPr="00A24325">
              <w:rPr>
                <w:sz w:val="20"/>
                <w:szCs w:val="20"/>
              </w:rPr>
              <w:t>KEXIM</w:t>
            </w:r>
          </w:p>
        </w:tc>
        <w:tc>
          <w:tcPr>
            <w:tcW w:w="7622" w:type="dxa"/>
          </w:tcPr>
          <w:p w14:paraId="04196E90" w14:textId="77777777" w:rsidR="00A24325" w:rsidRPr="00A24325" w:rsidRDefault="00A24325" w:rsidP="00A24325">
            <w:pPr>
              <w:spacing w:before="0"/>
              <w:ind w:left="0"/>
              <w:rPr>
                <w:sz w:val="20"/>
                <w:szCs w:val="20"/>
              </w:rPr>
            </w:pPr>
            <w:r w:rsidRPr="00A24325">
              <w:rPr>
                <w:sz w:val="20"/>
                <w:szCs w:val="20"/>
              </w:rPr>
              <w:t>Korea Export-Import Bank</w:t>
            </w:r>
          </w:p>
        </w:tc>
      </w:tr>
      <w:tr w:rsidR="00A24325" w:rsidRPr="00C001AC" w14:paraId="0C7249B0" w14:textId="77777777" w:rsidTr="005D140A">
        <w:trPr>
          <w:trHeight w:val="302"/>
        </w:trPr>
        <w:tc>
          <w:tcPr>
            <w:tcW w:w="1728" w:type="dxa"/>
          </w:tcPr>
          <w:p w14:paraId="414CA1A7" w14:textId="77777777" w:rsidR="00A24325" w:rsidRPr="00A24325" w:rsidRDefault="00A24325" w:rsidP="00A24325">
            <w:pPr>
              <w:spacing w:before="0"/>
              <w:ind w:left="0"/>
              <w:rPr>
                <w:sz w:val="20"/>
                <w:szCs w:val="20"/>
              </w:rPr>
            </w:pPr>
            <w:r w:rsidRPr="00A24325">
              <w:rPr>
                <w:sz w:val="20"/>
                <w:szCs w:val="20"/>
              </w:rPr>
              <w:t>LDB</w:t>
            </w:r>
          </w:p>
        </w:tc>
        <w:tc>
          <w:tcPr>
            <w:tcW w:w="7622" w:type="dxa"/>
          </w:tcPr>
          <w:p w14:paraId="33E2520B" w14:textId="77777777" w:rsidR="00A24325" w:rsidRPr="00A24325" w:rsidRDefault="00A24325" w:rsidP="00A24325">
            <w:pPr>
              <w:spacing w:before="0"/>
              <w:ind w:left="0"/>
              <w:rPr>
                <w:sz w:val="20"/>
                <w:szCs w:val="20"/>
              </w:rPr>
            </w:pPr>
            <w:r w:rsidRPr="00A24325">
              <w:rPr>
                <w:sz w:val="20"/>
                <w:szCs w:val="20"/>
              </w:rPr>
              <w:t>Lao Development Bank</w:t>
            </w:r>
          </w:p>
        </w:tc>
      </w:tr>
      <w:tr w:rsidR="00A24325" w:rsidRPr="00C001AC" w14:paraId="3AE13C60" w14:textId="77777777" w:rsidTr="005D140A">
        <w:trPr>
          <w:trHeight w:val="302"/>
        </w:trPr>
        <w:tc>
          <w:tcPr>
            <w:tcW w:w="1728" w:type="dxa"/>
          </w:tcPr>
          <w:p w14:paraId="1781A8AD" w14:textId="77777777" w:rsidR="00A24325" w:rsidRPr="00A24325" w:rsidRDefault="00A24325" w:rsidP="00A24325">
            <w:pPr>
              <w:spacing w:before="0"/>
              <w:ind w:left="0"/>
              <w:rPr>
                <w:sz w:val="20"/>
                <w:szCs w:val="20"/>
              </w:rPr>
            </w:pPr>
            <w:r w:rsidRPr="00A24325">
              <w:rPr>
                <w:sz w:val="20"/>
                <w:szCs w:val="20"/>
              </w:rPr>
              <w:t>LDC</w:t>
            </w:r>
          </w:p>
        </w:tc>
        <w:tc>
          <w:tcPr>
            <w:tcW w:w="7622" w:type="dxa"/>
          </w:tcPr>
          <w:p w14:paraId="6430B01D" w14:textId="77777777" w:rsidR="00A24325" w:rsidRPr="00A24325" w:rsidRDefault="00A24325" w:rsidP="00A24325">
            <w:pPr>
              <w:spacing w:before="0"/>
              <w:ind w:left="0"/>
              <w:rPr>
                <w:sz w:val="20"/>
                <w:szCs w:val="20"/>
              </w:rPr>
            </w:pPr>
            <w:r w:rsidRPr="00A24325">
              <w:rPr>
                <w:sz w:val="20"/>
                <w:szCs w:val="20"/>
              </w:rPr>
              <w:t>Least Developed Country</w:t>
            </w:r>
          </w:p>
        </w:tc>
      </w:tr>
      <w:tr w:rsidR="00A24325" w:rsidRPr="00C001AC" w14:paraId="2CFE9DD6" w14:textId="77777777" w:rsidTr="005D140A">
        <w:trPr>
          <w:trHeight w:val="302"/>
        </w:trPr>
        <w:tc>
          <w:tcPr>
            <w:tcW w:w="1728" w:type="dxa"/>
          </w:tcPr>
          <w:p w14:paraId="6DD601AB" w14:textId="77777777" w:rsidR="00A24325" w:rsidRPr="00A24325" w:rsidRDefault="00A24325" w:rsidP="00A24325">
            <w:pPr>
              <w:spacing w:before="0"/>
              <w:ind w:left="0"/>
              <w:rPr>
                <w:sz w:val="20"/>
                <w:szCs w:val="20"/>
              </w:rPr>
            </w:pPr>
            <w:r w:rsidRPr="00A24325">
              <w:rPr>
                <w:sz w:val="20"/>
                <w:szCs w:val="20"/>
              </w:rPr>
              <w:t>LPRP</w:t>
            </w:r>
          </w:p>
        </w:tc>
        <w:tc>
          <w:tcPr>
            <w:tcW w:w="7622" w:type="dxa"/>
          </w:tcPr>
          <w:p w14:paraId="460AF24F" w14:textId="77777777" w:rsidR="00A24325" w:rsidRPr="00A24325" w:rsidRDefault="00A24325" w:rsidP="00A24325">
            <w:pPr>
              <w:spacing w:before="0"/>
              <w:ind w:left="0"/>
              <w:rPr>
                <w:sz w:val="20"/>
                <w:szCs w:val="20"/>
              </w:rPr>
            </w:pPr>
            <w:r w:rsidRPr="00A24325">
              <w:rPr>
                <w:sz w:val="20"/>
                <w:szCs w:val="20"/>
              </w:rPr>
              <w:t>Lao People’s Revolutionary Party</w:t>
            </w:r>
          </w:p>
        </w:tc>
      </w:tr>
      <w:tr w:rsidR="00A24325" w:rsidRPr="00C001AC" w14:paraId="08BDD939" w14:textId="77777777" w:rsidTr="005D140A">
        <w:trPr>
          <w:trHeight w:val="302"/>
        </w:trPr>
        <w:tc>
          <w:tcPr>
            <w:tcW w:w="1728" w:type="dxa"/>
          </w:tcPr>
          <w:p w14:paraId="3EF9EC1D" w14:textId="77777777" w:rsidR="00A24325" w:rsidRPr="00A24325" w:rsidRDefault="00A24325" w:rsidP="00A24325">
            <w:pPr>
              <w:spacing w:before="0"/>
              <w:ind w:left="0"/>
              <w:rPr>
                <w:sz w:val="20"/>
                <w:szCs w:val="20"/>
              </w:rPr>
            </w:pPr>
            <w:r w:rsidRPr="00A24325">
              <w:rPr>
                <w:sz w:val="20"/>
                <w:szCs w:val="20"/>
              </w:rPr>
              <w:t>LSFC</w:t>
            </w:r>
          </w:p>
        </w:tc>
        <w:tc>
          <w:tcPr>
            <w:tcW w:w="7622" w:type="dxa"/>
          </w:tcPr>
          <w:p w14:paraId="14E3F86B" w14:textId="77777777" w:rsidR="00A24325" w:rsidRPr="00A24325" w:rsidRDefault="00A24325" w:rsidP="00A24325">
            <w:pPr>
              <w:spacing w:before="0"/>
              <w:ind w:left="0"/>
              <w:rPr>
                <w:sz w:val="20"/>
                <w:szCs w:val="20"/>
              </w:rPr>
            </w:pPr>
            <w:r w:rsidRPr="00A24325">
              <w:rPr>
                <w:sz w:val="20"/>
                <w:szCs w:val="20"/>
              </w:rPr>
              <w:t>Lao State Fuel Company</w:t>
            </w:r>
          </w:p>
        </w:tc>
      </w:tr>
      <w:tr w:rsidR="00A24325" w:rsidRPr="00C001AC" w14:paraId="578346AB" w14:textId="77777777" w:rsidTr="005D140A">
        <w:trPr>
          <w:trHeight w:val="302"/>
        </w:trPr>
        <w:tc>
          <w:tcPr>
            <w:tcW w:w="1728" w:type="dxa"/>
          </w:tcPr>
          <w:p w14:paraId="76430398" w14:textId="77777777" w:rsidR="00A24325" w:rsidRPr="00A24325" w:rsidRDefault="00A24325" w:rsidP="00A24325">
            <w:pPr>
              <w:spacing w:before="0"/>
              <w:ind w:left="0"/>
              <w:rPr>
                <w:sz w:val="20"/>
                <w:szCs w:val="20"/>
              </w:rPr>
            </w:pPr>
            <w:r w:rsidRPr="00A24325">
              <w:rPr>
                <w:sz w:val="20"/>
                <w:szCs w:val="20"/>
              </w:rPr>
              <w:t>LSX</w:t>
            </w:r>
          </w:p>
        </w:tc>
        <w:tc>
          <w:tcPr>
            <w:tcW w:w="7622" w:type="dxa"/>
          </w:tcPr>
          <w:p w14:paraId="03EDDEA6" w14:textId="77777777" w:rsidR="00A24325" w:rsidRPr="00A24325" w:rsidRDefault="00A24325" w:rsidP="00A24325">
            <w:pPr>
              <w:spacing w:before="0"/>
              <w:ind w:left="0"/>
              <w:rPr>
                <w:sz w:val="20"/>
                <w:szCs w:val="20"/>
              </w:rPr>
            </w:pPr>
            <w:r w:rsidRPr="00A24325">
              <w:rPr>
                <w:sz w:val="20"/>
                <w:szCs w:val="20"/>
              </w:rPr>
              <w:t>Lao Securities Exchange</w:t>
            </w:r>
          </w:p>
        </w:tc>
      </w:tr>
      <w:tr w:rsidR="00A24325" w:rsidRPr="00C001AC" w14:paraId="47FF7F62" w14:textId="77777777" w:rsidTr="005D140A">
        <w:trPr>
          <w:trHeight w:val="302"/>
        </w:trPr>
        <w:tc>
          <w:tcPr>
            <w:tcW w:w="1728" w:type="dxa"/>
          </w:tcPr>
          <w:p w14:paraId="623AE915" w14:textId="77777777" w:rsidR="00A24325" w:rsidRPr="00A24325" w:rsidRDefault="00A24325" w:rsidP="00A24325">
            <w:pPr>
              <w:spacing w:before="0"/>
              <w:ind w:left="0"/>
              <w:rPr>
                <w:sz w:val="20"/>
                <w:szCs w:val="20"/>
              </w:rPr>
            </w:pPr>
            <w:r w:rsidRPr="00A24325">
              <w:rPr>
                <w:sz w:val="20"/>
                <w:szCs w:val="20"/>
              </w:rPr>
              <w:t>LTC</w:t>
            </w:r>
          </w:p>
        </w:tc>
        <w:tc>
          <w:tcPr>
            <w:tcW w:w="7622" w:type="dxa"/>
          </w:tcPr>
          <w:p w14:paraId="090CB81A" w14:textId="77777777" w:rsidR="00A24325" w:rsidRPr="00A24325" w:rsidRDefault="00A24325" w:rsidP="00A24325">
            <w:pPr>
              <w:spacing w:before="0"/>
              <w:ind w:left="0"/>
              <w:rPr>
                <w:sz w:val="20"/>
                <w:szCs w:val="20"/>
              </w:rPr>
            </w:pPr>
            <w:r w:rsidRPr="00A24325">
              <w:rPr>
                <w:sz w:val="20"/>
                <w:szCs w:val="20"/>
              </w:rPr>
              <w:t>Lao Telecom Company</w:t>
            </w:r>
          </w:p>
        </w:tc>
      </w:tr>
      <w:tr w:rsidR="00A24325" w:rsidRPr="00C001AC" w14:paraId="6D6F4757" w14:textId="77777777" w:rsidTr="005D140A">
        <w:trPr>
          <w:trHeight w:val="302"/>
        </w:trPr>
        <w:tc>
          <w:tcPr>
            <w:tcW w:w="1728" w:type="dxa"/>
          </w:tcPr>
          <w:p w14:paraId="2FC6A673" w14:textId="77777777" w:rsidR="00A24325" w:rsidRPr="00A24325" w:rsidRDefault="00A24325" w:rsidP="00A24325">
            <w:pPr>
              <w:spacing w:before="0"/>
              <w:ind w:left="0"/>
              <w:rPr>
                <w:sz w:val="20"/>
                <w:szCs w:val="20"/>
              </w:rPr>
            </w:pPr>
            <w:r w:rsidRPr="00A24325">
              <w:rPr>
                <w:sz w:val="20"/>
                <w:szCs w:val="20"/>
              </w:rPr>
              <w:t>MAF</w:t>
            </w:r>
          </w:p>
        </w:tc>
        <w:tc>
          <w:tcPr>
            <w:tcW w:w="7622" w:type="dxa"/>
          </w:tcPr>
          <w:p w14:paraId="72EC4711" w14:textId="77777777" w:rsidR="00A24325" w:rsidRPr="00A24325" w:rsidRDefault="00A24325" w:rsidP="00A24325">
            <w:pPr>
              <w:spacing w:before="0"/>
              <w:ind w:left="0"/>
              <w:rPr>
                <w:sz w:val="20"/>
                <w:szCs w:val="20"/>
              </w:rPr>
            </w:pPr>
            <w:r w:rsidRPr="00A24325">
              <w:rPr>
                <w:sz w:val="20"/>
                <w:szCs w:val="20"/>
              </w:rPr>
              <w:t>Ministry of Agriculture and Forestry</w:t>
            </w:r>
          </w:p>
        </w:tc>
      </w:tr>
      <w:tr w:rsidR="00A24325" w:rsidRPr="00C001AC" w14:paraId="330EF6DD" w14:textId="77777777" w:rsidTr="005D140A">
        <w:trPr>
          <w:trHeight w:val="323"/>
        </w:trPr>
        <w:tc>
          <w:tcPr>
            <w:tcW w:w="1728" w:type="dxa"/>
          </w:tcPr>
          <w:p w14:paraId="6110D1A9" w14:textId="77777777" w:rsidR="00A24325" w:rsidRPr="00A24325" w:rsidRDefault="00A24325" w:rsidP="00A24325">
            <w:pPr>
              <w:spacing w:before="0"/>
              <w:ind w:left="0"/>
              <w:rPr>
                <w:sz w:val="20"/>
                <w:szCs w:val="20"/>
              </w:rPr>
            </w:pPr>
            <w:r w:rsidRPr="00A24325">
              <w:rPr>
                <w:sz w:val="20"/>
                <w:szCs w:val="20"/>
              </w:rPr>
              <w:t>MEM</w:t>
            </w:r>
          </w:p>
        </w:tc>
        <w:tc>
          <w:tcPr>
            <w:tcW w:w="7622" w:type="dxa"/>
          </w:tcPr>
          <w:p w14:paraId="5D482060" w14:textId="77777777" w:rsidR="00A24325" w:rsidRPr="00A24325" w:rsidRDefault="00A24325" w:rsidP="00A24325">
            <w:pPr>
              <w:spacing w:before="0"/>
              <w:ind w:left="0"/>
              <w:rPr>
                <w:sz w:val="20"/>
                <w:szCs w:val="20"/>
              </w:rPr>
            </w:pPr>
            <w:r w:rsidRPr="00A24325">
              <w:rPr>
                <w:sz w:val="20"/>
                <w:szCs w:val="20"/>
              </w:rPr>
              <w:t>Ministry of Energy and Mines</w:t>
            </w:r>
          </w:p>
        </w:tc>
      </w:tr>
      <w:tr w:rsidR="00A24325" w:rsidRPr="00C001AC" w14:paraId="6FC4D9F0" w14:textId="77777777" w:rsidTr="005D140A">
        <w:trPr>
          <w:trHeight w:val="302"/>
        </w:trPr>
        <w:tc>
          <w:tcPr>
            <w:tcW w:w="1728" w:type="dxa"/>
          </w:tcPr>
          <w:p w14:paraId="60215D04" w14:textId="77777777" w:rsidR="00A24325" w:rsidRPr="00A24325" w:rsidRDefault="00A24325" w:rsidP="00A24325">
            <w:pPr>
              <w:spacing w:before="0"/>
              <w:ind w:left="0"/>
              <w:rPr>
                <w:sz w:val="20"/>
                <w:szCs w:val="20"/>
              </w:rPr>
            </w:pPr>
            <w:r w:rsidRPr="00A24325">
              <w:rPr>
                <w:sz w:val="20"/>
                <w:szCs w:val="20"/>
              </w:rPr>
              <w:t>MDTF</w:t>
            </w:r>
          </w:p>
        </w:tc>
        <w:tc>
          <w:tcPr>
            <w:tcW w:w="7622" w:type="dxa"/>
          </w:tcPr>
          <w:p w14:paraId="7AFA4F65" w14:textId="77777777" w:rsidR="00A24325" w:rsidRPr="00A24325" w:rsidRDefault="00A24325" w:rsidP="00A24325">
            <w:pPr>
              <w:spacing w:before="0"/>
              <w:ind w:left="0"/>
              <w:rPr>
                <w:sz w:val="20"/>
                <w:szCs w:val="20"/>
              </w:rPr>
            </w:pPr>
            <w:r w:rsidRPr="00A24325">
              <w:rPr>
                <w:sz w:val="20"/>
                <w:szCs w:val="20"/>
              </w:rPr>
              <w:t>Multi-Donor Trust Fund</w:t>
            </w:r>
          </w:p>
        </w:tc>
      </w:tr>
      <w:tr w:rsidR="00A24325" w:rsidRPr="00C001AC" w14:paraId="744185DB" w14:textId="77777777" w:rsidTr="005D140A">
        <w:trPr>
          <w:trHeight w:val="302"/>
        </w:trPr>
        <w:tc>
          <w:tcPr>
            <w:tcW w:w="1728" w:type="dxa"/>
          </w:tcPr>
          <w:p w14:paraId="6DE9BCF4" w14:textId="77777777" w:rsidR="00A24325" w:rsidRPr="00A24325" w:rsidRDefault="00A24325" w:rsidP="00A24325">
            <w:pPr>
              <w:spacing w:before="0"/>
              <w:ind w:left="0"/>
              <w:rPr>
                <w:sz w:val="20"/>
                <w:szCs w:val="20"/>
              </w:rPr>
            </w:pPr>
            <w:proofErr w:type="spellStart"/>
            <w:r w:rsidRPr="00A24325">
              <w:rPr>
                <w:sz w:val="20"/>
                <w:szCs w:val="20"/>
              </w:rPr>
              <w:t>MoES</w:t>
            </w:r>
            <w:proofErr w:type="spellEnd"/>
          </w:p>
        </w:tc>
        <w:tc>
          <w:tcPr>
            <w:tcW w:w="7622" w:type="dxa"/>
          </w:tcPr>
          <w:p w14:paraId="3B02C4B7" w14:textId="77777777" w:rsidR="00A24325" w:rsidRPr="00A24325" w:rsidRDefault="00A24325" w:rsidP="00A24325">
            <w:pPr>
              <w:spacing w:before="0"/>
              <w:ind w:left="0"/>
              <w:rPr>
                <w:sz w:val="20"/>
                <w:szCs w:val="20"/>
              </w:rPr>
            </w:pPr>
            <w:r w:rsidRPr="00A24325">
              <w:rPr>
                <w:sz w:val="20"/>
                <w:szCs w:val="20"/>
              </w:rPr>
              <w:t>Ministry of Education and Sports</w:t>
            </w:r>
          </w:p>
        </w:tc>
      </w:tr>
      <w:tr w:rsidR="00A24325" w:rsidRPr="00C001AC" w14:paraId="6882EE6D" w14:textId="77777777" w:rsidTr="005D140A">
        <w:trPr>
          <w:trHeight w:val="302"/>
        </w:trPr>
        <w:tc>
          <w:tcPr>
            <w:tcW w:w="1728" w:type="dxa"/>
          </w:tcPr>
          <w:p w14:paraId="10B9198C" w14:textId="77777777" w:rsidR="00A24325" w:rsidRPr="00A24325" w:rsidRDefault="00A24325" w:rsidP="00A24325">
            <w:pPr>
              <w:spacing w:before="0"/>
              <w:ind w:left="0"/>
              <w:rPr>
                <w:sz w:val="20"/>
                <w:szCs w:val="20"/>
              </w:rPr>
            </w:pPr>
            <w:r w:rsidRPr="00A24325">
              <w:rPr>
                <w:sz w:val="20"/>
                <w:szCs w:val="20"/>
              </w:rPr>
              <w:t>MoF</w:t>
            </w:r>
          </w:p>
        </w:tc>
        <w:tc>
          <w:tcPr>
            <w:tcW w:w="7622" w:type="dxa"/>
          </w:tcPr>
          <w:p w14:paraId="2815D46C" w14:textId="77777777" w:rsidR="00A24325" w:rsidRPr="00A24325" w:rsidRDefault="00A24325" w:rsidP="00A24325">
            <w:pPr>
              <w:spacing w:before="0"/>
              <w:ind w:left="0"/>
              <w:rPr>
                <w:sz w:val="20"/>
                <w:szCs w:val="20"/>
              </w:rPr>
            </w:pPr>
            <w:r w:rsidRPr="00A24325">
              <w:rPr>
                <w:sz w:val="20"/>
                <w:szCs w:val="20"/>
              </w:rPr>
              <w:t>Ministry of Finance</w:t>
            </w:r>
          </w:p>
        </w:tc>
      </w:tr>
      <w:tr w:rsidR="00A24325" w:rsidRPr="00C001AC" w14:paraId="28B0320B" w14:textId="77777777" w:rsidTr="005D140A">
        <w:trPr>
          <w:trHeight w:val="302"/>
        </w:trPr>
        <w:tc>
          <w:tcPr>
            <w:tcW w:w="1728" w:type="dxa"/>
          </w:tcPr>
          <w:p w14:paraId="0201B879" w14:textId="77777777" w:rsidR="00A24325" w:rsidRPr="00A24325" w:rsidRDefault="00A24325" w:rsidP="00A24325">
            <w:pPr>
              <w:spacing w:before="0"/>
              <w:ind w:left="0"/>
              <w:rPr>
                <w:sz w:val="20"/>
                <w:szCs w:val="20"/>
              </w:rPr>
            </w:pPr>
            <w:proofErr w:type="spellStart"/>
            <w:r w:rsidRPr="00A24325">
              <w:rPr>
                <w:sz w:val="20"/>
                <w:szCs w:val="20"/>
              </w:rPr>
              <w:lastRenderedPageBreak/>
              <w:t>MoH</w:t>
            </w:r>
            <w:proofErr w:type="spellEnd"/>
          </w:p>
        </w:tc>
        <w:tc>
          <w:tcPr>
            <w:tcW w:w="7622" w:type="dxa"/>
          </w:tcPr>
          <w:p w14:paraId="170EAA83" w14:textId="77777777" w:rsidR="00A24325" w:rsidRPr="00A24325" w:rsidRDefault="00A24325" w:rsidP="00A24325">
            <w:pPr>
              <w:spacing w:before="0"/>
              <w:ind w:left="0"/>
              <w:rPr>
                <w:sz w:val="20"/>
                <w:szCs w:val="20"/>
              </w:rPr>
            </w:pPr>
            <w:r w:rsidRPr="00A24325">
              <w:rPr>
                <w:sz w:val="20"/>
                <w:szCs w:val="20"/>
              </w:rPr>
              <w:t>Ministry of Health</w:t>
            </w:r>
          </w:p>
        </w:tc>
      </w:tr>
      <w:tr w:rsidR="00A24325" w:rsidRPr="00C001AC" w14:paraId="6467BC5C" w14:textId="77777777" w:rsidTr="005D140A">
        <w:trPr>
          <w:trHeight w:val="302"/>
        </w:trPr>
        <w:tc>
          <w:tcPr>
            <w:tcW w:w="1728" w:type="dxa"/>
          </w:tcPr>
          <w:p w14:paraId="0A7CA14C" w14:textId="77777777" w:rsidR="00A24325" w:rsidRPr="00A24325" w:rsidRDefault="00A24325" w:rsidP="00A24325">
            <w:pPr>
              <w:spacing w:before="0"/>
              <w:ind w:left="0"/>
              <w:rPr>
                <w:sz w:val="20"/>
                <w:szCs w:val="20"/>
              </w:rPr>
            </w:pPr>
            <w:proofErr w:type="spellStart"/>
            <w:r w:rsidRPr="00A24325">
              <w:rPr>
                <w:sz w:val="20"/>
                <w:szCs w:val="20"/>
              </w:rPr>
              <w:t>MoHA</w:t>
            </w:r>
            <w:proofErr w:type="spellEnd"/>
          </w:p>
        </w:tc>
        <w:tc>
          <w:tcPr>
            <w:tcW w:w="7622" w:type="dxa"/>
          </w:tcPr>
          <w:p w14:paraId="6A449728" w14:textId="77777777" w:rsidR="00A24325" w:rsidRPr="00A24325" w:rsidRDefault="00A24325" w:rsidP="00A24325">
            <w:pPr>
              <w:spacing w:before="0"/>
              <w:ind w:left="0"/>
              <w:rPr>
                <w:sz w:val="20"/>
                <w:szCs w:val="20"/>
              </w:rPr>
            </w:pPr>
            <w:r w:rsidRPr="00A24325">
              <w:rPr>
                <w:sz w:val="20"/>
                <w:szCs w:val="20"/>
              </w:rPr>
              <w:t>Ministry of Home Affairs</w:t>
            </w:r>
          </w:p>
        </w:tc>
      </w:tr>
      <w:tr w:rsidR="00A24325" w:rsidRPr="00C001AC" w14:paraId="27688CDD" w14:textId="77777777" w:rsidTr="005D140A">
        <w:trPr>
          <w:trHeight w:val="302"/>
        </w:trPr>
        <w:tc>
          <w:tcPr>
            <w:tcW w:w="1728" w:type="dxa"/>
          </w:tcPr>
          <w:p w14:paraId="7AB205A9" w14:textId="77777777" w:rsidR="00A24325" w:rsidRPr="00A24325" w:rsidRDefault="00A24325" w:rsidP="00A24325">
            <w:pPr>
              <w:spacing w:before="0"/>
              <w:ind w:left="0"/>
              <w:rPr>
                <w:sz w:val="20"/>
                <w:szCs w:val="20"/>
              </w:rPr>
            </w:pPr>
            <w:proofErr w:type="spellStart"/>
            <w:r w:rsidRPr="00A24325">
              <w:rPr>
                <w:sz w:val="20"/>
                <w:szCs w:val="20"/>
              </w:rPr>
              <w:t>MoIC</w:t>
            </w:r>
            <w:proofErr w:type="spellEnd"/>
          </w:p>
        </w:tc>
        <w:tc>
          <w:tcPr>
            <w:tcW w:w="7622" w:type="dxa"/>
          </w:tcPr>
          <w:p w14:paraId="1A902859" w14:textId="77777777" w:rsidR="00A24325" w:rsidRPr="00A24325" w:rsidRDefault="00A24325" w:rsidP="00A24325">
            <w:pPr>
              <w:spacing w:before="0"/>
              <w:ind w:left="0"/>
              <w:rPr>
                <w:sz w:val="20"/>
                <w:szCs w:val="20"/>
              </w:rPr>
            </w:pPr>
            <w:r w:rsidRPr="00A24325">
              <w:rPr>
                <w:sz w:val="20"/>
                <w:szCs w:val="20"/>
              </w:rPr>
              <w:t>Ministry of Industry and Commerce</w:t>
            </w:r>
          </w:p>
        </w:tc>
      </w:tr>
      <w:tr w:rsidR="00A24325" w:rsidRPr="00C001AC" w14:paraId="55121F56" w14:textId="77777777" w:rsidTr="005D140A">
        <w:trPr>
          <w:trHeight w:val="302"/>
        </w:trPr>
        <w:tc>
          <w:tcPr>
            <w:tcW w:w="1728" w:type="dxa"/>
          </w:tcPr>
          <w:p w14:paraId="70F0CC67" w14:textId="77777777" w:rsidR="00A24325" w:rsidRPr="00A24325" w:rsidRDefault="00A24325" w:rsidP="00A24325">
            <w:pPr>
              <w:spacing w:before="0"/>
              <w:ind w:left="0"/>
              <w:rPr>
                <w:sz w:val="20"/>
                <w:szCs w:val="20"/>
              </w:rPr>
            </w:pPr>
            <w:proofErr w:type="spellStart"/>
            <w:r w:rsidRPr="00A24325">
              <w:rPr>
                <w:sz w:val="20"/>
                <w:szCs w:val="20"/>
              </w:rPr>
              <w:t>MoJ</w:t>
            </w:r>
            <w:proofErr w:type="spellEnd"/>
          </w:p>
        </w:tc>
        <w:tc>
          <w:tcPr>
            <w:tcW w:w="7622" w:type="dxa"/>
          </w:tcPr>
          <w:p w14:paraId="60DE8E9E" w14:textId="77777777" w:rsidR="00A24325" w:rsidRPr="00A24325" w:rsidRDefault="00A24325" w:rsidP="00A24325">
            <w:pPr>
              <w:spacing w:before="0"/>
              <w:ind w:left="0"/>
              <w:rPr>
                <w:sz w:val="20"/>
                <w:szCs w:val="20"/>
              </w:rPr>
            </w:pPr>
            <w:r w:rsidRPr="00A24325">
              <w:rPr>
                <w:sz w:val="20"/>
                <w:szCs w:val="20"/>
              </w:rPr>
              <w:t>Ministry of Justice</w:t>
            </w:r>
          </w:p>
        </w:tc>
      </w:tr>
      <w:tr w:rsidR="00A24325" w:rsidRPr="00C001AC" w14:paraId="77FF3B77" w14:textId="77777777" w:rsidTr="005D140A">
        <w:trPr>
          <w:trHeight w:val="302"/>
        </w:trPr>
        <w:tc>
          <w:tcPr>
            <w:tcW w:w="1728" w:type="dxa"/>
          </w:tcPr>
          <w:p w14:paraId="3348FB36" w14:textId="77777777" w:rsidR="00A24325" w:rsidRPr="00A24325" w:rsidRDefault="00A24325" w:rsidP="00A24325">
            <w:pPr>
              <w:spacing w:before="0"/>
              <w:ind w:left="0"/>
              <w:rPr>
                <w:sz w:val="20"/>
                <w:szCs w:val="20"/>
              </w:rPr>
            </w:pPr>
            <w:proofErr w:type="spellStart"/>
            <w:r w:rsidRPr="00A24325">
              <w:rPr>
                <w:sz w:val="20"/>
                <w:szCs w:val="20"/>
              </w:rPr>
              <w:t>MoNRE</w:t>
            </w:r>
            <w:proofErr w:type="spellEnd"/>
          </w:p>
        </w:tc>
        <w:tc>
          <w:tcPr>
            <w:tcW w:w="7622" w:type="dxa"/>
          </w:tcPr>
          <w:p w14:paraId="11DA1FB6" w14:textId="77777777" w:rsidR="00A24325" w:rsidRPr="00A24325" w:rsidRDefault="00A24325" w:rsidP="00A24325">
            <w:pPr>
              <w:spacing w:before="0"/>
              <w:ind w:left="0"/>
              <w:rPr>
                <w:sz w:val="20"/>
                <w:szCs w:val="20"/>
              </w:rPr>
            </w:pPr>
            <w:r w:rsidRPr="00A24325">
              <w:rPr>
                <w:sz w:val="20"/>
                <w:szCs w:val="20"/>
              </w:rPr>
              <w:t>Ministry of Natural Resources and Environment</w:t>
            </w:r>
          </w:p>
        </w:tc>
      </w:tr>
      <w:tr w:rsidR="00A24325" w:rsidRPr="00C001AC" w14:paraId="75525765" w14:textId="77777777" w:rsidTr="005D140A">
        <w:trPr>
          <w:trHeight w:val="302"/>
        </w:trPr>
        <w:tc>
          <w:tcPr>
            <w:tcW w:w="1728" w:type="dxa"/>
          </w:tcPr>
          <w:p w14:paraId="159946D5" w14:textId="77777777" w:rsidR="00A24325" w:rsidRPr="00A24325" w:rsidRDefault="00A24325" w:rsidP="00A24325">
            <w:pPr>
              <w:spacing w:before="0"/>
              <w:ind w:left="0"/>
              <w:rPr>
                <w:sz w:val="20"/>
                <w:szCs w:val="20"/>
              </w:rPr>
            </w:pPr>
            <w:r w:rsidRPr="00A24325">
              <w:rPr>
                <w:sz w:val="20"/>
                <w:szCs w:val="20"/>
              </w:rPr>
              <w:t>MPI</w:t>
            </w:r>
          </w:p>
        </w:tc>
        <w:tc>
          <w:tcPr>
            <w:tcW w:w="7622" w:type="dxa"/>
          </w:tcPr>
          <w:p w14:paraId="343F23EF" w14:textId="77777777" w:rsidR="00A24325" w:rsidRPr="00A24325" w:rsidRDefault="00A24325" w:rsidP="00A24325">
            <w:pPr>
              <w:spacing w:before="0"/>
              <w:ind w:left="0"/>
              <w:rPr>
                <w:sz w:val="20"/>
                <w:szCs w:val="20"/>
              </w:rPr>
            </w:pPr>
            <w:r w:rsidRPr="00A24325">
              <w:rPr>
                <w:sz w:val="20"/>
                <w:szCs w:val="20"/>
              </w:rPr>
              <w:t>Ministry of Planning and Investment</w:t>
            </w:r>
          </w:p>
        </w:tc>
      </w:tr>
      <w:tr w:rsidR="00A24325" w:rsidRPr="00C001AC" w14:paraId="305FE817" w14:textId="77777777" w:rsidTr="005D140A">
        <w:trPr>
          <w:trHeight w:val="302"/>
        </w:trPr>
        <w:tc>
          <w:tcPr>
            <w:tcW w:w="1728" w:type="dxa"/>
          </w:tcPr>
          <w:p w14:paraId="72EFBA25" w14:textId="77777777" w:rsidR="00A24325" w:rsidRPr="00A24325" w:rsidRDefault="00A24325" w:rsidP="00A24325">
            <w:pPr>
              <w:spacing w:before="0"/>
              <w:ind w:left="0"/>
              <w:rPr>
                <w:sz w:val="20"/>
                <w:szCs w:val="20"/>
              </w:rPr>
            </w:pPr>
            <w:r w:rsidRPr="00A24325">
              <w:rPr>
                <w:sz w:val="20"/>
                <w:szCs w:val="20"/>
              </w:rPr>
              <w:t>MPWT</w:t>
            </w:r>
          </w:p>
        </w:tc>
        <w:tc>
          <w:tcPr>
            <w:tcW w:w="7622" w:type="dxa"/>
          </w:tcPr>
          <w:p w14:paraId="71C51267" w14:textId="77777777" w:rsidR="00A24325" w:rsidRPr="00A24325" w:rsidRDefault="00A24325" w:rsidP="00A24325">
            <w:pPr>
              <w:spacing w:before="0"/>
              <w:ind w:left="0"/>
              <w:rPr>
                <w:sz w:val="20"/>
                <w:szCs w:val="20"/>
              </w:rPr>
            </w:pPr>
            <w:r w:rsidRPr="00A24325">
              <w:rPr>
                <w:sz w:val="20"/>
                <w:szCs w:val="20"/>
              </w:rPr>
              <w:t>Ministry of Public Works and Transport</w:t>
            </w:r>
          </w:p>
        </w:tc>
      </w:tr>
      <w:tr w:rsidR="00A24325" w:rsidRPr="00C001AC" w14:paraId="5FA36E26" w14:textId="77777777" w:rsidTr="005D140A">
        <w:trPr>
          <w:trHeight w:val="302"/>
        </w:trPr>
        <w:tc>
          <w:tcPr>
            <w:tcW w:w="1728" w:type="dxa"/>
          </w:tcPr>
          <w:p w14:paraId="6A5778C5" w14:textId="77777777" w:rsidR="00A24325" w:rsidRPr="00A24325" w:rsidRDefault="00A24325" w:rsidP="00A24325">
            <w:pPr>
              <w:spacing w:before="0"/>
              <w:ind w:left="0"/>
              <w:rPr>
                <w:sz w:val="20"/>
                <w:szCs w:val="20"/>
              </w:rPr>
            </w:pPr>
            <w:r w:rsidRPr="00A24325">
              <w:rPr>
                <w:sz w:val="20"/>
                <w:szCs w:val="20"/>
              </w:rPr>
              <w:t>MTFF</w:t>
            </w:r>
          </w:p>
        </w:tc>
        <w:tc>
          <w:tcPr>
            <w:tcW w:w="7622" w:type="dxa"/>
          </w:tcPr>
          <w:p w14:paraId="38C1032C" w14:textId="77777777" w:rsidR="00A24325" w:rsidRPr="00A24325" w:rsidRDefault="00A24325" w:rsidP="00A24325">
            <w:pPr>
              <w:spacing w:before="0"/>
              <w:ind w:left="0"/>
              <w:rPr>
                <w:sz w:val="20"/>
                <w:szCs w:val="20"/>
              </w:rPr>
            </w:pPr>
            <w:r w:rsidRPr="00A24325">
              <w:rPr>
                <w:sz w:val="20"/>
                <w:szCs w:val="20"/>
              </w:rPr>
              <w:t>Medium Term Fiscal Framework</w:t>
            </w:r>
          </w:p>
        </w:tc>
      </w:tr>
      <w:tr w:rsidR="00A24325" w:rsidRPr="00C001AC" w14:paraId="0B0D378A" w14:textId="77777777" w:rsidTr="005D140A">
        <w:trPr>
          <w:trHeight w:val="302"/>
        </w:trPr>
        <w:tc>
          <w:tcPr>
            <w:tcW w:w="1728" w:type="dxa"/>
          </w:tcPr>
          <w:p w14:paraId="1BC5865E" w14:textId="77777777" w:rsidR="00A24325" w:rsidRPr="00A24325" w:rsidRDefault="00A24325" w:rsidP="00A24325">
            <w:pPr>
              <w:spacing w:before="0"/>
              <w:ind w:left="0"/>
              <w:rPr>
                <w:sz w:val="20"/>
                <w:szCs w:val="20"/>
              </w:rPr>
            </w:pPr>
            <w:r w:rsidRPr="00A24325">
              <w:rPr>
                <w:sz w:val="20"/>
                <w:szCs w:val="20"/>
              </w:rPr>
              <w:t>NA</w:t>
            </w:r>
          </w:p>
        </w:tc>
        <w:tc>
          <w:tcPr>
            <w:tcW w:w="7622" w:type="dxa"/>
          </w:tcPr>
          <w:p w14:paraId="03C08078" w14:textId="77777777" w:rsidR="00A24325" w:rsidRPr="00A24325" w:rsidRDefault="00A24325" w:rsidP="00A24325">
            <w:pPr>
              <w:spacing w:before="0"/>
              <w:ind w:left="0"/>
              <w:rPr>
                <w:sz w:val="20"/>
                <w:szCs w:val="20"/>
              </w:rPr>
            </w:pPr>
            <w:r w:rsidRPr="00A24325">
              <w:rPr>
                <w:sz w:val="20"/>
                <w:szCs w:val="20"/>
              </w:rPr>
              <w:t>National Assembly</w:t>
            </w:r>
          </w:p>
        </w:tc>
      </w:tr>
      <w:tr w:rsidR="00A24325" w:rsidRPr="00C001AC" w14:paraId="72BA9DDD" w14:textId="77777777" w:rsidTr="005D140A">
        <w:trPr>
          <w:trHeight w:val="302"/>
        </w:trPr>
        <w:tc>
          <w:tcPr>
            <w:tcW w:w="1728" w:type="dxa"/>
          </w:tcPr>
          <w:p w14:paraId="1518689A" w14:textId="77777777" w:rsidR="00A24325" w:rsidRPr="00A24325" w:rsidRDefault="00A24325" w:rsidP="00A24325">
            <w:pPr>
              <w:spacing w:before="0"/>
              <w:ind w:left="0"/>
              <w:rPr>
                <w:sz w:val="20"/>
                <w:szCs w:val="20"/>
              </w:rPr>
            </w:pPr>
            <w:r w:rsidRPr="00A24325">
              <w:rPr>
                <w:sz w:val="20"/>
                <w:szCs w:val="20"/>
              </w:rPr>
              <w:t>NGPES</w:t>
            </w:r>
          </w:p>
        </w:tc>
        <w:tc>
          <w:tcPr>
            <w:tcW w:w="7622" w:type="dxa"/>
          </w:tcPr>
          <w:p w14:paraId="647189A6" w14:textId="77777777" w:rsidR="00A24325" w:rsidRPr="00A24325" w:rsidRDefault="00A24325" w:rsidP="00A24325">
            <w:pPr>
              <w:spacing w:before="0"/>
              <w:ind w:left="0"/>
              <w:rPr>
                <w:sz w:val="20"/>
                <w:szCs w:val="20"/>
              </w:rPr>
            </w:pPr>
            <w:r w:rsidRPr="00A24325">
              <w:rPr>
                <w:sz w:val="20"/>
                <w:szCs w:val="20"/>
              </w:rPr>
              <w:t>National Growth and Poverty Eradication Strategy</w:t>
            </w:r>
          </w:p>
        </w:tc>
      </w:tr>
      <w:tr w:rsidR="00A24325" w:rsidRPr="00C001AC" w14:paraId="16DE1289" w14:textId="77777777" w:rsidTr="005D140A">
        <w:trPr>
          <w:trHeight w:val="302"/>
        </w:trPr>
        <w:tc>
          <w:tcPr>
            <w:tcW w:w="1728" w:type="dxa"/>
          </w:tcPr>
          <w:p w14:paraId="7C470B16" w14:textId="77777777" w:rsidR="00A24325" w:rsidRPr="00A24325" w:rsidRDefault="00A24325" w:rsidP="00A24325">
            <w:pPr>
              <w:spacing w:before="0"/>
              <w:ind w:left="0"/>
              <w:rPr>
                <w:sz w:val="20"/>
                <w:szCs w:val="20"/>
              </w:rPr>
            </w:pPr>
            <w:r w:rsidRPr="00A24325">
              <w:rPr>
                <w:sz w:val="20"/>
                <w:szCs w:val="20"/>
              </w:rPr>
              <w:t>NPNL</w:t>
            </w:r>
          </w:p>
        </w:tc>
        <w:tc>
          <w:tcPr>
            <w:tcW w:w="7622" w:type="dxa"/>
          </w:tcPr>
          <w:p w14:paraId="4C814919" w14:textId="77777777" w:rsidR="00A24325" w:rsidRPr="00A24325" w:rsidRDefault="00A24325" w:rsidP="00A24325">
            <w:pPr>
              <w:spacing w:before="0"/>
              <w:ind w:left="0"/>
              <w:rPr>
                <w:sz w:val="20"/>
                <w:szCs w:val="20"/>
              </w:rPr>
            </w:pPr>
            <w:r w:rsidRPr="00A24325">
              <w:rPr>
                <w:sz w:val="20"/>
                <w:szCs w:val="20"/>
              </w:rPr>
              <w:t xml:space="preserve">Nam Papa </w:t>
            </w:r>
            <w:proofErr w:type="spellStart"/>
            <w:r w:rsidRPr="00A24325">
              <w:rPr>
                <w:sz w:val="20"/>
                <w:szCs w:val="20"/>
              </w:rPr>
              <w:t>Nakhone</w:t>
            </w:r>
            <w:proofErr w:type="spellEnd"/>
            <w:r w:rsidRPr="00A24325">
              <w:rPr>
                <w:sz w:val="20"/>
                <w:szCs w:val="20"/>
              </w:rPr>
              <w:t xml:space="preserve"> Luang (Vientiane Capital Water Supply State Ente</w:t>
            </w:r>
            <w:r w:rsidR="005D140A">
              <w:rPr>
                <w:sz w:val="20"/>
                <w:szCs w:val="20"/>
              </w:rPr>
              <w:t>r</w:t>
            </w:r>
            <w:r w:rsidRPr="00A24325">
              <w:rPr>
                <w:sz w:val="20"/>
                <w:szCs w:val="20"/>
              </w:rPr>
              <w:t>prise)</w:t>
            </w:r>
          </w:p>
        </w:tc>
      </w:tr>
      <w:tr w:rsidR="00A24325" w:rsidRPr="00C001AC" w14:paraId="14189264" w14:textId="77777777" w:rsidTr="005D140A">
        <w:trPr>
          <w:trHeight w:val="302"/>
        </w:trPr>
        <w:tc>
          <w:tcPr>
            <w:tcW w:w="1728" w:type="dxa"/>
          </w:tcPr>
          <w:p w14:paraId="6079CC10" w14:textId="77777777" w:rsidR="00A24325" w:rsidRPr="00A24325" w:rsidRDefault="00A24325" w:rsidP="00A24325">
            <w:pPr>
              <w:spacing w:before="0"/>
              <w:ind w:left="0"/>
              <w:rPr>
                <w:sz w:val="20"/>
                <w:szCs w:val="20"/>
              </w:rPr>
            </w:pPr>
            <w:r w:rsidRPr="00A24325">
              <w:rPr>
                <w:sz w:val="20"/>
                <w:szCs w:val="20"/>
              </w:rPr>
              <w:t>NSEDP</w:t>
            </w:r>
          </w:p>
        </w:tc>
        <w:tc>
          <w:tcPr>
            <w:tcW w:w="7622" w:type="dxa"/>
          </w:tcPr>
          <w:p w14:paraId="3B9667CA" w14:textId="77777777" w:rsidR="00A24325" w:rsidRPr="00A24325" w:rsidRDefault="00A24325" w:rsidP="00A24325">
            <w:pPr>
              <w:spacing w:before="0"/>
              <w:ind w:left="0"/>
              <w:rPr>
                <w:sz w:val="20"/>
                <w:szCs w:val="20"/>
              </w:rPr>
            </w:pPr>
            <w:r w:rsidRPr="00A24325">
              <w:rPr>
                <w:sz w:val="20"/>
                <w:szCs w:val="20"/>
              </w:rPr>
              <w:t>National Socio-Economic Development Plan</w:t>
            </w:r>
          </w:p>
        </w:tc>
      </w:tr>
      <w:tr w:rsidR="00A24325" w:rsidRPr="00C001AC" w14:paraId="671D9CD0" w14:textId="77777777" w:rsidTr="005D140A">
        <w:trPr>
          <w:trHeight w:val="302"/>
        </w:trPr>
        <w:tc>
          <w:tcPr>
            <w:tcW w:w="1728" w:type="dxa"/>
          </w:tcPr>
          <w:p w14:paraId="0DB4D049" w14:textId="77777777" w:rsidR="00A24325" w:rsidRPr="00A24325" w:rsidRDefault="00A24325" w:rsidP="00A24325">
            <w:pPr>
              <w:spacing w:before="0"/>
              <w:ind w:left="0"/>
              <w:rPr>
                <w:sz w:val="20"/>
                <w:szCs w:val="20"/>
              </w:rPr>
            </w:pPr>
            <w:r w:rsidRPr="00A24325">
              <w:rPr>
                <w:sz w:val="20"/>
                <w:szCs w:val="20"/>
              </w:rPr>
              <w:t>NSSF</w:t>
            </w:r>
          </w:p>
        </w:tc>
        <w:tc>
          <w:tcPr>
            <w:tcW w:w="7622" w:type="dxa"/>
          </w:tcPr>
          <w:p w14:paraId="6CA73EB5" w14:textId="77777777" w:rsidR="00A24325" w:rsidRPr="00A24325" w:rsidRDefault="00A24325" w:rsidP="00A24325">
            <w:pPr>
              <w:spacing w:before="0"/>
              <w:ind w:left="0"/>
              <w:rPr>
                <w:sz w:val="20"/>
                <w:szCs w:val="20"/>
              </w:rPr>
            </w:pPr>
            <w:r w:rsidRPr="00A24325">
              <w:rPr>
                <w:sz w:val="20"/>
                <w:szCs w:val="20"/>
              </w:rPr>
              <w:t>National Social Security Fund</w:t>
            </w:r>
          </w:p>
        </w:tc>
      </w:tr>
      <w:tr w:rsidR="00A24325" w:rsidRPr="00C001AC" w14:paraId="2440128A" w14:textId="77777777" w:rsidTr="005D140A">
        <w:trPr>
          <w:trHeight w:val="302"/>
        </w:trPr>
        <w:tc>
          <w:tcPr>
            <w:tcW w:w="1728" w:type="dxa"/>
          </w:tcPr>
          <w:p w14:paraId="7615C987" w14:textId="77777777" w:rsidR="00A24325" w:rsidRPr="00A24325" w:rsidRDefault="00A24325" w:rsidP="00A24325">
            <w:pPr>
              <w:spacing w:before="0"/>
              <w:ind w:left="0"/>
              <w:rPr>
                <w:sz w:val="20"/>
                <w:szCs w:val="20"/>
              </w:rPr>
            </w:pPr>
            <w:r w:rsidRPr="00A24325">
              <w:rPr>
                <w:sz w:val="20"/>
                <w:szCs w:val="20"/>
              </w:rPr>
              <w:t>NT2</w:t>
            </w:r>
          </w:p>
        </w:tc>
        <w:tc>
          <w:tcPr>
            <w:tcW w:w="7622" w:type="dxa"/>
          </w:tcPr>
          <w:p w14:paraId="3CE12473" w14:textId="77777777" w:rsidR="00A24325" w:rsidRPr="00A24325" w:rsidRDefault="00A24325" w:rsidP="00A24325">
            <w:pPr>
              <w:spacing w:before="0"/>
              <w:ind w:left="0"/>
              <w:rPr>
                <w:sz w:val="20"/>
                <w:szCs w:val="20"/>
              </w:rPr>
            </w:pPr>
            <w:r w:rsidRPr="00A24325">
              <w:rPr>
                <w:sz w:val="20"/>
                <w:szCs w:val="20"/>
              </w:rPr>
              <w:t xml:space="preserve">Nam </w:t>
            </w:r>
            <w:proofErr w:type="spellStart"/>
            <w:r w:rsidRPr="00A24325">
              <w:rPr>
                <w:sz w:val="20"/>
                <w:szCs w:val="20"/>
              </w:rPr>
              <w:t>Theun</w:t>
            </w:r>
            <w:proofErr w:type="spellEnd"/>
            <w:r w:rsidRPr="00A24325">
              <w:rPr>
                <w:sz w:val="20"/>
                <w:szCs w:val="20"/>
              </w:rPr>
              <w:t xml:space="preserve"> 2 Hydropower Project</w:t>
            </w:r>
          </w:p>
        </w:tc>
      </w:tr>
      <w:tr w:rsidR="00A24325" w:rsidRPr="00C001AC" w14:paraId="695AFD3B" w14:textId="77777777" w:rsidTr="005D140A">
        <w:trPr>
          <w:trHeight w:val="302"/>
        </w:trPr>
        <w:tc>
          <w:tcPr>
            <w:tcW w:w="1728" w:type="dxa"/>
          </w:tcPr>
          <w:p w14:paraId="49140BE7" w14:textId="77777777" w:rsidR="00A24325" w:rsidRPr="00A24325" w:rsidRDefault="00A24325" w:rsidP="00A24325">
            <w:pPr>
              <w:spacing w:before="0"/>
              <w:ind w:left="0"/>
              <w:rPr>
                <w:sz w:val="20"/>
                <w:szCs w:val="20"/>
              </w:rPr>
            </w:pPr>
            <w:r w:rsidRPr="00A24325">
              <w:rPr>
                <w:sz w:val="20"/>
                <w:szCs w:val="20"/>
              </w:rPr>
              <w:t>OT</w:t>
            </w:r>
          </w:p>
        </w:tc>
        <w:tc>
          <w:tcPr>
            <w:tcW w:w="7622" w:type="dxa"/>
          </w:tcPr>
          <w:p w14:paraId="2119799B" w14:textId="77777777" w:rsidR="00A24325" w:rsidRPr="00A24325" w:rsidRDefault="00A24325" w:rsidP="00A24325">
            <w:pPr>
              <w:spacing w:before="0"/>
              <w:ind w:left="0"/>
              <w:rPr>
                <w:sz w:val="20"/>
                <w:szCs w:val="20"/>
              </w:rPr>
            </w:pPr>
            <w:r w:rsidRPr="00A24325">
              <w:rPr>
                <w:sz w:val="20"/>
                <w:szCs w:val="20"/>
              </w:rPr>
              <w:t>Oversight Team (Lao PEFA Assessment Steering Committee)</w:t>
            </w:r>
          </w:p>
        </w:tc>
      </w:tr>
      <w:tr w:rsidR="00A24325" w:rsidRPr="00C001AC" w14:paraId="4A06491A" w14:textId="77777777" w:rsidTr="005D140A">
        <w:trPr>
          <w:trHeight w:val="302"/>
        </w:trPr>
        <w:tc>
          <w:tcPr>
            <w:tcW w:w="1728" w:type="dxa"/>
          </w:tcPr>
          <w:p w14:paraId="62B1BD0A" w14:textId="77777777" w:rsidR="00A24325" w:rsidRPr="00A24325" w:rsidRDefault="00A24325" w:rsidP="00A24325">
            <w:pPr>
              <w:spacing w:before="0"/>
              <w:ind w:left="0"/>
              <w:rPr>
                <w:sz w:val="20"/>
                <w:szCs w:val="20"/>
              </w:rPr>
            </w:pPr>
            <w:r w:rsidRPr="00A24325">
              <w:rPr>
                <w:sz w:val="20"/>
                <w:szCs w:val="20"/>
              </w:rPr>
              <w:t>PDR</w:t>
            </w:r>
          </w:p>
        </w:tc>
        <w:tc>
          <w:tcPr>
            <w:tcW w:w="7622" w:type="dxa"/>
          </w:tcPr>
          <w:p w14:paraId="57AE0518" w14:textId="77777777" w:rsidR="00A24325" w:rsidRPr="00A24325" w:rsidRDefault="00A24325" w:rsidP="00A24325">
            <w:pPr>
              <w:spacing w:before="0"/>
              <w:ind w:left="0"/>
              <w:rPr>
                <w:sz w:val="20"/>
                <w:szCs w:val="20"/>
              </w:rPr>
            </w:pPr>
            <w:r w:rsidRPr="00A24325">
              <w:rPr>
                <w:sz w:val="20"/>
                <w:szCs w:val="20"/>
              </w:rPr>
              <w:t>Lao People’s Democratic Republic</w:t>
            </w:r>
          </w:p>
        </w:tc>
      </w:tr>
      <w:tr w:rsidR="00A24325" w:rsidRPr="00C001AC" w14:paraId="0400747A" w14:textId="77777777" w:rsidTr="005D140A">
        <w:trPr>
          <w:trHeight w:val="302"/>
        </w:trPr>
        <w:tc>
          <w:tcPr>
            <w:tcW w:w="1728" w:type="dxa"/>
          </w:tcPr>
          <w:p w14:paraId="6E2F4D0C" w14:textId="77777777" w:rsidR="00A24325" w:rsidRPr="00A24325" w:rsidRDefault="00A24325" w:rsidP="00A24325">
            <w:pPr>
              <w:spacing w:before="0"/>
              <w:ind w:left="0"/>
              <w:rPr>
                <w:sz w:val="20"/>
                <w:szCs w:val="20"/>
              </w:rPr>
            </w:pPr>
            <w:r w:rsidRPr="00A24325">
              <w:rPr>
                <w:sz w:val="20"/>
                <w:szCs w:val="20"/>
              </w:rPr>
              <w:t>PEFA</w:t>
            </w:r>
          </w:p>
        </w:tc>
        <w:tc>
          <w:tcPr>
            <w:tcW w:w="7622" w:type="dxa"/>
          </w:tcPr>
          <w:p w14:paraId="27ABC710" w14:textId="77777777" w:rsidR="00A24325" w:rsidRPr="00A24325" w:rsidRDefault="00A24325" w:rsidP="00A24325">
            <w:pPr>
              <w:spacing w:before="0"/>
              <w:ind w:left="0"/>
              <w:rPr>
                <w:sz w:val="20"/>
                <w:szCs w:val="20"/>
              </w:rPr>
            </w:pPr>
            <w:r w:rsidRPr="00A24325">
              <w:rPr>
                <w:sz w:val="20"/>
                <w:szCs w:val="20"/>
              </w:rPr>
              <w:t>Public Expenditure and Financial Accountability</w:t>
            </w:r>
          </w:p>
        </w:tc>
      </w:tr>
      <w:tr w:rsidR="00A24325" w:rsidRPr="00C001AC" w14:paraId="21EAACD8" w14:textId="77777777" w:rsidTr="005D140A">
        <w:trPr>
          <w:trHeight w:val="302"/>
        </w:trPr>
        <w:tc>
          <w:tcPr>
            <w:tcW w:w="1728" w:type="dxa"/>
          </w:tcPr>
          <w:p w14:paraId="2081209F" w14:textId="77777777" w:rsidR="00A24325" w:rsidRPr="00A24325" w:rsidRDefault="00A24325" w:rsidP="00A24325">
            <w:pPr>
              <w:spacing w:before="0"/>
              <w:ind w:left="0"/>
              <w:rPr>
                <w:sz w:val="20"/>
                <w:szCs w:val="20"/>
              </w:rPr>
            </w:pPr>
            <w:r w:rsidRPr="00A24325">
              <w:rPr>
                <w:sz w:val="20"/>
                <w:szCs w:val="20"/>
              </w:rPr>
              <w:t xml:space="preserve">PFM </w:t>
            </w:r>
          </w:p>
        </w:tc>
        <w:tc>
          <w:tcPr>
            <w:tcW w:w="7622" w:type="dxa"/>
          </w:tcPr>
          <w:p w14:paraId="14CD455D" w14:textId="77777777" w:rsidR="00A24325" w:rsidRPr="00A24325" w:rsidRDefault="00A24325" w:rsidP="00A24325">
            <w:pPr>
              <w:spacing w:before="0"/>
              <w:ind w:left="0"/>
              <w:rPr>
                <w:sz w:val="20"/>
                <w:szCs w:val="20"/>
              </w:rPr>
            </w:pPr>
            <w:r w:rsidRPr="00A24325">
              <w:rPr>
                <w:sz w:val="20"/>
                <w:szCs w:val="20"/>
              </w:rPr>
              <w:t>Public Finance Management</w:t>
            </w:r>
          </w:p>
        </w:tc>
      </w:tr>
      <w:tr w:rsidR="00A24325" w:rsidRPr="00C001AC" w14:paraId="4D4D14D6" w14:textId="77777777" w:rsidTr="005D140A">
        <w:trPr>
          <w:trHeight w:val="302"/>
        </w:trPr>
        <w:tc>
          <w:tcPr>
            <w:tcW w:w="1728" w:type="dxa"/>
          </w:tcPr>
          <w:p w14:paraId="42F5ACD1" w14:textId="77777777" w:rsidR="00A24325" w:rsidRPr="00A24325" w:rsidRDefault="00A24325" w:rsidP="00A24325">
            <w:pPr>
              <w:spacing w:before="0"/>
              <w:ind w:left="0"/>
              <w:rPr>
                <w:sz w:val="20"/>
                <w:szCs w:val="20"/>
              </w:rPr>
            </w:pPr>
            <w:r w:rsidRPr="00A24325">
              <w:rPr>
                <w:sz w:val="20"/>
                <w:szCs w:val="20"/>
              </w:rPr>
              <w:t>PFMMP</w:t>
            </w:r>
          </w:p>
        </w:tc>
        <w:tc>
          <w:tcPr>
            <w:tcW w:w="7622" w:type="dxa"/>
          </w:tcPr>
          <w:p w14:paraId="65F3994D" w14:textId="77777777" w:rsidR="00A24325" w:rsidRPr="00A24325" w:rsidRDefault="00A24325" w:rsidP="00A24325">
            <w:pPr>
              <w:spacing w:before="0"/>
              <w:ind w:left="0"/>
              <w:rPr>
                <w:sz w:val="20"/>
                <w:szCs w:val="20"/>
              </w:rPr>
            </w:pPr>
            <w:r w:rsidRPr="00A24325">
              <w:rPr>
                <w:sz w:val="20"/>
                <w:szCs w:val="20"/>
              </w:rPr>
              <w:t>Public Finance Management Modernization Program</w:t>
            </w:r>
          </w:p>
        </w:tc>
      </w:tr>
      <w:tr w:rsidR="00A24325" w:rsidRPr="00C001AC" w14:paraId="1FFDC380" w14:textId="77777777" w:rsidTr="005D140A">
        <w:trPr>
          <w:trHeight w:val="302"/>
        </w:trPr>
        <w:tc>
          <w:tcPr>
            <w:tcW w:w="1728" w:type="dxa"/>
          </w:tcPr>
          <w:p w14:paraId="212524DE" w14:textId="77777777" w:rsidR="00A24325" w:rsidRPr="00A24325" w:rsidRDefault="00A24325" w:rsidP="00A24325">
            <w:pPr>
              <w:spacing w:before="0"/>
              <w:ind w:left="0"/>
              <w:rPr>
                <w:sz w:val="20"/>
                <w:szCs w:val="20"/>
              </w:rPr>
            </w:pPr>
            <w:r w:rsidRPr="00A24325">
              <w:rPr>
                <w:sz w:val="20"/>
                <w:szCs w:val="20"/>
              </w:rPr>
              <w:t>PFMSP</w:t>
            </w:r>
          </w:p>
        </w:tc>
        <w:tc>
          <w:tcPr>
            <w:tcW w:w="7622" w:type="dxa"/>
          </w:tcPr>
          <w:p w14:paraId="29042B4C" w14:textId="77777777" w:rsidR="00A24325" w:rsidRPr="00A24325" w:rsidRDefault="00A24325" w:rsidP="00A24325">
            <w:pPr>
              <w:spacing w:before="0"/>
              <w:ind w:left="0"/>
              <w:rPr>
                <w:sz w:val="20"/>
                <w:szCs w:val="20"/>
              </w:rPr>
            </w:pPr>
            <w:r w:rsidRPr="00A24325">
              <w:rPr>
                <w:sz w:val="20"/>
                <w:szCs w:val="20"/>
              </w:rPr>
              <w:t>Public Finance Management Strengthening Program</w:t>
            </w:r>
          </w:p>
        </w:tc>
      </w:tr>
      <w:tr w:rsidR="00A24325" w:rsidRPr="00C001AC" w14:paraId="16E10E54" w14:textId="77777777" w:rsidTr="005D140A">
        <w:trPr>
          <w:trHeight w:val="302"/>
        </w:trPr>
        <w:tc>
          <w:tcPr>
            <w:tcW w:w="1728" w:type="dxa"/>
          </w:tcPr>
          <w:p w14:paraId="6541C483" w14:textId="77777777" w:rsidR="00A24325" w:rsidRPr="00A24325" w:rsidRDefault="00A24325" w:rsidP="00A24325">
            <w:pPr>
              <w:spacing w:before="0"/>
              <w:ind w:left="0"/>
              <w:rPr>
                <w:sz w:val="20"/>
                <w:szCs w:val="20"/>
              </w:rPr>
            </w:pPr>
            <w:r w:rsidRPr="00A24325">
              <w:rPr>
                <w:sz w:val="20"/>
                <w:szCs w:val="20"/>
              </w:rPr>
              <w:t>PIM</w:t>
            </w:r>
          </w:p>
        </w:tc>
        <w:tc>
          <w:tcPr>
            <w:tcW w:w="7622" w:type="dxa"/>
          </w:tcPr>
          <w:p w14:paraId="271CCC94" w14:textId="77777777" w:rsidR="00A24325" w:rsidRPr="00A24325" w:rsidRDefault="00A24325" w:rsidP="00A24325">
            <w:pPr>
              <w:spacing w:before="0"/>
              <w:ind w:left="0"/>
              <w:rPr>
                <w:sz w:val="20"/>
                <w:szCs w:val="20"/>
              </w:rPr>
            </w:pPr>
            <w:r w:rsidRPr="00A24325">
              <w:rPr>
                <w:sz w:val="20"/>
                <w:szCs w:val="20"/>
              </w:rPr>
              <w:t>Public Investment Management</w:t>
            </w:r>
          </w:p>
        </w:tc>
      </w:tr>
      <w:tr w:rsidR="00A24325" w:rsidRPr="00C001AC" w14:paraId="207C0C0B" w14:textId="77777777" w:rsidTr="005D140A">
        <w:trPr>
          <w:trHeight w:val="302"/>
        </w:trPr>
        <w:tc>
          <w:tcPr>
            <w:tcW w:w="1728" w:type="dxa"/>
          </w:tcPr>
          <w:p w14:paraId="52EF67B5" w14:textId="77777777" w:rsidR="00A24325" w:rsidRPr="00A24325" w:rsidRDefault="00A24325" w:rsidP="00A24325">
            <w:pPr>
              <w:spacing w:before="0"/>
              <w:ind w:left="0"/>
              <w:rPr>
                <w:sz w:val="20"/>
                <w:szCs w:val="20"/>
              </w:rPr>
            </w:pPr>
            <w:r w:rsidRPr="00A24325">
              <w:rPr>
                <w:sz w:val="20"/>
                <w:szCs w:val="20"/>
              </w:rPr>
              <w:t>PPG</w:t>
            </w:r>
          </w:p>
        </w:tc>
        <w:tc>
          <w:tcPr>
            <w:tcW w:w="7622" w:type="dxa"/>
          </w:tcPr>
          <w:p w14:paraId="456A77A0" w14:textId="77777777" w:rsidR="00A24325" w:rsidRPr="00A24325" w:rsidRDefault="00A24325" w:rsidP="00A24325">
            <w:pPr>
              <w:spacing w:before="0"/>
              <w:ind w:left="0"/>
              <w:rPr>
                <w:sz w:val="20"/>
                <w:szCs w:val="20"/>
              </w:rPr>
            </w:pPr>
            <w:r w:rsidRPr="00A24325">
              <w:rPr>
                <w:sz w:val="20"/>
                <w:szCs w:val="20"/>
              </w:rPr>
              <w:t xml:space="preserve">Public and Publicly Guaranteed </w:t>
            </w:r>
          </w:p>
        </w:tc>
      </w:tr>
      <w:tr w:rsidR="00A24325" w:rsidRPr="00C001AC" w14:paraId="4D3F4684" w14:textId="77777777" w:rsidTr="005D140A">
        <w:trPr>
          <w:trHeight w:val="302"/>
        </w:trPr>
        <w:tc>
          <w:tcPr>
            <w:tcW w:w="1728" w:type="dxa"/>
          </w:tcPr>
          <w:p w14:paraId="51E6D072" w14:textId="77777777" w:rsidR="00A24325" w:rsidRPr="00A24325" w:rsidRDefault="00A24325" w:rsidP="00A24325">
            <w:pPr>
              <w:spacing w:before="0"/>
              <w:ind w:left="0"/>
              <w:rPr>
                <w:sz w:val="20"/>
                <w:szCs w:val="20"/>
              </w:rPr>
            </w:pPr>
            <w:r w:rsidRPr="00A24325">
              <w:rPr>
                <w:sz w:val="20"/>
                <w:szCs w:val="20"/>
              </w:rPr>
              <w:t>PRF</w:t>
            </w:r>
          </w:p>
        </w:tc>
        <w:tc>
          <w:tcPr>
            <w:tcW w:w="7622" w:type="dxa"/>
          </w:tcPr>
          <w:p w14:paraId="1ED78613" w14:textId="77777777" w:rsidR="00A24325" w:rsidRPr="00A24325" w:rsidRDefault="00A24325" w:rsidP="00A24325">
            <w:pPr>
              <w:spacing w:before="0"/>
              <w:ind w:left="0"/>
              <w:rPr>
                <w:sz w:val="20"/>
                <w:szCs w:val="20"/>
              </w:rPr>
            </w:pPr>
            <w:r w:rsidRPr="00A24325">
              <w:rPr>
                <w:sz w:val="20"/>
                <w:szCs w:val="20"/>
              </w:rPr>
              <w:t>Poverty Reduction Fund</w:t>
            </w:r>
          </w:p>
        </w:tc>
      </w:tr>
      <w:tr w:rsidR="00A24325" w:rsidRPr="00C001AC" w14:paraId="7E42E857" w14:textId="77777777" w:rsidTr="005D140A">
        <w:trPr>
          <w:trHeight w:val="302"/>
        </w:trPr>
        <w:tc>
          <w:tcPr>
            <w:tcW w:w="1728" w:type="dxa"/>
          </w:tcPr>
          <w:p w14:paraId="0F8117F6" w14:textId="77777777" w:rsidR="00A24325" w:rsidRPr="00A24325" w:rsidRDefault="00A24325" w:rsidP="00A24325">
            <w:pPr>
              <w:spacing w:before="0"/>
              <w:ind w:left="0"/>
              <w:rPr>
                <w:sz w:val="20"/>
                <w:szCs w:val="20"/>
              </w:rPr>
            </w:pPr>
            <w:r w:rsidRPr="00A24325">
              <w:rPr>
                <w:sz w:val="20"/>
                <w:szCs w:val="20"/>
              </w:rPr>
              <w:t>PRSO</w:t>
            </w:r>
          </w:p>
        </w:tc>
        <w:tc>
          <w:tcPr>
            <w:tcW w:w="7622" w:type="dxa"/>
          </w:tcPr>
          <w:p w14:paraId="66810252" w14:textId="77777777" w:rsidR="00A24325" w:rsidRPr="00A24325" w:rsidRDefault="00A24325" w:rsidP="00A24325">
            <w:pPr>
              <w:spacing w:before="0"/>
              <w:ind w:left="0"/>
              <w:rPr>
                <w:sz w:val="20"/>
                <w:szCs w:val="20"/>
              </w:rPr>
            </w:pPr>
            <w:r w:rsidRPr="00A24325">
              <w:rPr>
                <w:sz w:val="20"/>
                <w:szCs w:val="20"/>
              </w:rPr>
              <w:t xml:space="preserve">Poverty Reduction Support Operations </w:t>
            </w:r>
          </w:p>
        </w:tc>
      </w:tr>
      <w:tr w:rsidR="00A24325" w:rsidRPr="00C001AC" w14:paraId="19F8049D" w14:textId="77777777" w:rsidTr="005D140A">
        <w:trPr>
          <w:trHeight w:val="302"/>
        </w:trPr>
        <w:tc>
          <w:tcPr>
            <w:tcW w:w="1728" w:type="dxa"/>
          </w:tcPr>
          <w:p w14:paraId="67D848AA" w14:textId="77777777" w:rsidR="00A24325" w:rsidRPr="00A24325" w:rsidRDefault="00A24325" w:rsidP="00A24325">
            <w:pPr>
              <w:spacing w:before="0"/>
              <w:ind w:left="0"/>
              <w:rPr>
                <w:sz w:val="20"/>
                <w:szCs w:val="20"/>
              </w:rPr>
            </w:pPr>
            <w:r w:rsidRPr="00A24325">
              <w:rPr>
                <w:sz w:val="20"/>
                <w:szCs w:val="20"/>
              </w:rPr>
              <w:t>RMF</w:t>
            </w:r>
          </w:p>
        </w:tc>
        <w:tc>
          <w:tcPr>
            <w:tcW w:w="7622" w:type="dxa"/>
          </w:tcPr>
          <w:p w14:paraId="6F6893B9" w14:textId="77777777" w:rsidR="00A24325" w:rsidRPr="00A24325" w:rsidRDefault="00A24325" w:rsidP="00A24325">
            <w:pPr>
              <w:spacing w:before="0"/>
              <w:ind w:left="0"/>
              <w:rPr>
                <w:sz w:val="20"/>
                <w:szCs w:val="20"/>
              </w:rPr>
            </w:pPr>
            <w:r w:rsidRPr="00A24325">
              <w:rPr>
                <w:sz w:val="20"/>
                <w:szCs w:val="20"/>
              </w:rPr>
              <w:t>Road Maintenance Fund</w:t>
            </w:r>
          </w:p>
        </w:tc>
      </w:tr>
      <w:tr w:rsidR="00A24325" w:rsidRPr="00C001AC" w14:paraId="0C4AAA6E" w14:textId="77777777" w:rsidTr="005D140A">
        <w:trPr>
          <w:trHeight w:val="302"/>
        </w:trPr>
        <w:tc>
          <w:tcPr>
            <w:tcW w:w="1728" w:type="dxa"/>
          </w:tcPr>
          <w:p w14:paraId="5AD5BDCC" w14:textId="77777777" w:rsidR="00A24325" w:rsidRPr="00A24325" w:rsidRDefault="00A24325" w:rsidP="00A24325">
            <w:pPr>
              <w:spacing w:before="0"/>
              <w:ind w:left="0"/>
              <w:rPr>
                <w:sz w:val="20"/>
                <w:szCs w:val="20"/>
              </w:rPr>
            </w:pPr>
            <w:r w:rsidRPr="00A24325">
              <w:rPr>
                <w:sz w:val="20"/>
                <w:szCs w:val="20"/>
              </w:rPr>
              <w:t>SAO</w:t>
            </w:r>
          </w:p>
        </w:tc>
        <w:tc>
          <w:tcPr>
            <w:tcW w:w="7622" w:type="dxa"/>
          </w:tcPr>
          <w:p w14:paraId="54DF0EE1" w14:textId="77777777" w:rsidR="00A24325" w:rsidRPr="00A24325" w:rsidRDefault="00A24325" w:rsidP="00A24325">
            <w:pPr>
              <w:spacing w:before="0"/>
              <w:ind w:left="0"/>
              <w:rPr>
                <w:sz w:val="20"/>
                <w:szCs w:val="20"/>
              </w:rPr>
            </w:pPr>
            <w:r w:rsidRPr="00A24325">
              <w:rPr>
                <w:sz w:val="20"/>
                <w:szCs w:val="20"/>
              </w:rPr>
              <w:t>State Audit Organization</w:t>
            </w:r>
          </w:p>
        </w:tc>
      </w:tr>
      <w:tr w:rsidR="00A24325" w:rsidRPr="00C001AC" w14:paraId="72DE0931" w14:textId="77777777" w:rsidTr="005D140A">
        <w:trPr>
          <w:trHeight w:val="302"/>
        </w:trPr>
        <w:tc>
          <w:tcPr>
            <w:tcW w:w="1728" w:type="dxa"/>
          </w:tcPr>
          <w:p w14:paraId="2778E586" w14:textId="77777777" w:rsidR="00A24325" w:rsidRPr="00A24325" w:rsidRDefault="00A24325" w:rsidP="00A24325">
            <w:pPr>
              <w:spacing w:before="0"/>
              <w:ind w:left="0"/>
              <w:rPr>
                <w:sz w:val="20"/>
                <w:szCs w:val="20"/>
              </w:rPr>
            </w:pPr>
            <w:r w:rsidRPr="00A24325">
              <w:rPr>
                <w:sz w:val="20"/>
                <w:szCs w:val="20"/>
              </w:rPr>
              <w:t>SDC</w:t>
            </w:r>
          </w:p>
        </w:tc>
        <w:tc>
          <w:tcPr>
            <w:tcW w:w="7622" w:type="dxa"/>
          </w:tcPr>
          <w:p w14:paraId="640A1BEC" w14:textId="77777777" w:rsidR="00A24325" w:rsidRPr="00A24325" w:rsidRDefault="00A24325" w:rsidP="00A24325">
            <w:pPr>
              <w:spacing w:before="0"/>
              <w:ind w:left="0"/>
              <w:rPr>
                <w:sz w:val="20"/>
                <w:szCs w:val="20"/>
              </w:rPr>
            </w:pPr>
            <w:r w:rsidRPr="00A24325">
              <w:rPr>
                <w:sz w:val="20"/>
                <w:szCs w:val="20"/>
              </w:rPr>
              <w:t>Swiss Agency for Development Cooperation</w:t>
            </w:r>
          </w:p>
        </w:tc>
      </w:tr>
      <w:tr w:rsidR="00A24325" w:rsidRPr="00C001AC" w14:paraId="4C410B70" w14:textId="77777777" w:rsidTr="005D140A">
        <w:trPr>
          <w:trHeight w:val="302"/>
        </w:trPr>
        <w:tc>
          <w:tcPr>
            <w:tcW w:w="1728" w:type="dxa"/>
          </w:tcPr>
          <w:p w14:paraId="4B13A28C" w14:textId="77777777" w:rsidR="00A24325" w:rsidRPr="00A24325" w:rsidRDefault="00A24325" w:rsidP="00A24325">
            <w:pPr>
              <w:spacing w:before="0"/>
              <w:ind w:left="0"/>
              <w:rPr>
                <w:sz w:val="20"/>
                <w:szCs w:val="20"/>
              </w:rPr>
            </w:pPr>
            <w:r w:rsidRPr="00A24325">
              <w:rPr>
                <w:sz w:val="20"/>
                <w:szCs w:val="20"/>
              </w:rPr>
              <w:t>SDG</w:t>
            </w:r>
          </w:p>
        </w:tc>
        <w:tc>
          <w:tcPr>
            <w:tcW w:w="7622" w:type="dxa"/>
          </w:tcPr>
          <w:p w14:paraId="4B4FB78A" w14:textId="77777777" w:rsidR="00A24325" w:rsidRPr="00A24325" w:rsidRDefault="00A24325" w:rsidP="00A24325">
            <w:pPr>
              <w:spacing w:before="0"/>
              <w:ind w:left="0"/>
              <w:rPr>
                <w:sz w:val="20"/>
                <w:szCs w:val="20"/>
              </w:rPr>
            </w:pPr>
            <w:r w:rsidRPr="00A24325">
              <w:rPr>
                <w:sz w:val="20"/>
                <w:szCs w:val="20"/>
              </w:rPr>
              <w:t xml:space="preserve">Sustainable Development Goals </w:t>
            </w:r>
          </w:p>
        </w:tc>
      </w:tr>
      <w:tr w:rsidR="00A24325" w:rsidRPr="00C001AC" w14:paraId="31AF3987" w14:textId="77777777" w:rsidTr="005D140A">
        <w:trPr>
          <w:trHeight w:val="302"/>
        </w:trPr>
        <w:tc>
          <w:tcPr>
            <w:tcW w:w="1728" w:type="dxa"/>
          </w:tcPr>
          <w:p w14:paraId="7660AD83" w14:textId="77777777" w:rsidR="00A24325" w:rsidRPr="00A24325" w:rsidRDefault="00A24325" w:rsidP="00A24325">
            <w:pPr>
              <w:spacing w:before="0"/>
              <w:ind w:left="0"/>
              <w:rPr>
                <w:sz w:val="20"/>
                <w:szCs w:val="20"/>
              </w:rPr>
            </w:pPr>
            <w:r w:rsidRPr="00A24325">
              <w:rPr>
                <w:sz w:val="20"/>
                <w:szCs w:val="20"/>
              </w:rPr>
              <w:t>SDTF</w:t>
            </w:r>
          </w:p>
        </w:tc>
        <w:tc>
          <w:tcPr>
            <w:tcW w:w="7622" w:type="dxa"/>
          </w:tcPr>
          <w:p w14:paraId="75ED7505" w14:textId="77777777" w:rsidR="00A24325" w:rsidRPr="00A24325" w:rsidRDefault="00A24325" w:rsidP="00A24325">
            <w:pPr>
              <w:spacing w:before="0"/>
              <w:ind w:left="0"/>
              <w:rPr>
                <w:sz w:val="20"/>
                <w:szCs w:val="20"/>
              </w:rPr>
            </w:pPr>
            <w:r w:rsidRPr="00A24325">
              <w:rPr>
                <w:sz w:val="20"/>
                <w:szCs w:val="20"/>
              </w:rPr>
              <w:t>Single-Donor Trust Fund</w:t>
            </w:r>
          </w:p>
        </w:tc>
      </w:tr>
      <w:tr w:rsidR="00A24325" w:rsidRPr="00C001AC" w14:paraId="30FB7E50" w14:textId="77777777" w:rsidTr="005D140A">
        <w:trPr>
          <w:trHeight w:val="302"/>
        </w:trPr>
        <w:tc>
          <w:tcPr>
            <w:tcW w:w="1728" w:type="dxa"/>
          </w:tcPr>
          <w:p w14:paraId="2A3EBB7F" w14:textId="77777777" w:rsidR="00A24325" w:rsidRPr="00A24325" w:rsidRDefault="00A24325" w:rsidP="00A24325">
            <w:pPr>
              <w:spacing w:before="0"/>
              <w:ind w:left="0"/>
              <w:rPr>
                <w:sz w:val="20"/>
                <w:szCs w:val="20"/>
              </w:rPr>
            </w:pPr>
            <w:r w:rsidRPr="00A24325">
              <w:rPr>
                <w:sz w:val="20"/>
                <w:szCs w:val="20"/>
              </w:rPr>
              <w:t>SME</w:t>
            </w:r>
          </w:p>
        </w:tc>
        <w:tc>
          <w:tcPr>
            <w:tcW w:w="7622" w:type="dxa"/>
          </w:tcPr>
          <w:p w14:paraId="43ABCD9B" w14:textId="77777777" w:rsidR="00A24325" w:rsidRPr="00A24325" w:rsidRDefault="00A24325" w:rsidP="00A24325">
            <w:pPr>
              <w:spacing w:before="0"/>
              <w:ind w:left="0"/>
              <w:rPr>
                <w:sz w:val="20"/>
                <w:szCs w:val="20"/>
              </w:rPr>
            </w:pPr>
            <w:r w:rsidRPr="00A24325">
              <w:rPr>
                <w:sz w:val="20"/>
                <w:szCs w:val="20"/>
              </w:rPr>
              <w:t xml:space="preserve">Small and Medium Enterprise </w:t>
            </w:r>
          </w:p>
        </w:tc>
      </w:tr>
      <w:tr w:rsidR="00A24325" w:rsidRPr="00C001AC" w14:paraId="62A8A531" w14:textId="77777777" w:rsidTr="005D140A">
        <w:trPr>
          <w:trHeight w:val="302"/>
        </w:trPr>
        <w:tc>
          <w:tcPr>
            <w:tcW w:w="1728" w:type="dxa"/>
          </w:tcPr>
          <w:p w14:paraId="3B299615" w14:textId="77777777" w:rsidR="00A24325" w:rsidRPr="00A24325" w:rsidRDefault="00A24325" w:rsidP="00A24325">
            <w:pPr>
              <w:spacing w:before="0"/>
              <w:ind w:left="0"/>
              <w:rPr>
                <w:sz w:val="20"/>
                <w:szCs w:val="20"/>
              </w:rPr>
            </w:pPr>
            <w:r w:rsidRPr="00A24325">
              <w:rPr>
                <w:sz w:val="20"/>
                <w:szCs w:val="20"/>
              </w:rPr>
              <w:t>SOCB</w:t>
            </w:r>
          </w:p>
        </w:tc>
        <w:tc>
          <w:tcPr>
            <w:tcW w:w="7622" w:type="dxa"/>
          </w:tcPr>
          <w:p w14:paraId="456F875C" w14:textId="77777777" w:rsidR="00A24325" w:rsidRPr="00A24325" w:rsidRDefault="00A24325" w:rsidP="00A24325">
            <w:pPr>
              <w:spacing w:before="0"/>
              <w:ind w:left="0"/>
              <w:rPr>
                <w:sz w:val="20"/>
                <w:szCs w:val="20"/>
              </w:rPr>
            </w:pPr>
            <w:r w:rsidRPr="00A24325">
              <w:rPr>
                <w:sz w:val="20"/>
                <w:szCs w:val="20"/>
              </w:rPr>
              <w:t>State-Owned Commercial Bank</w:t>
            </w:r>
          </w:p>
        </w:tc>
      </w:tr>
      <w:tr w:rsidR="00A24325" w:rsidRPr="00C001AC" w14:paraId="41C41260" w14:textId="77777777" w:rsidTr="005D140A">
        <w:trPr>
          <w:trHeight w:val="302"/>
        </w:trPr>
        <w:tc>
          <w:tcPr>
            <w:tcW w:w="1728" w:type="dxa"/>
          </w:tcPr>
          <w:p w14:paraId="7AD641A8" w14:textId="77777777" w:rsidR="00A24325" w:rsidRPr="00A24325" w:rsidRDefault="00A24325" w:rsidP="00A24325">
            <w:pPr>
              <w:spacing w:before="0"/>
              <w:ind w:left="0"/>
              <w:rPr>
                <w:sz w:val="20"/>
                <w:szCs w:val="20"/>
              </w:rPr>
            </w:pPr>
            <w:r w:rsidRPr="00A24325">
              <w:rPr>
                <w:sz w:val="20"/>
                <w:szCs w:val="20"/>
              </w:rPr>
              <w:t>SOE</w:t>
            </w:r>
          </w:p>
        </w:tc>
        <w:tc>
          <w:tcPr>
            <w:tcW w:w="7622" w:type="dxa"/>
          </w:tcPr>
          <w:p w14:paraId="08A1C9B6" w14:textId="77777777" w:rsidR="00A24325" w:rsidRPr="00A24325" w:rsidRDefault="00A24325" w:rsidP="00A24325">
            <w:pPr>
              <w:spacing w:before="0"/>
              <w:ind w:left="0"/>
              <w:rPr>
                <w:sz w:val="20"/>
                <w:szCs w:val="20"/>
              </w:rPr>
            </w:pPr>
            <w:r w:rsidRPr="00A24325">
              <w:rPr>
                <w:sz w:val="20"/>
                <w:szCs w:val="20"/>
              </w:rPr>
              <w:t xml:space="preserve">State-Owned Enterprise </w:t>
            </w:r>
          </w:p>
        </w:tc>
      </w:tr>
      <w:tr w:rsidR="00A24325" w:rsidRPr="00C001AC" w14:paraId="1BE2AA1A" w14:textId="77777777" w:rsidTr="005D140A">
        <w:trPr>
          <w:trHeight w:val="302"/>
        </w:trPr>
        <w:tc>
          <w:tcPr>
            <w:tcW w:w="1728" w:type="dxa"/>
          </w:tcPr>
          <w:p w14:paraId="1A01BCC0" w14:textId="77777777" w:rsidR="00A24325" w:rsidRPr="00A24325" w:rsidRDefault="00A24325" w:rsidP="00A24325">
            <w:pPr>
              <w:spacing w:before="0"/>
              <w:ind w:left="0"/>
              <w:rPr>
                <w:sz w:val="20"/>
                <w:szCs w:val="20"/>
              </w:rPr>
            </w:pPr>
            <w:r w:rsidRPr="00A24325">
              <w:rPr>
                <w:sz w:val="20"/>
                <w:szCs w:val="20"/>
              </w:rPr>
              <w:t>TSA</w:t>
            </w:r>
          </w:p>
        </w:tc>
        <w:tc>
          <w:tcPr>
            <w:tcW w:w="7622" w:type="dxa"/>
          </w:tcPr>
          <w:p w14:paraId="4FB2DD5A" w14:textId="77777777" w:rsidR="00A24325" w:rsidRPr="00A24325" w:rsidRDefault="00A24325" w:rsidP="00A24325">
            <w:pPr>
              <w:spacing w:before="0"/>
              <w:ind w:left="0"/>
              <w:rPr>
                <w:sz w:val="20"/>
                <w:szCs w:val="20"/>
              </w:rPr>
            </w:pPr>
            <w:r w:rsidRPr="00A24325">
              <w:rPr>
                <w:sz w:val="20"/>
                <w:szCs w:val="20"/>
              </w:rPr>
              <w:t>Treasury Single Account</w:t>
            </w:r>
          </w:p>
        </w:tc>
      </w:tr>
      <w:tr w:rsidR="00A24325" w:rsidRPr="00C001AC" w14:paraId="29308DDE" w14:textId="77777777" w:rsidTr="005D140A">
        <w:trPr>
          <w:trHeight w:val="302"/>
        </w:trPr>
        <w:tc>
          <w:tcPr>
            <w:tcW w:w="1728" w:type="dxa"/>
          </w:tcPr>
          <w:p w14:paraId="61A46A34" w14:textId="77777777" w:rsidR="00A24325" w:rsidRPr="00A24325" w:rsidRDefault="00A24325" w:rsidP="00A24325">
            <w:pPr>
              <w:spacing w:before="0"/>
              <w:ind w:left="0"/>
              <w:rPr>
                <w:sz w:val="20"/>
                <w:szCs w:val="20"/>
              </w:rPr>
            </w:pPr>
            <w:r w:rsidRPr="00A24325">
              <w:rPr>
                <w:sz w:val="20"/>
                <w:szCs w:val="20"/>
              </w:rPr>
              <w:t>UN</w:t>
            </w:r>
          </w:p>
        </w:tc>
        <w:tc>
          <w:tcPr>
            <w:tcW w:w="7622" w:type="dxa"/>
          </w:tcPr>
          <w:p w14:paraId="7B8B4705" w14:textId="77777777" w:rsidR="00A24325" w:rsidRPr="00A24325" w:rsidRDefault="00A24325" w:rsidP="00A24325">
            <w:pPr>
              <w:spacing w:before="0"/>
              <w:ind w:left="0"/>
              <w:rPr>
                <w:sz w:val="20"/>
                <w:szCs w:val="20"/>
              </w:rPr>
            </w:pPr>
            <w:r w:rsidRPr="00A24325">
              <w:rPr>
                <w:sz w:val="20"/>
                <w:szCs w:val="20"/>
              </w:rPr>
              <w:t>United Nations</w:t>
            </w:r>
          </w:p>
        </w:tc>
      </w:tr>
      <w:tr w:rsidR="00A24325" w:rsidRPr="00C001AC" w14:paraId="4D752C4B" w14:textId="77777777" w:rsidTr="005D140A">
        <w:trPr>
          <w:trHeight w:val="302"/>
        </w:trPr>
        <w:tc>
          <w:tcPr>
            <w:tcW w:w="1728" w:type="dxa"/>
          </w:tcPr>
          <w:p w14:paraId="46BF4BA6" w14:textId="77777777" w:rsidR="00A24325" w:rsidRPr="00A24325" w:rsidRDefault="00A24325" w:rsidP="00A24325">
            <w:pPr>
              <w:spacing w:before="0"/>
              <w:ind w:left="0"/>
              <w:rPr>
                <w:sz w:val="20"/>
                <w:szCs w:val="20"/>
              </w:rPr>
            </w:pPr>
            <w:r w:rsidRPr="00A24325">
              <w:rPr>
                <w:sz w:val="20"/>
                <w:szCs w:val="20"/>
              </w:rPr>
              <w:t>VAT</w:t>
            </w:r>
          </w:p>
        </w:tc>
        <w:tc>
          <w:tcPr>
            <w:tcW w:w="7622" w:type="dxa"/>
          </w:tcPr>
          <w:p w14:paraId="33C5FC84" w14:textId="77777777" w:rsidR="00A24325" w:rsidRPr="00A24325" w:rsidRDefault="00A24325" w:rsidP="00A24325">
            <w:pPr>
              <w:spacing w:before="0"/>
              <w:ind w:left="0"/>
              <w:rPr>
                <w:sz w:val="20"/>
                <w:szCs w:val="20"/>
              </w:rPr>
            </w:pPr>
            <w:r w:rsidRPr="00A24325">
              <w:rPr>
                <w:sz w:val="20"/>
                <w:szCs w:val="20"/>
              </w:rPr>
              <w:t>Value-Added Tax</w:t>
            </w:r>
          </w:p>
        </w:tc>
      </w:tr>
      <w:tr w:rsidR="00A24325" w:rsidRPr="00C001AC" w14:paraId="65987482" w14:textId="77777777" w:rsidTr="005D140A">
        <w:trPr>
          <w:trHeight w:val="302"/>
        </w:trPr>
        <w:tc>
          <w:tcPr>
            <w:tcW w:w="1728" w:type="dxa"/>
          </w:tcPr>
          <w:p w14:paraId="23311902" w14:textId="77777777" w:rsidR="00A24325" w:rsidRPr="00A24325" w:rsidRDefault="00A24325" w:rsidP="00A24325">
            <w:pPr>
              <w:spacing w:before="0"/>
              <w:ind w:left="0"/>
              <w:rPr>
                <w:sz w:val="20"/>
                <w:szCs w:val="20"/>
              </w:rPr>
            </w:pPr>
            <w:r w:rsidRPr="00A24325">
              <w:rPr>
                <w:sz w:val="20"/>
                <w:szCs w:val="20"/>
              </w:rPr>
              <w:t>WB</w:t>
            </w:r>
          </w:p>
        </w:tc>
        <w:tc>
          <w:tcPr>
            <w:tcW w:w="7622" w:type="dxa"/>
          </w:tcPr>
          <w:p w14:paraId="2D991A73" w14:textId="77777777" w:rsidR="00A24325" w:rsidRPr="00A24325" w:rsidRDefault="00A24325" w:rsidP="00A24325">
            <w:pPr>
              <w:spacing w:before="0"/>
              <w:ind w:left="0"/>
              <w:rPr>
                <w:sz w:val="20"/>
                <w:szCs w:val="20"/>
              </w:rPr>
            </w:pPr>
            <w:r w:rsidRPr="00A24325">
              <w:rPr>
                <w:sz w:val="20"/>
                <w:szCs w:val="20"/>
              </w:rPr>
              <w:t>World Bank</w:t>
            </w:r>
          </w:p>
        </w:tc>
      </w:tr>
      <w:tr w:rsidR="00A24325" w:rsidRPr="00C001AC" w14:paraId="62516DFB" w14:textId="77777777" w:rsidTr="005D140A">
        <w:trPr>
          <w:trHeight w:val="302"/>
        </w:trPr>
        <w:tc>
          <w:tcPr>
            <w:tcW w:w="1728" w:type="dxa"/>
          </w:tcPr>
          <w:p w14:paraId="24BA8B0D" w14:textId="77777777" w:rsidR="00A24325" w:rsidRPr="00A24325" w:rsidRDefault="00A24325" w:rsidP="00A24325">
            <w:pPr>
              <w:spacing w:before="0"/>
              <w:ind w:left="0"/>
              <w:rPr>
                <w:sz w:val="20"/>
                <w:szCs w:val="20"/>
              </w:rPr>
            </w:pPr>
            <w:r w:rsidRPr="00A24325">
              <w:rPr>
                <w:sz w:val="20"/>
                <w:szCs w:val="20"/>
              </w:rPr>
              <w:t>WTO</w:t>
            </w:r>
          </w:p>
        </w:tc>
        <w:tc>
          <w:tcPr>
            <w:tcW w:w="7622" w:type="dxa"/>
          </w:tcPr>
          <w:p w14:paraId="237533D0" w14:textId="77777777" w:rsidR="00A24325" w:rsidRPr="00A24325" w:rsidRDefault="00A24325" w:rsidP="00A24325">
            <w:pPr>
              <w:spacing w:before="0"/>
              <w:ind w:left="0"/>
              <w:rPr>
                <w:sz w:val="20"/>
                <w:szCs w:val="20"/>
              </w:rPr>
            </w:pPr>
            <w:r w:rsidRPr="00A24325">
              <w:rPr>
                <w:sz w:val="20"/>
                <w:szCs w:val="20"/>
              </w:rPr>
              <w:t>World Trade Organization</w:t>
            </w:r>
          </w:p>
        </w:tc>
      </w:tr>
    </w:tbl>
    <w:p w14:paraId="68F51198" w14:textId="77777777" w:rsidR="00A24325" w:rsidRPr="00C001AC" w:rsidRDefault="00A24325" w:rsidP="00A24325">
      <w:pPr>
        <w:spacing w:line="276" w:lineRule="auto"/>
        <w:ind w:left="540"/>
        <w:rPr>
          <w:rFonts w:ascii="Times New Roman" w:hAnsi="Times New Roman"/>
        </w:rPr>
        <w:sectPr w:rsidR="00A24325" w:rsidRPr="00C001AC" w:rsidSect="00C66FE9">
          <w:pgSz w:w="12240" w:h="15840" w:code="1"/>
          <w:pgMar w:top="1440" w:right="1440" w:bottom="1440" w:left="1440" w:header="720" w:footer="720" w:gutter="0"/>
          <w:cols w:space="720"/>
          <w:titlePg/>
          <w:docGrid w:linePitch="360"/>
        </w:sectPr>
      </w:pPr>
    </w:p>
    <w:p w14:paraId="1CB0E523" w14:textId="77777777" w:rsidR="00A24325" w:rsidRPr="00C001AC" w:rsidRDefault="00A24325" w:rsidP="00A24325">
      <w:pPr>
        <w:pStyle w:val="Heading1"/>
        <w:spacing w:line="276" w:lineRule="auto"/>
        <w:ind w:left="540"/>
        <w:rPr>
          <w:rFonts w:ascii="Times New Roman" w:hAnsi="Times New Roman"/>
        </w:rPr>
      </w:pPr>
      <w:bookmarkStart w:id="3" w:name="_Toc504974009"/>
      <w:bookmarkStart w:id="4" w:name="_Toc4148974"/>
      <w:bookmarkStart w:id="5" w:name="_Toc501121306"/>
      <w:r w:rsidRPr="00C001AC">
        <w:rPr>
          <w:rFonts w:ascii="Times New Roman" w:hAnsi="Times New Roman"/>
        </w:rPr>
        <w:lastRenderedPageBreak/>
        <w:t>Executive Summary</w:t>
      </w:r>
      <w:bookmarkEnd w:id="3"/>
      <w:bookmarkEnd w:id="4"/>
    </w:p>
    <w:p w14:paraId="49533F4A" w14:textId="77777777" w:rsidR="002A2672" w:rsidRPr="00C001AC" w:rsidRDefault="002A2672" w:rsidP="002A2672">
      <w:pPr>
        <w:widowControl w:val="0"/>
        <w:autoSpaceDE w:val="0"/>
        <w:autoSpaceDN w:val="0"/>
        <w:adjustRightInd w:val="0"/>
        <w:spacing w:after="240"/>
        <w:ind w:left="0"/>
        <w:jc w:val="left"/>
        <w:rPr>
          <w:rFonts w:ascii="Times New Roman" w:hAnsi="Times New Roman"/>
          <w:b/>
          <w:bCs/>
          <w:color w:val="0070C0"/>
          <w:sz w:val="26"/>
          <w:szCs w:val="26"/>
          <w:lang w:val="en-ID"/>
        </w:rPr>
      </w:pPr>
      <w:r w:rsidRPr="00C001AC">
        <w:rPr>
          <w:rFonts w:ascii="Times New Roman" w:hAnsi="Times New Roman"/>
          <w:b/>
          <w:bCs/>
          <w:color w:val="0070C0"/>
          <w:sz w:val="26"/>
          <w:szCs w:val="26"/>
          <w:lang w:val="en-ID"/>
        </w:rPr>
        <w:t>Introduction</w:t>
      </w:r>
    </w:p>
    <w:p w14:paraId="19AFCFFA" w14:textId="77777777" w:rsidR="002A2672" w:rsidRPr="00D5285E"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hAnsi="Times New Roman"/>
          <w:sz w:val="24"/>
        </w:rPr>
      </w:pPr>
      <w:r w:rsidRPr="00A24325">
        <w:rPr>
          <w:rFonts w:ascii="Times New Roman" w:eastAsiaTheme="minorHAnsi" w:hAnsi="Times New Roman"/>
          <w:b/>
          <w:sz w:val="24"/>
        </w:rPr>
        <w:t xml:space="preserve">Since 2005, the economy of Lao PDR has grown at a rate above 7 percent, one of the fastest rates of the region, accompanied by a </w:t>
      </w:r>
      <w:r w:rsidRPr="00A24325">
        <w:rPr>
          <w:rFonts w:ascii="Times New Roman" w:hAnsi="Times New Roman"/>
          <w:b/>
          <w:color w:val="000000" w:themeColor="text1"/>
          <w:sz w:val="24"/>
        </w:rPr>
        <w:t xml:space="preserve">steady poverty reduction </w:t>
      </w:r>
      <w:r w:rsidRPr="00A24325">
        <w:rPr>
          <w:rFonts w:ascii="Times New Roman" w:eastAsiaTheme="minorHAnsi" w:hAnsi="Times New Roman"/>
          <w:b/>
          <w:sz w:val="24"/>
        </w:rPr>
        <w:t>and favorable economic prospects.</w:t>
      </w:r>
      <w:r w:rsidRPr="00A24325">
        <w:rPr>
          <w:rFonts w:ascii="Times New Roman" w:eastAsiaTheme="minorHAnsi" w:hAnsi="Times New Roman"/>
          <w:sz w:val="24"/>
        </w:rPr>
        <w:t xml:space="preserve"> With its small, landlocked geographical position, total surface area of 236,000 square kilometers and a population of approximately 6.7 million Lao PDR has benefited from its considerable endowment of natural resources from mining, hydropower and forestry production to sustain a rapid growth. The Government of Lao PDR (GoL) maintains a vision of a</w:t>
      </w:r>
      <w:r w:rsidRPr="00A24325">
        <w:rPr>
          <w:rFonts w:ascii="Times New Roman" w:eastAsiaTheme="minorHAnsi" w:hAnsi="Times New Roman"/>
          <w:b/>
          <w:sz w:val="24"/>
        </w:rPr>
        <w:t xml:space="preserve"> </w:t>
      </w:r>
      <w:r w:rsidRPr="00A24325">
        <w:rPr>
          <w:rFonts w:ascii="Times New Roman" w:eastAsiaTheme="minorHAnsi" w:hAnsi="Times New Roman"/>
          <w:sz w:val="24"/>
        </w:rPr>
        <w:t xml:space="preserve">“land-linked” rather than landlocked economy, prioritizing easy access to larger, emerging neighboring economies, with the opportunity to reach the broader Mekong region, including Southern China. Plans to invest in the Belt and Road Initiative will support public and private investment in transport infrastructure and promote tourism in the </w:t>
      </w:r>
      <w:r w:rsidRPr="00016CCD">
        <w:rPr>
          <w:rFonts w:ascii="Times New Roman" w:eastAsiaTheme="minorHAnsi" w:hAnsi="Times New Roman"/>
          <w:sz w:val="24"/>
        </w:rPr>
        <w:t xml:space="preserve">region, although debt implications </w:t>
      </w:r>
      <w:proofErr w:type="gramStart"/>
      <w:r w:rsidRPr="00016CCD">
        <w:rPr>
          <w:rFonts w:ascii="Times New Roman" w:eastAsiaTheme="minorHAnsi" w:hAnsi="Times New Roman"/>
          <w:sz w:val="24"/>
        </w:rPr>
        <w:t>have to</w:t>
      </w:r>
      <w:proofErr w:type="gramEnd"/>
      <w:r w:rsidRPr="00016CCD">
        <w:rPr>
          <w:rFonts w:ascii="Times New Roman" w:eastAsiaTheme="minorHAnsi" w:hAnsi="Times New Roman"/>
          <w:sz w:val="24"/>
        </w:rPr>
        <w:t xml:space="preserve"> be carefully assessed.</w:t>
      </w:r>
      <w:r w:rsidRPr="00D5285E">
        <w:rPr>
          <w:rFonts w:ascii="Times New Roman" w:eastAsiaTheme="minorHAnsi" w:hAnsi="Times New Roman"/>
          <w:b/>
          <w:sz w:val="24"/>
        </w:rPr>
        <w:t xml:space="preserve"> </w:t>
      </w:r>
      <w:r w:rsidRPr="00A307D4">
        <w:rPr>
          <w:rFonts w:ascii="Times New Roman" w:eastAsiaTheme="minorHAnsi" w:hAnsi="Times New Roman"/>
          <w:sz w:val="24"/>
        </w:rPr>
        <w:t xml:space="preserve">Since 2015, Lao PDR is considered a lower-middle income country based on its GNI per capita and is also in the Medium human development category according to the UN’s Human Development Index (HDI), with a score of 0.586 in 2015, and a rank of 138 out of 188 </w:t>
      </w:r>
      <w:r w:rsidRPr="00D5285E">
        <w:rPr>
          <w:rFonts w:ascii="Times New Roman" w:eastAsiaTheme="minorHAnsi" w:hAnsi="Times New Roman"/>
          <w:sz w:val="24"/>
        </w:rPr>
        <w:t>countries</w:t>
      </w:r>
    </w:p>
    <w:p w14:paraId="08CA7859" w14:textId="77777777" w:rsidR="002A2672" w:rsidRPr="00A24325"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eastAsiaTheme="minorHAnsi" w:hAnsi="Times New Roman"/>
          <w:sz w:val="24"/>
        </w:rPr>
      </w:pPr>
      <w:r w:rsidRPr="00A24325">
        <w:rPr>
          <w:rFonts w:ascii="Times New Roman" w:eastAsiaTheme="minorHAnsi" w:hAnsi="Times New Roman"/>
          <w:b/>
          <w:sz w:val="24"/>
        </w:rPr>
        <w:t xml:space="preserve">Despite recent strong performance, Lao PDR faces considerable challenges to modernize its economy and deliver the structural transformation that has become critical for sustained and inclusive growth. </w:t>
      </w:r>
      <w:r w:rsidRPr="00A24325">
        <w:rPr>
          <w:rFonts w:ascii="Times New Roman" w:eastAsiaTheme="minorHAnsi" w:hAnsi="Times New Roman"/>
          <w:sz w:val="24"/>
        </w:rPr>
        <w:t>Fiscal sustainability is an issue as low commodity prices result in lower-than-expected revenue income</w:t>
      </w:r>
      <w:r>
        <w:rPr>
          <w:rFonts w:ascii="Times New Roman" w:eastAsiaTheme="minorHAnsi" w:hAnsi="Times New Roman"/>
          <w:sz w:val="24"/>
        </w:rPr>
        <w:t xml:space="preserve"> </w:t>
      </w:r>
      <w:r w:rsidRPr="00A24325">
        <w:rPr>
          <w:rFonts w:ascii="Times New Roman" w:eastAsiaTheme="minorHAnsi" w:hAnsi="Times New Roman"/>
          <w:sz w:val="24"/>
        </w:rPr>
        <w:t xml:space="preserve">and despite measures taken to cut spending and halt wage increases and staff recruitment in 2015 and 2016, the deficit stood at 5.5 percent of GDP in 2017 and is expected to decline to 4.9 percent of GDP in 2018. The country is at high risk of debt distress with public debt at around 60 percent of GDP in 2017 and is expected to further increase to 62.6 percent of GDP in 2018. Fiscal pressures have limited the ability of the public sector to allocate budget to social sectors and infrastructure maintenance needed to address the country’s development challenges. </w:t>
      </w:r>
    </w:p>
    <w:p w14:paraId="5A77AF98" w14:textId="77777777" w:rsidR="002A2672" w:rsidRPr="00A24325"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eastAsiaTheme="minorHAnsi" w:hAnsi="Times New Roman"/>
          <w:sz w:val="24"/>
        </w:rPr>
      </w:pPr>
      <w:r>
        <w:rPr>
          <w:rFonts w:ascii="Times New Roman" w:eastAsiaTheme="minorHAnsi" w:hAnsi="Times New Roman"/>
          <w:b/>
          <w:sz w:val="24"/>
        </w:rPr>
        <w:t>T</w:t>
      </w:r>
      <w:r w:rsidRPr="00A24325">
        <w:rPr>
          <w:rFonts w:ascii="Times New Roman" w:eastAsiaTheme="minorHAnsi" w:hAnsi="Times New Roman"/>
          <w:b/>
          <w:sz w:val="24"/>
        </w:rPr>
        <w:t>he government faces serious PFM challenges</w:t>
      </w:r>
      <w:r>
        <w:rPr>
          <w:rFonts w:ascii="Times New Roman" w:eastAsiaTheme="minorHAnsi" w:hAnsi="Times New Roman"/>
          <w:b/>
          <w:sz w:val="24"/>
        </w:rPr>
        <w:t>.</w:t>
      </w:r>
      <w:r w:rsidRPr="00A24325">
        <w:rPr>
          <w:rFonts w:ascii="Times New Roman" w:eastAsiaTheme="minorHAnsi" w:hAnsi="Times New Roman"/>
          <w:b/>
          <w:sz w:val="24"/>
        </w:rPr>
        <w:t xml:space="preserve"> </w:t>
      </w:r>
      <w:r w:rsidRPr="00EF5E20">
        <w:rPr>
          <w:rFonts w:ascii="Times New Roman" w:hAnsi="Times New Roman"/>
          <w:color w:val="000000" w:themeColor="text1"/>
          <w:sz w:val="24"/>
        </w:rPr>
        <w:t>Weak and inefficient public sector management</w:t>
      </w:r>
      <w:r>
        <w:rPr>
          <w:rFonts w:ascii="Times New Roman" w:hAnsi="Times New Roman"/>
          <w:color w:val="000000" w:themeColor="text1"/>
          <w:sz w:val="24"/>
        </w:rPr>
        <w:t xml:space="preserve"> coupled with uneven reforms ownership</w:t>
      </w:r>
      <w:r w:rsidRPr="00EF5E20">
        <w:rPr>
          <w:rFonts w:ascii="Times New Roman" w:hAnsi="Times New Roman"/>
          <w:color w:val="000000" w:themeColor="text1"/>
          <w:sz w:val="24"/>
        </w:rPr>
        <w:t xml:space="preserve"> ha</w:t>
      </w:r>
      <w:r>
        <w:rPr>
          <w:rFonts w:ascii="Times New Roman" w:hAnsi="Times New Roman"/>
          <w:color w:val="000000" w:themeColor="text1"/>
          <w:sz w:val="24"/>
        </w:rPr>
        <w:t>ve</w:t>
      </w:r>
      <w:r w:rsidRPr="00EF5E20">
        <w:rPr>
          <w:rFonts w:ascii="Times New Roman" w:hAnsi="Times New Roman"/>
          <w:color w:val="000000" w:themeColor="text1"/>
          <w:sz w:val="24"/>
        </w:rPr>
        <w:t xml:space="preserve"> been</w:t>
      </w:r>
      <w:r>
        <w:rPr>
          <w:rFonts w:ascii="Times New Roman" w:hAnsi="Times New Roman"/>
          <w:color w:val="000000" w:themeColor="text1"/>
          <w:sz w:val="24"/>
        </w:rPr>
        <w:t xml:space="preserve"> binding</w:t>
      </w:r>
      <w:r w:rsidRPr="00EF5E20">
        <w:rPr>
          <w:rFonts w:ascii="Times New Roman" w:hAnsi="Times New Roman"/>
          <w:color w:val="000000" w:themeColor="text1"/>
          <w:sz w:val="24"/>
        </w:rPr>
        <w:t xml:space="preserve"> constraint</w:t>
      </w:r>
      <w:r>
        <w:rPr>
          <w:rFonts w:ascii="Times New Roman" w:hAnsi="Times New Roman"/>
          <w:color w:val="000000" w:themeColor="text1"/>
          <w:sz w:val="24"/>
        </w:rPr>
        <w:t>s</w:t>
      </w:r>
      <w:r w:rsidRPr="00EF5E20">
        <w:rPr>
          <w:rFonts w:ascii="Times New Roman" w:hAnsi="Times New Roman"/>
          <w:color w:val="000000" w:themeColor="text1"/>
          <w:sz w:val="24"/>
        </w:rPr>
        <w:t xml:space="preserve"> </w:t>
      </w:r>
      <w:r>
        <w:rPr>
          <w:rFonts w:ascii="Times New Roman" w:eastAsiaTheme="minorHAnsi" w:hAnsi="Times New Roman"/>
          <w:sz w:val="24"/>
        </w:rPr>
        <w:t xml:space="preserve">to the pace and the </w:t>
      </w:r>
      <w:r w:rsidRPr="00EF5E20">
        <w:rPr>
          <w:rFonts w:ascii="Times New Roman" w:eastAsiaTheme="minorHAnsi" w:hAnsi="Times New Roman"/>
          <w:sz w:val="24"/>
        </w:rPr>
        <w:t xml:space="preserve">effectiveness </w:t>
      </w:r>
      <w:r>
        <w:rPr>
          <w:rFonts w:ascii="Times New Roman" w:eastAsiaTheme="minorHAnsi" w:hAnsi="Times New Roman"/>
          <w:sz w:val="24"/>
        </w:rPr>
        <w:t>of PFM reforms</w:t>
      </w:r>
      <w:r w:rsidRPr="00A24325">
        <w:rPr>
          <w:rFonts w:ascii="Times New Roman" w:eastAsiaTheme="minorHAnsi" w:hAnsi="Times New Roman"/>
          <w:sz w:val="24"/>
        </w:rPr>
        <w:t>.</w:t>
      </w:r>
      <w:r w:rsidRPr="00A24325">
        <w:rPr>
          <w:rFonts w:ascii="Times New Roman" w:hAnsi="Times New Roman"/>
          <w:color w:val="000000" w:themeColor="text1"/>
          <w:sz w:val="24"/>
        </w:rPr>
        <w:t xml:space="preserve"> Lao PDR is at the lower end of most governance indicators in the ASEAN region, particularly in terms of accountability, government eff</w:t>
      </w:r>
      <w:r>
        <w:rPr>
          <w:rFonts w:ascii="Times New Roman" w:hAnsi="Times New Roman"/>
          <w:color w:val="000000" w:themeColor="text1"/>
          <w:sz w:val="24"/>
        </w:rPr>
        <w:t>ectiveness, regulatory quality,</w:t>
      </w:r>
      <w:r w:rsidRPr="00A24325">
        <w:rPr>
          <w:rFonts w:ascii="Times New Roman" w:hAnsi="Times New Roman"/>
          <w:color w:val="000000" w:themeColor="text1"/>
          <w:sz w:val="24"/>
        </w:rPr>
        <w:t xml:space="preserve"> rule of Law and corruption.</w:t>
      </w:r>
      <w:r w:rsidRPr="00A24325">
        <w:rPr>
          <w:rFonts w:ascii="Times New Roman" w:eastAsiaTheme="minorHAnsi" w:hAnsi="Times New Roman"/>
          <w:sz w:val="24"/>
        </w:rPr>
        <w:t xml:space="preserve"> </w:t>
      </w:r>
      <w:r w:rsidRPr="00A24325">
        <w:rPr>
          <w:rFonts w:ascii="Times New Roman" w:hAnsi="Times New Roman"/>
          <w:color w:val="000000" w:themeColor="text1"/>
          <w:sz w:val="24"/>
        </w:rPr>
        <w:t xml:space="preserve">The importance of the overall public financial management (PFM) reform agenda to enhance quality and coverage in the delivery of public services is essential to the credibility of the policy-making agenda and </w:t>
      </w:r>
      <w:r>
        <w:rPr>
          <w:rFonts w:ascii="Times New Roman" w:hAnsi="Times New Roman"/>
          <w:color w:val="000000" w:themeColor="text1"/>
          <w:sz w:val="24"/>
        </w:rPr>
        <w:t xml:space="preserve">to </w:t>
      </w:r>
      <w:r w:rsidRPr="00A24325">
        <w:rPr>
          <w:rFonts w:ascii="Times New Roman" w:hAnsi="Times New Roman"/>
          <w:color w:val="000000" w:themeColor="text1"/>
          <w:sz w:val="24"/>
        </w:rPr>
        <w:t xml:space="preserve">the mobilization of and support from the private sector and development community. </w:t>
      </w:r>
    </w:p>
    <w:p w14:paraId="3C983C13" w14:textId="77777777" w:rsidR="002A2672" w:rsidRPr="00A24325"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hAnsi="Times New Roman"/>
          <w:color w:val="000000" w:themeColor="text1"/>
          <w:sz w:val="24"/>
        </w:rPr>
      </w:pPr>
      <w:r>
        <w:rPr>
          <w:rFonts w:ascii="Times New Roman" w:hAnsi="Times New Roman"/>
          <w:color w:val="000000" w:themeColor="text1"/>
          <w:sz w:val="24"/>
        </w:rPr>
        <w:t xml:space="preserve"> </w:t>
      </w:r>
      <w:r w:rsidR="00310D44" w:rsidRPr="00310D44">
        <w:rPr>
          <w:rFonts w:ascii="Times New Roman" w:eastAsiaTheme="minorHAnsi" w:hAnsi="Times New Roman"/>
          <w:b/>
          <w:sz w:val="24"/>
        </w:rPr>
        <w:t>The Public Financial Management Strengthening Program (PFMSP) adopted in 2005 was one of the important components of the Lao Government’s long-term framework for public finance reform and supported the “first-generation of reforms” (2000-13),</w:t>
      </w:r>
      <w:r>
        <w:rPr>
          <w:rFonts w:ascii="Times New Roman" w:eastAsiaTheme="minorHAnsi" w:hAnsi="Times New Roman"/>
          <w:sz w:val="24"/>
        </w:rPr>
        <w:t xml:space="preserve"> </w:t>
      </w:r>
      <w:r w:rsidRPr="00A24325">
        <w:rPr>
          <w:rFonts w:ascii="Times New Roman" w:eastAsiaTheme="minorHAnsi" w:hAnsi="Times New Roman"/>
          <w:sz w:val="24"/>
        </w:rPr>
        <w:t>such as the centralization of the National Treasury, customs and tax functions and the introduction of a Treasury Single Account (TSA) in 2006 and the upgrade and roll-out of the GFIS to the provincial level. After a gap of three years, “the second-generation reforms period” was initiated following the appointment of a new Government under a reform-oriented Prime Minister. With the top leadership’s commitment, including the new Minister of Finance - who is also Deputy Prime Minister - and his manag</w:t>
      </w:r>
      <w:r>
        <w:rPr>
          <w:rFonts w:ascii="Times New Roman" w:eastAsiaTheme="minorHAnsi" w:hAnsi="Times New Roman"/>
          <w:sz w:val="24"/>
        </w:rPr>
        <w:t>ement</w:t>
      </w:r>
      <w:r w:rsidRPr="00A24325">
        <w:rPr>
          <w:rFonts w:ascii="Times New Roman" w:eastAsiaTheme="minorHAnsi" w:hAnsi="Times New Roman"/>
          <w:sz w:val="24"/>
        </w:rPr>
        <w:t xml:space="preserve"> team, the dialogue with the donor </w:t>
      </w:r>
      <w:r w:rsidRPr="00A24325">
        <w:rPr>
          <w:rFonts w:ascii="Times New Roman" w:eastAsiaTheme="minorHAnsi" w:hAnsi="Times New Roman"/>
          <w:sz w:val="24"/>
        </w:rPr>
        <w:lastRenderedPageBreak/>
        <w:t xml:space="preserve">community has been revitalized and the pace of reform has taken off again. </w:t>
      </w:r>
    </w:p>
    <w:p w14:paraId="37458749" w14:textId="77777777" w:rsidR="002A2672" w:rsidRPr="00A24325"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hAnsi="Times New Roman"/>
          <w:color w:val="000000" w:themeColor="text1"/>
          <w:sz w:val="24"/>
        </w:rPr>
      </w:pPr>
      <w:r>
        <w:rPr>
          <w:rFonts w:ascii="Times New Roman" w:eastAsiaTheme="minorHAnsi" w:hAnsi="Times New Roman"/>
          <w:b/>
          <w:sz w:val="24"/>
        </w:rPr>
        <w:t>P</w:t>
      </w:r>
      <w:r w:rsidRPr="00A24325">
        <w:rPr>
          <w:rFonts w:ascii="Times New Roman" w:eastAsiaTheme="minorHAnsi" w:hAnsi="Times New Roman"/>
          <w:b/>
          <w:sz w:val="24"/>
        </w:rPr>
        <w:t xml:space="preserve">lans to improve governance of </w:t>
      </w:r>
      <w:r>
        <w:rPr>
          <w:rFonts w:ascii="Times New Roman" w:eastAsiaTheme="minorHAnsi" w:hAnsi="Times New Roman"/>
          <w:b/>
          <w:sz w:val="24"/>
        </w:rPr>
        <w:t>public resources are</w:t>
      </w:r>
      <w:r w:rsidRPr="00A24325">
        <w:rPr>
          <w:rFonts w:ascii="Times New Roman" w:eastAsiaTheme="minorHAnsi" w:hAnsi="Times New Roman"/>
          <w:b/>
          <w:sz w:val="24"/>
        </w:rPr>
        <w:t xml:space="preserve"> </w:t>
      </w:r>
      <w:r w:rsidR="00717321">
        <w:rPr>
          <w:rFonts w:ascii="Times New Roman" w:eastAsiaTheme="minorHAnsi" w:hAnsi="Times New Roman"/>
          <w:b/>
          <w:sz w:val="24"/>
        </w:rPr>
        <w:t>un</w:t>
      </w:r>
      <w:r w:rsidRPr="00A24325">
        <w:rPr>
          <w:rFonts w:ascii="Times New Roman" w:eastAsiaTheme="minorHAnsi" w:hAnsi="Times New Roman"/>
          <w:b/>
          <w:sz w:val="24"/>
        </w:rPr>
        <w:t>likely to yield immediate dividends</w:t>
      </w:r>
      <w:r w:rsidRPr="00A24325">
        <w:rPr>
          <w:rFonts w:ascii="Times New Roman" w:eastAsiaTheme="minorHAnsi" w:hAnsi="Times New Roman"/>
          <w:sz w:val="24"/>
        </w:rPr>
        <w:t xml:space="preserve"> </w:t>
      </w:r>
      <w:r>
        <w:rPr>
          <w:rFonts w:ascii="Times New Roman" w:eastAsiaTheme="minorHAnsi" w:hAnsi="Times New Roman"/>
          <w:b/>
          <w:sz w:val="24"/>
        </w:rPr>
        <w:t>unless</w:t>
      </w:r>
      <w:r w:rsidRPr="00A24325">
        <w:rPr>
          <w:rFonts w:ascii="Times New Roman" w:eastAsiaTheme="minorHAnsi" w:hAnsi="Times New Roman"/>
          <w:b/>
          <w:sz w:val="24"/>
        </w:rPr>
        <w:t xml:space="preserve"> major changes</w:t>
      </w:r>
      <w:r>
        <w:rPr>
          <w:rFonts w:ascii="Times New Roman" w:eastAsiaTheme="minorHAnsi" w:hAnsi="Times New Roman"/>
          <w:b/>
          <w:sz w:val="24"/>
        </w:rPr>
        <w:t xml:space="preserve"> are made to strengthen</w:t>
      </w:r>
      <w:r w:rsidRPr="00A24325">
        <w:rPr>
          <w:rFonts w:ascii="Times New Roman" w:eastAsiaTheme="minorHAnsi" w:hAnsi="Times New Roman"/>
          <w:b/>
          <w:sz w:val="24"/>
        </w:rPr>
        <w:t xml:space="preserve"> government institutions to respond to new development opportunities and challenges</w:t>
      </w:r>
      <w:r w:rsidRPr="00A24325">
        <w:rPr>
          <w:rFonts w:ascii="Times New Roman" w:eastAsiaTheme="minorHAnsi" w:hAnsi="Times New Roman"/>
          <w:sz w:val="24"/>
        </w:rPr>
        <w:t xml:space="preserve">. The range of new Laws </w:t>
      </w:r>
      <w:r>
        <w:rPr>
          <w:rFonts w:ascii="Times New Roman" w:eastAsiaTheme="minorHAnsi" w:hAnsi="Times New Roman"/>
          <w:sz w:val="24"/>
        </w:rPr>
        <w:t xml:space="preserve">that </w:t>
      </w:r>
      <w:r w:rsidRPr="00A24325">
        <w:rPr>
          <w:rFonts w:ascii="Times New Roman" w:eastAsiaTheme="minorHAnsi" w:hAnsi="Times New Roman"/>
          <w:sz w:val="24"/>
        </w:rPr>
        <w:t>includes the new Public Procurement Law (October 2017) and the new Public Debt Management Law (June 2018) that will better control public investment projects and strengthen debt management policy</w:t>
      </w:r>
      <w:r>
        <w:rPr>
          <w:rFonts w:ascii="Times New Roman" w:eastAsiaTheme="minorHAnsi" w:hAnsi="Times New Roman"/>
          <w:sz w:val="24"/>
        </w:rPr>
        <w:t xml:space="preserve"> respectively</w:t>
      </w:r>
      <w:r w:rsidRPr="00A24325">
        <w:rPr>
          <w:rFonts w:ascii="Times New Roman" w:eastAsiaTheme="minorHAnsi" w:hAnsi="Times New Roman"/>
          <w:sz w:val="24"/>
        </w:rPr>
        <w:t>, as well as the Tax policy and administration reform and planned adoption of the VAT law in 2018</w:t>
      </w:r>
      <w:r>
        <w:rPr>
          <w:rFonts w:ascii="Times New Roman" w:eastAsiaTheme="minorHAnsi" w:hAnsi="Times New Roman"/>
          <w:sz w:val="24"/>
        </w:rPr>
        <w:t xml:space="preserve"> represent progress</w:t>
      </w:r>
      <w:r w:rsidRPr="00A24325">
        <w:rPr>
          <w:rFonts w:ascii="Times New Roman" w:eastAsiaTheme="minorHAnsi" w:hAnsi="Times New Roman"/>
          <w:sz w:val="24"/>
        </w:rPr>
        <w:t xml:space="preserve">. But </w:t>
      </w:r>
      <w:proofErr w:type="gramStart"/>
      <w:r w:rsidRPr="00A24325">
        <w:rPr>
          <w:rFonts w:ascii="Times New Roman" w:eastAsiaTheme="minorHAnsi" w:hAnsi="Times New Roman"/>
          <w:sz w:val="24"/>
        </w:rPr>
        <w:t>in order to</w:t>
      </w:r>
      <w:proofErr w:type="gramEnd"/>
      <w:r w:rsidRPr="00A24325">
        <w:rPr>
          <w:rFonts w:ascii="Times New Roman" w:eastAsiaTheme="minorHAnsi" w:hAnsi="Times New Roman"/>
          <w:sz w:val="24"/>
        </w:rPr>
        <w:t xml:space="preserve"> reduce debt vulnerabilities and maintain a pattern of expenditure that will support graduation from LDC status, Lao PDR’s reform implementation </w:t>
      </w:r>
      <w:r>
        <w:rPr>
          <w:rFonts w:ascii="Times New Roman" w:eastAsiaTheme="minorHAnsi" w:hAnsi="Times New Roman"/>
          <w:sz w:val="24"/>
        </w:rPr>
        <w:t>need to</w:t>
      </w:r>
      <w:r w:rsidRPr="00A24325">
        <w:rPr>
          <w:rFonts w:ascii="Times New Roman" w:eastAsiaTheme="minorHAnsi" w:hAnsi="Times New Roman"/>
          <w:sz w:val="24"/>
        </w:rPr>
        <w:t xml:space="preserve"> accelerate, and the agenda must adjust to new technology and innovation and related institutional transformation and develop knowledgeable and competent human resources. </w:t>
      </w:r>
    </w:p>
    <w:p w14:paraId="0163C1F5" w14:textId="292F4B81" w:rsidR="002A2672" w:rsidRPr="00EC6AD2" w:rsidRDefault="00310D44" w:rsidP="00EC6AD2">
      <w:pPr>
        <w:pStyle w:val="ListParagraph"/>
        <w:widowControl w:val="0"/>
        <w:numPr>
          <w:ilvl w:val="0"/>
          <w:numId w:val="33"/>
        </w:numPr>
        <w:autoSpaceDE w:val="0"/>
        <w:autoSpaceDN w:val="0"/>
        <w:adjustRightInd w:val="0"/>
        <w:spacing w:after="240"/>
        <w:ind w:left="0" w:firstLine="0"/>
        <w:contextualSpacing w:val="0"/>
        <w:rPr>
          <w:rFonts w:ascii="Times New Roman" w:hAnsi="Times New Roman"/>
          <w:color w:val="000000" w:themeColor="text1"/>
          <w:sz w:val="24"/>
        </w:rPr>
      </w:pPr>
      <w:r w:rsidRPr="00310D44">
        <w:rPr>
          <w:rFonts w:ascii="Times New Roman" w:eastAsiaTheme="minorHAnsi" w:hAnsi="Times New Roman"/>
          <w:b/>
          <w:sz w:val="24"/>
        </w:rPr>
        <w:t>The PEFA assessment is therefore timely as it provides evidence on underlying PFM systems performance that can help shape the next generation of reforms</w:t>
      </w:r>
      <w:r w:rsidR="00EC6AD2">
        <w:rPr>
          <w:rFonts w:ascii="Times New Roman" w:eastAsiaTheme="minorHAnsi" w:hAnsi="Times New Roman"/>
          <w:sz w:val="24"/>
        </w:rPr>
        <w:t>.</w:t>
      </w:r>
      <w:r w:rsidR="00EC6AD2">
        <w:rPr>
          <w:rFonts w:ascii="Times New Roman" w:hAnsi="Times New Roman"/>
          <w:color w:val="000000" w:themeColor="text1"/>
          <w:sz w:val="24"/>
        </w:rPr>
        <w:t xml:space="preserve"> </w:t>
      </w:r>
      <w:r w:rsidRPr="00310D44">
        <w:rPr>
          <w:rFonts w:ascii="Times New Roman" w:eastAsiaTheme="minorHAnsi" w:hAnsi="Times New Roman"/>
          <w:sz w:val="24"/>
        </w:rPr>
        <w:t xml:space="preserve">The overall objectives of this 2018 Lao PDR PEFA assessment based on the 2016 methodology are </w:t>
      </w:r>
      <w:proofErr w:type="gramStart"/>
      <w:r w:rsidRPr="00310D44">
        <w:rPr>
          <w:rFonts w:ascii="Times New Roman" w:eastAsiaTheme="minorHAnsi" w:hAnsi="Times New Roman"/>
          <w:sz w:val="24"/>
        </w:rPr>
        <w:t xml:space="preserve">to </w:t>
      </w:r>
      <w:r w:rsidR="002A2672" w:rsidRPr="00EC6AD2">
        <w:rPr>
          <w:rFonts w:ascii="Times New Roman" w:eastAsiaTheme="minorHAnsi" w:hAnsi="Times New Roman"/>
          <w:sz w:val="24"/>
        </w:rPr>
        <w:t>:</w:t>
      </w:r>
      <w:proofErr w:type="gramEnd"/>
      <w:r w:rsidR="002A2672" w:rsidRPr="00EC6AD2">
        <w:rPr>
          <w:rFonts w:ascii="Times New Roman" w:eastAsiaTheme="minorHAnsi" w:hAnsi="Times New Roman"/>
          <w:sz w:val="24"/>
        </w:rPr>
        <w:t xml:space="preserve"> help GoL prio</w:t>
      </w:r>
      <w:r w:rsidR="002A2672" w:rsidRPr="00D31290">
        <w:rPr>
          <w:rFonts w:ascii="Times New Roman" w:eastAsiaTheme="minorHAnsi" w:hAnsi="Times New Roman"/>
          <w:sz w:val="24"/>
        </w:rPr>
        <w:t xml:space="preserve">ritize reform </w:t>
      </w:r>
      <w:r w:rsidR="002A2672" w:rsidRPr="00A0636A">
        <w:rPr>
          <w:rFonts w:ascii="Times New Roman" w:eastAsiaTheme="minorHAnsi" w:hAnsi="Times New Roman"/>
          <w:sz w:val="24"/>
        </w:rPr>
        <w:t>actions in the Public Finance</w:t>
      </w:r>
      <w:r>
        <w:rPr>
          <w:rFonts w:ascii="Times New Roman" w:eastAsiaTheme="minorHAnsi" w:hAnsi="Times New Roman"/>
          <w:sz w:val="24"/>
        </w:rPr>
        <w:t xml:space="preserve"> Development Strategy to 2025, build the capacity and understanding of technical staff to deliver the needed reforms</w:t>
      </w:r>
      <w:r w:rsidR="007F4362">
        <w:rPr>
          <w:rFonts w:ascii="Times New Roman" w:eastAsiaTheme="minorHAnsi" w:hAnsi="Times New Roman"/>
          <w:sz w:val="24"/>
        </w:rPr>
        <w:t>;</w:t>
      </w:r>
      <w:r>
        <w:rPr>
          <w:rFonts w:ascii="Times New Roman" w:eastAsiaTheme="minorHAnsi" w:hAnsi="Times New Roman"/>
          <w:sz w:val="24"/>
        </w:rPr>
        <w:t xml:space="preserve"> and establish a platform for measuring PFM progress.  </w:t>
      </w:r>
      <w:r>
        <w:rPr>
          <w:rFonts w:ascii="Times New Roman" w:hAnsi="Times New Roman"/>
          <w:color w:val="000000" w:themeColor="text1"/>
          <w:sz w:val="24"/>
        </w:rPr>
        <w:t>While there have been previous assessments in 2006 (external assessment) and 2010 (joint assessment with WB) using the previous PEFA methodology, there has been no comparison made with the previous scores. This PEFA assessment is therefore, intended to provide a baseline to anchor and measure the impact of ongoing reforms.</w:t>
      </w:r>
    </w:p>
    <w:p w14:paraId="6B147D96" w14:textId="77777777" w:rsidR="002A2672" w:rsidRDefault="002A2672" w:rsidP="002A2672">
      <w:pPr>
        <w:pStyle w:val="ListParagraph"/>
        <w:widowControl w:val="0"/>
        <w:numPr>
          <w:ilvl w:val="0"/>
          <w:numId w:val="33"/>
        </w:numPr>
        <w:autoSpaceDE w:val="0"/>
        <w:autoSpaceDN w:val="0"/>
        <w:adjustRightInd w:val="0"/>
        <w:spacing w:after="200"/>
        <w:ind w:left="0" w:firstLine="0"/>
        <w:contextualSpacing w:val="0"/>
        <w:rPr>
          <w:rFonts w:ascii="Times New Roman" w:hAnsi="Times New Roman"/>
          <w:color w:val="000000" w:themeColor="text1"/>
          <w:sz w:val="24"/>
        </w:rPr>
      </w:pPr>
      <w:r w:rsidRPr="00161FA8">
        <w:rPr>
          <w:rFonts w:ascii="Times New Roman" w:hAnsi="Times New Roman"/>
          <w:b/>
          <w:color w:val="000000" w:themeColor="text1"/>
          <w:sz w:val="24"/>
        </w:rPr>
        <w:t>The assessment analysis period covers the previous th</w:t>
      </w:r>
      <w:r>
        <w:rPr>
          <w:rFonts w:ascii="Times New Roman" w:hAnsi="Times New Roman"/>
          <w:b/>
          <w:color w:val="000000" w:themeColor="text1"/>
          <w:sz w:val="24"/>
        </w:rPr>
        <w:t>ree completed fiscal years (2014-2015, 2015-2016 and 2017</w:t>
      </w:r>
      <w:r w:rsidRPr="00161FA8">
        <w:rPr>
          <w:rFonts w:ascii="Times New Roman" w:hAnsi="Times New Roman"/>
          <w:b/>
          <w:color w:val="000000" w:themeColor="text1"/>
          <w:sz w:val="24"/>
        </w:rPr>
        <w:t xml:space="preserve"> with a cut-off date as of August 2018</w:t>
      </w:r>
      <w:r>
        <w:rPr>
          <w:rFonts w:ascii="Times New Roman" w:hAnsi="Times New Roman"/>
          <w:b/>
          <w:color w:val="000000" w:themeColor="text1"/>
          <w:sz w:val="24"/>
        </w:rPr>
        <w:t>)</w:t>
      </w:r>
      <w:r>
        <w:rPr>
          <w:rFonts w:ascii="Times New Roman" w:hAnsi="Times New Roman"/>
          <w:color w:val="000000" w:themeColor="text1"/>
          <w:sz w:val="24"/>
        </w:rPr>
        <w:t>. It should be noted that</w:t>
      </w:r>
      <w:r w:rsidRPr="00161FA8">
        <w:rPr>
          <w:rFonts w:ascii="Times New Roman" w:hAnsi="Times New Roman"/>
          <w:color w:val="000000" w:themeColor="text1"/>
          <w:sz w:val="24"/>
        </w:rPr>
        <w:t xml:space="preserve"> three-year fi</w:t>
      </w:r>
      <w:r>
        <w:rPr>
          <w:rFonts w:ascii="Times New Roman" w:hAnsi="Times New Roman"/>
          <w:color w:val="000000" w:themeColor="text1"/>
          <w:sz w:val="24"/>
        </w:rPr>
        <w:t>scal period from 2014 to 2016 was marked by</w:t>
      </w:r>
      <w:r w:rsidRPr="00161FA8">
        <w:rPr>
          <w:rFonts w:ascii="Times New Roman" w:hAnsi="Times New Roman"/>
          <w:color w:val="000000" w:themeColor="text1"/>
          <w:sz w:val="24"/>
        </w:rPr>
        <w:t xml:space="preserve"> political transition and a change of government </w:t>
      </w:r>
      <w:r>
        <w:rPr>
          <w:rFonts w:ascii="Times New Roman" w:hAnsi="Times New Roman"/>
          <w:color w:val="000000" w:themeColor="text1"/>
          <w:sz w:val="24"/>
        </w:rPr>
        <w:t>th</w:t>
      </w:r>
      <w:r w:rsidRPr="00161FA8">
        <w:rPr>
          <w:rFonts w:ascii="Times New Roman" w:hAnsi="Times New Roman"/>
          <w:color w:val="000000" w:themeColor="text1"/>
          <w:sz w:val="24"/>
        </w:rPr>
        <w:t xml:space="preserve">at affected the policy agenda. </w:t>
      </w:r>
    </w:p>
    <w:p w14:paraId="0C22DC6E" w14:textId="77777777" w:rsidR="002A2672" w:rsidRPr="00C001AC" w:rsidRDefault="002A2672" w:rsidP="002A2672">
      <w:pPr>
        <w:autoSpaceDE w:val="0"/>
        <w:autoSpaceDN w:val="0"/>
        <w:adjustRightInd w:val="0"/>
        <w:spacing w:after="240"/>
        <w:ind w:left="0"/>
        <w:rPr>
          <w:rFonts w:ascii="Times New Roman" w:hAnsi="Times New Roman"/>
          <w:b/>
          <w:color w:val="0070C0"/>
          <w:sz w:val="26"/>
          <w:szCs w:val="26"/>
        </w:rPr>
      </w:pPr>
      <w:r w:rsidRPr="00C001AC">
        <w:rPr>
          <w:rFonts w:ascii="Times New Roman" w:hAnsi="Times New Roman"/>
          <w:b/>
          <w:color w:val="0070C0"/>
          <w:sz w:val="26"/>
          <w:szCs w:val="26"/>
        </w:rPr>
        <w:t>Assessment of PFM System Performance</w:t>
      </w:r>
    </w:p>
    <w:p w14:paraId="306F2D6C" w14:textId="77777777" w:rsidR="002A2672" w:rsidRDefault="002A2672" w:rsidP="002A2672">
      <w:pPr>
        <w:pStyle w:val="ListParagraph"/>
        <w:numPr>
          <w:ilvl w:val="0"/>
          <w:numId w:val="33"/>
        </w:numPr>
        <w:autoSpaceDE w:val="0"/>
        <w:autoSpaceDN w:val="0"/>
        <w:adjustRightInd w:val="0"/>
        <w:spacing w:after="240"/>
        <w:ind w:left="0" w:firstLine="0"/>
        <w:contextualSpacing w:val="0"/>
        <w:rPr>
          <w:rFonts w:ascii="Times New Roman" w:hAnsi="Times New Roman"/>
          <w:sz w:val="24"/>
        </w:rPr>
      </w:pPr>
      <w:r w:rsidRPr="00CD001C">
        <w:rPr>
          <w:rFonts w:ascii="Times New Roman" w:hAnsi="Times New Roman"/>
          <w:b/>
          <w:sz w:val="24"/>
        </w:rPr>
        <w:t>Overall, the assessment confirms that Lao PDR’s new ambitious reform agenda is needed to establish solid foundations for improved PFM processes and procedures.</w:t>
      </w:r>
      <w:r w:rsidRPr="00CD001C">
        <w:rPr>
          <w:rFonts w:ascii="Times New Roman" w:hAnsi="Times New Roman"/>
          <w:sz w:val="24"/>
        </w:rPr>
        <w:t xml:space="preserve"> The effectiveness of the PFM systems in place is very limited, capacity for enforcement of the existing regulatory framework is lacking and the monitoring of performance can still be considerably strengthened. </w:t>
      </w:r>
      <w:r w:rsidRPr="00850CE2">
        <w:rPr>
          <w:rFonts w:ascii="Times New Roman" w:hAnsi="Times New Roman"/>
          <w:sz w:val="24"/>
        </w:rPr>
        <w:t>Table 1 provides an overview of the performance ratings on the 31 indicators and 94 dimensions extracted from the scoring of individual indicators in Section 3 of the report</w:t>
      </w:r>
      <w:r w:rsidRPr="004F6ED3">
        <w:rPr>
          <w:rFonts w:ascii="Times New Roman" w:hAnsi="Times New Roman"/>
          <w:sz w:val="24"/>
        </w:rPr>
        <w:t xml:space="preserve"> </w:t>
      </w:r>
      <w:r w:rsidRPr="00CD001C">
        <w:rPr>
          <w:rFonts w:ascii="Times New Roman" w:hAnsi="Times New Roman"/>
          <w:sz w:val="24"/>
        </w:rPr>
        <w:t>where the narrative and justification for each score are presented. Annex 1 provides a table with a summary of the performance narrative for each dimension and indicator.</w:t>
      </w:r>
    </w:p>
    <w:p w14:paraId="342E4A52" w14:textId="77777777" w:rsidR="002A2672" w:rsidRPr="00145E6E" w:rsidRDefault="002A2672" w:rsidP="002A2672">
      <w:pPr>
        <w:pStyle w:val="ListParagraph"/>
        <w:widowControl w:val="0"/>
        <w:numPr>
          <w:ilvl w:val="0"/>
          <w:numId w:val="33"/>
        </w:numPr>
        <w:spacing w:after="240"/>
        <w:ind w:left="0" w:firstLine="0"/>
        <w:contextualSpacing w:val="0"/>
        <w:rPr>
          <w:rFonts w:ascii="Times New Roman" w:hAnsi="Times New Roman"/>
        </w:rPr>
      </w:pPr>
      <w:r>
        <w:rPr>
          <w:rFonts w:ascii="Times New Roman" w:hAnsi="Times New Roman"/>
          <w:b/>
          <w:sz w:val="24"/>
        </w:rPr>
        <w:t>The emerging s</w:t>
      </w:r>
      <w:r w:rsidRPr="00CD001C">
        <w:rPr>
          <w:rFonts w:ascii="Times New Roman" w:hAnsi="Times New Roman"/>
          <w:b/>
          <w:sz w:val="24"/>
        </w:rPr>
        <w:t>trengths in PFM in Lao PDR are primarily associated with the development of instruments that have allowed more prudent fiscal management and control of budget execution</w:t>
      </w:r>
      <w:r>
        <w:rPr>
          <w:rFonts w:ascii="Times New Roman" w:hAnsi="Times New Roman"/>
          <w:sz w:val="24"/>
        </w:rPr>
        <w:t xml:space="preserve">, such as </w:t>
      </w:r>
      <w:r w:rsidRPr="00A213B1">
        <w:rPr>
          <w:rFonts w:ascii="Times New Roman" w:eastAsiaTheme="minorHAnsi" w:hAnsi="Times New Roman"/>
          <w:sz w:val="24"/>
        </w:rPr>
        <w:t xml:space="preserve">the adoption </w:t>
      </w:r>
      <w:r>
        <w:rPr>
          <w:rFonts w:ascii="Times New Roman" w:eastAsiaTheme="minorHAnsi" w:hAnsi="Times New Roman"/>
          <w:sz w:val="24"/>
        </w:rPr>
        <w:t xml:space="preserve">and progressive implementation </w:t>
      </w:r>
      <w:r w:rsidRPr="00A213B1">
        <w:rPr>
          <w:rFonts w:ascii="Times New Roman" w:eastAsiaTheme="minorHAnsi" w:hAnsi="Times New Roman"/>
          <w:sz w:val="24"/>
        </w:rPr>
        <w:t>of the new State Budget Law in 2015,</w:t>
      </w:r>
      <w:r>
        <w:rPr>
          <w:rFonts w:ascii="Times New Roman" w:eastAsiaTheme="minorHAnsi" w:hAnsi="Times New Roman"/>
          <w:sz w:val="24"/>
        </w:rPr>
        <w:t xml:space="preserve"> </w:t>
      </w:r>
      <w:r>
        <w:rPr>
          <w:rFonts w:ascii="Times New Roman" w:hAnsi="Times New Roman"/>
          <w:sz w:val="24"/>
        </w:rPr>
        <w:t xml:space="preserve">the introduction of </w:t>
      </w:r>
      <w:r w:rsidRPr="00A213B1">
        <w:rPr>
          <w:rFonts w:ascii="Times New Roman" w:eastAsiaTheme="minorHAnsi" w:hAnsi="Times New Roman"/>
          <w:sz w:val="24"/>
        </w:rPr>
        <w:t>fiscal rules on the budget deficit and the debt-to GDP ratio</w:t>
      </w:r>
      <w:r>
        <w:rPr>
          <w:rFonts w:ascii="Times New Roman" w:eastAsiaTheme="minorHAnsi" w:hAnsi="Times New Roman"/>
          <w:sz w:val="24"/>
        </w:rPr>
        <w:t xml:space="preserve">, </w:t>
      </w:r>
      <w:r w:rsidRPr="00A213B1">
        <w:rPr>
          <w:rFonts w:ascii="Times New Roman" w:eastAsiaTheme="minorHAnsi" w:hAnsi="Times New Roman"/>
          <w:sz w:val="24"/>
        </w:rPr>
        <w:t>the progressive resolution of domestic payment arrears related to public infrastructure projects and debt inherited from Bank of Lao P.D.R.’s direct lending to local government’s off budget infrastructure spending</w:t>
      </w:r>
      <w:r>
        <w:rPr>
          <w:rFonts w:ascii="Times New Roman" w:eastAsiaTheme="minorHAnsi" w:hAnsi="Times New Roman"/>
          <w:sz w:val="24"/>
        </w:rPr>
        <w:t>. A</w:t>
      </w:r>
      <w:r w:rsidR="00842ECB">
        <w:rPr>
          <w:rFonts w:ascii="Times New Roman" w:eastAsiaTheme="minorHAnsi" w:hAnsi="Times New Roman"/>
          <w:sz w:val="24"/>
        </w:rPr>
        <w:t xml:space="preserve"> </w:t>
      </w:r>
      <w:r w:rsidRPr="00A213B1">
        <w:rPr>
          <w:rFonts w:ascii="Times New Roman" w:eastAsiaTheme="minorHAnsi" w:hAnsi="Times New Roman"/>
          <w:sz w:val="24"/>
        </w:rPr>
        <w:t>more solid treasury and cash management system at the central government level</w:t>
      </w:r>
      <w:r>
        <w:rPr>
          <w:rFonts w:ascii="Times New Roman" w:eastAsiaTheme="minorHAnsi" w:hAnsi="Times New Roman"/>
          <w:sz w:val="24"/>
        </w:rPr>
        <w:t xml:space="preserve">, </w:t>
      </w:r>
      <w:r w:rsidRPr="00A213B1">
        <w:rPr>
          <w:rFonts w:ascii="Times New Roman" w:eastAsiaTheme="minorHAnsi" w:hAnsi="Times New Roman"/>
          <w:sz w:val="24"/>
        </w:rPr>
        <w:t xml:space="preserve">and the focus on tax policy and management have created a solid platform for automation and integration of PFM processes and improve the </w:t>
      </w:r>
      <w:r w:rsidRPr="00A213B1">
        <w:rPr>
          <w:rFonts w:ascii="Times New Roman" w:eastAsiaTheme="minorHAnsi" w:hAnsi="Times New Roman"/>
          <w:sz w:val="24"/>
        </w:rPr>
        <w:lastRenderedPageBreak/>
        <w:t xml:space="preserve">quality of financial reporting and oversight. </w:t>
      </w:r>
      <w:r w:rsidRPr="00A307D4">
        <w:rPr>
          <w:rFonts w:ascii="Times New Roman" w:hAnsi="Times New Roman"/>
          <w:sz w:val="24"/>
        </w:rPr>
        <w:t>However, these initiatives have still to impact fully on the PEFA scores in the relevant indicators.</w:t>
      </w:r>
    </w:p>
    <w:p w14:paraId="6EE60D91" w14:textId="77777777" w:rsidR="002A2672" w:rsidRDefault="002A2672" w:rsidP="002A2672">
      <w:pPr>
        <w:pStyle w:val="ListParagraph"/>
        <w:autoSpaceDE w:val="0"/>
        <w:autoSpaceDN w:val="0"/>
        <w:adjustRightInd w:val="0"/>
        <w:spacing w:after="240"/>
        <w:ind w:left="0"/>
        <w:rPr>
          <w:rFonts w:ascii="Times New Roman" w:hAnsi="Times New Roman"/>
          <w:sz w:val="24"/>
        </w:rPr>
      </w:pPr>
    </w:p>
    <w:p w14:paraId="0AA37575" w14:textId="77777777" w:rsidR="002A2672"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hAnsi="Times New Roman"/>
          <w:sz w:val="24"/>
        </w:rPr>
      </w:pPr>
      <w:r w:rsidRPr="00145E6E">
        <w:rPr>
          <w:rFonts w:ascii="Times New Roman" w:hAnsi="Times New Roman"/>
          <w:b/>
          <w:sz w:val="24"/>
        </w:rPr>
        <w:t>Weaknesses are linked to the lack of credibility of the budget as an instrument to achieve high level policy objecti</w:t>
      </w:r>
      <w:r>
        <w:rPr>
          <w:rFonts w:ascii="Times New Roman" w:hAnsi="Times New Roman"/>
          <w:b/>
          <w:sz w:val="24"/>
        </w:rPr>
        <w:t>ves and the absence of a medium-</w:t>
      </w:r>
      <w:r w:rsidRPr="00145E6E">
        <w:rPr>
          <w:rFonts w:ascii="Times New Roman" w:hAnsi="Times New Roman"/>
          <w:b/>
          <w:sz w:val="24"/>
        </w:rPr>
        <w:t>term expenditure framework fully developed and integrated into the budgeting process.</w:t>
      </w:r>
      <w:r w:rsidRPr="00145E6E">
        <w:rPr>
          <w:rFonts w:ascii="Times New Roman" w:hAnsi="Times New Roman"/>
          <w:sz w:val="24"/>
        </w:rPr>
        <w:t xml:space="preserve"> Links between the multi-year strategic development plans approved at high level, sector strategic plans supported by development partners’ funding, and annual allocation of resources through the budget are weak. Budget monitoring is hampered by the manual consolidation of the expenditures below provincial level and lack of systems to track resources available at service delivery level. The lack of a unified chart of accounts to track expenditures by economic functional and programmatic classification hinders informed-decision making. Fiscal data consolidated by Treasury relies on manual processes that may impact its reliability. Government systems rely mostly on the Government Financial Information System (GFIS) with limited coverage and functions which affects the timely and comprehensive budget execution reporting. The current GFIS covers only a subset of functionalities required for a full functioning budget execution system, core functionalities related to commitment controls and bank reconciliation are not yet in place and the district offices are not included in the GFIS coverage. The </w:t>
      </w:r>
      <w:r>
        <w:rPr>
          <w:rFonts w:ascii="Times New Roman" w:hAnsi="Times New Roman"/>
          <w:sz w:val="24"/>
        </w:rPr>
        <w:t xml:space="preserve">lack of interface between the </w:t>
      </w:r>
      <w:r w:rsidRPr="00145E6E">
        <w:rPr>
          <w:rFonts w:ascii="Times New Roman" w:hAnsi="Times New Roman"/>
          <w:sz w:val="24"/>
        </w:rPr>
        <w:t>Automated System for Customs Data (ASYCUDA) under the Customs Department, and the Tax Management Information System (TMIS) currently under development by the Tax Department</w:t>
      </w:r>
      <w:r>
        <w:rPr>
          <w:rFonts w:ascii="Times New Roman" w:hAnsi="Times New Roman"/>
          <w:sz w:val="24"/>
        </w:rPr>
        <w:t xml:space="preserve">, </w:t>
      </w:r>
      <w:r w:rsidRPr="00145E6E">
        <w:rPr>
          <w:rFonts w:ascii="Times New Roman" w:hAnsi="Times New Roman"/>
          <w:sz w:val="24"/>
        </w:rPr>
        <w:t>with GFIS do</w:t>
      </w:r>
      <w:r>
        <w:rPr>
          <w:rFonts w:ascii="Times New Roman" w:hAnsi="Times New Roman"/>
          <w:sz w:val="24"/>
        </w:rPr>
        <w:t>es</w:t>
      </w:r>
      <w:r w:rsidRPr="00145E6E">
        <w:rPr>
          <w:rFonts w:ascii="Times New Roman" w:hAnsi="Times New Roman"/>
          <w:sz w:val="24"/>
        </w:rPr>
        <w:t xml:space="preserve"> not allow for a comprehensiveness and accuracy of revenue and expenditures records. The internal and external audit functions are not sufficiently resourced and skilled to mitigate the control weaknesses identified.  </w:t>
      </w:r>
    </w:p>
    <w:p w14:paraId="3BDDADB2" w14:textId="77777777" w:rsidR="002A2672" w:rsidRPr="00145E6E" w:rsidRDefault="002A2672" w:rsidP="002A2672">
      <w:pPr>
        <w:pStyle w:val="ListParagraph"/>
        <w:widowControl w:val="0"/>
        <w:numPr>
          <w:ilvl w:val="0"/>
          <w:numId w:val="33"/>
        </w:numPr>
        <w:autoSpaceDE w:val="0"/>
        <w:autoSpaceDN w:val="0"/>
        <w:adjustRightInd w:val="0"/>
        <w:spacing w:after="240"/>
        <w:ind w:left="0" w:firstLine="0"/>
        <w:contextualSpacing w:val="0"/>
        <w:rPr>
          <w:rFonts w:ascii="Times New Roman" w:hAnsi="Times New Roman"/>
          <w:sz w:val="24"/>
        </w:rPr>
      </w:pPr>
      <w:r w:rsidRPr="00145E6E">
        <w:rPr>
          <w:rFonts w:ascii="Times New Roman" w:hAnsi="Times New Roman"/>
          <w:sz w:val="24"/>
        </w:rPr>
        <w:t>The results of the 2018 LAO PDR PEFA Assessment for each of the 31 performance indicators are summarized below:</w:t>
      </w:r>
    </w:p>
    <w:p w14:paraId="425D553D" w14:textId="77777777" w:rsidR="002A2672" w:rsidRPr="00850CE2" w:rsidRDefault="002A2672" w:rsidP="002A2672">
      <w:pPr>
        <w:pStyle w:val="Caption"/>
        <w:ind w:left="540"/>
        <w:rPr>
          <w:rFonts w:ascii="Times New Roman" w:hAnsi="Times New Roman"/>
          <w:color w:val="000000" w:themeColor="text1"/>
        </w:rPr>
      </w:pPr>
      <w:r w:rsidRPr="00850CE2">
        <w:rPr>
          <w:rFonts w:ascii="Times New Roman" w:hAnsi="Times New Roman"/>
          <w:color w:val="000000" w:themeColor="text1"/>
        </w:rPr>
        <w:t>Table 1: Summary of PEFA scores by pillar</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520"/>
        <w:gridCol w:w="1710"/>
        <w:gridCol w:w="630"/>
        <w:gridCol w:w="630"/>
        <w:gridCol w:w="720"/>
        <w:gridCol w:w="720"/>
        <w:gridCol w:w="810"/>
        <w:gridCol w:w="900"/>
      </w:tblGrid>
      <w:tr w:rsidR="002A2672" w:rsidRPr="003A2BF7" w14:paraId="107456B0" w14:textId="77777777" w:rsidTr="00D737E9">
        <w:trPr>
          <w:trHeight w:val="20"/>
        </w:trPr>
        <w:tc>
          <w:tcPr>
            <w:tcW w:w="3520" w:type="dxa"/>
            <w:vMerge w:val="restart"/>
            <w:shd w:val="clear" w:color="auto" w:fill="EDEDED"/>
            <w:tcMar>
              <w:top w:w="10" w:type="dxa"/>
              <w:left w:w="10" w:type="dxa"/>
              <w:bottom w:w="72" w:type="dxa"/>
              <w:right w:w="10" w:type="dxa"/>
            </w:tcMar>
            <w:vAlign w:val="center"/>
            <w:hideMark/>
          </w:tcPr>
          <w:p w14:paraId="119BDB42" w14:textId="77777777" w:rsidR="002A2672" w:rsidRPr="00850CE2" w:rsidRDefault="002A2672" w:rsidP="00D737E9">
            <w:pPr>
              <w:spacing w:before="0"/>
              <w:ind w:left="540"/>
              <w:jc w:val="center"/>
              <w:textAlignment w:val="center"/>
              <w:rPr>
                <w:rFonts w:ascii="Times New Roman" w:hAnsi="Times New Roman"/>
                <w:sz w:val="20"/>
                <w:szCs w:val="20"/>
                <w:lang w:val="en-MY"/>
              </w:rPr>
            </w:pPr>
            <w:r w:rsidRPr="00850CE2">
              <w:rPr>
                <w:rFonts w:ascii="Times New Roman" w:hAnsi="Times New Roman"/>
                <w:b/>
                <w:bCs/>
                <w:color w:val="000000"/>
                <w:kern w:val="24"/>
                <w:sz w:val="20"/>
                <w:szCs w:val="20"/>
                <w:lang w:val="en-ID"/>
              </w:rPr>
              <w:t>Core of PFM Performance</w:t>
            </w:r>
          </w:p>
        </w:tc>
        <w:tc>
          <w:tcPr>
            <w:tcW w:w="1710" w:type="dxa"/>
            <w:vMerge w:val="restart"/>
            <w:shd w:val="clear" w:color="auto" w:fill="EDEDED"/>
            <w:tcMar>
              <w:top w:w="10" w:type="dxa"/>
              <w:left w:w="10" w:type="dxa"/>
              <w:bottom w:w="72" w:type="dxa"/>
              <w:right w:w="10" w:type="dxa"/>
            </w:tcMar>
            <w:vAlign w:val="center"/>
            <w:hideMark/>
          </w:tcPr>
          <w:p w14:paraId="23371B24" w14:textId="77777777" w:rsidR="002A2672" w:rsidRPr="00850CE2" w:rsidRDefault="002A2672" w:rsidP="00D737E9">
            <w:pPr>
              <w:spacing w:before="0"/>
              <w:ind w:left="174"/>
              <w:jc w:val="left"/>
              <w:textAlignment w:val="center"/>
              <w:rPr>
                <w:rFonts w:ascii="Times New Roman" w:hAnsi="Times New Roman"/>
                <w:sz w:val="20"/>
                <w:szCs w:val="20"/>
                <w:lang w:val="en-MY"/>
              </w:rPr>
            </w:pPr>
            <w:r w:rsidRPr="00850CE2">
              <w:rPr>
                <w:rFonts w:ascii="Times New Roman" w:hAnsi="Times New Roman"/>
                <w:b/>
                <w:bCs/>
                <w:color w:val="000000"/>
                <w:kern w:val="24"/>
                <w:sz w:val="20"/>
                <w:szCs w:val="20"/>
                <w:lang w:val="en-ID"/>
              </w:rPr>
              <w:t>Performance Indicators</w:t>
            </w:r>
          </w:p>
        </w:tc>
        <w:tc>
          <w:tcPr>
            <w:tcW w:w="630" w:type="dxa"/>
            <w:shd w:val="clear" w:color="auto" w:fill="EDEDED"/>
          </w:tcPr>
          <w:p w14:paraId="1418F558" w14:textId="77777777" w:rsidR="002A2672" w:rsidRPr="00850CE2" w:rsidRDefault="002A2672" w:rsidP="00D737E9">
            <w:pPr>
              <w:spacing w:before="0"/>
              <w:ind w:left="540"/>
              <w:jc w:val="center"/>
              <w:textAlignment w:val="bottom"/>
              <w:rPr>
                <w:rFonts w:ascii="Times New Roman" w:hAnsi="Times New Roman"/>
                <w:b/>
                <w:bCs/>
                <w:color w:val="000000"/>
                <w:kern w:val="24"/>
                <w:sz w:val="20"/>
                <w:szCs w:val="20"/>
                <w:lang w:val="en-ID"/>
              </w:rPr>
            </w:pPr>
          </w:p>
        </w:tc>
        <w:tc>
          <w:tcPr>
            <w:tcW w:w="2880" w:type="dxa"/>
            <w:gridSpan w:val="4"/>
            <w:shd w:val="clear" w:color="auto" w:fill="EDEDED"/>
            <w:tcMar>
              <w:top w:w="10" w:type="dxa"/>
              <w:left w:w="10" w:type="dxa"/>
              <w:bottom w:w="72" w:type="dxa"/>
              <w:right w:w="10" w:type="dxa"/>
            </w:tcMar>
            <w:vAlign w:val="center"/>
            <w:hideMark/>
          </w:tcPr>
          <w:p w14:paraId="1C88EC77" w14:textId="77777777" w:rsidR="002A2672" w:rsidRPr="00850CE2" w:rsidRDefault="002A2672" w:rsidP="00D737E9">
            <w:pPr>
              <w:spacing w:before="0"/>
              <w:ind w:left="540"/>
              <w:jc w:val="center"/>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Score</w:t>
            </w:r>
          </w:p>
        </w:tc>
        <w:tc>
          <w:tcPr>
            <w:tcW w:w="900" w:type="dxa"/>
            <w:vMerge w:val="restart"/>
            <w:shd w:val="clear" w:color="auto" w:fill="EDEDED"/>
            <w:tcMar>
              <w:top w:w="10" w:type="dxa"/>
              <w:left w:w="10" w:type="dxa"/>
              <w:bottom w:w="72" w:type="dxa"/>
              <w:right w:w="10" w:type="dxa"/>
            </w:tcMar>
            <w:vAlign w:val="center"/>
            <w:hideMark/>
          </w:tcPr>
          <w:p w14:paraId="4BE44D3F"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Total Indicators</w:t>
            </w:r>
          </w:p>
        </w:tc>
      </w:tr>
      <w:tr w:rsidR="002A2672" w:rsidRPr="003A2BF7" w14:paraId="4DD0EAC6" w14:textId="77777777" w:rsidTr="00D737E9">
        <w:trPr>
          <w:trHeight w:val="20"/>
        </w:trPr>
        <w:tc>
          <w:tcPr>
            <w:tcW w:w="3520" w:type="dxa"/>
            <w:vMerge/>
            <w:vAlign w:val="center"/>
            <w:hideMark/>
          </w:tcPr>
          <w:p w14:paraId="5A2E4785" w14:textId="77777777" w:rsidR="002A2672" w:rsidRPr="00850CE2" w:rsidRDefault="002A2672" w:rsidP="00D737E9">
            <w:pPr>
              <w:spacing w:before="0"/>
              <w:ind w:left="540"/>
              <w:jc w:val="left"/>
              <w:rPr>
                <w:rFonts w:ascii="Times New Roman" w:hAnsi="Times New Roman"/>
                <w:sz w:val="20"/>
                <w:szCs w:val="20"/>
                <w:lang w:val="en-MY"/>
              </w:rPr>
            </w:pPr>
          </w:p>
        </w:tc>
        <w:tc>
          <w:tcPr>
            <w:tcW w:w="1710" w:type="dxa"/>
            <w:vMerge/>
            <w:vAlign w:val="center"/>
            <w:hideMark/>
          </w:tcPr>
          <w:p w14:paraId="3C7AB240" w14:textId="77777777" w:rsidR="002A2672" w:rsidRPr="00850CE2" w:rsidRDefault="002A2672" w:rsidP="00D737E9">
            <w:pPr>
              <w:spacing w:before="0"/>
              <w:ind w:left="174"/>
              <w:jc w:val="left"/>
              <w:rPr>
                <w:rFonts w:ascii="Times New Roman" w:hAnsi="Times New Roman"/>
                <w:sz w:val="20"/>
                <w:szCs w:val="20"/>
                <w:lang w:val="en-MY"/>
              </w:rPr>
            </w:pPr>
          </w:p>
        </w:tc>
        <w:tc>
          <w:tcPr>
            <w:tcW w:w="630" w:type="dxa"/>
            <w:shd w:val="clear" w:color="auto" w:fill="EDEDED"/>
          </w:tcPr>
          <w:p w14:paraId="4A152188" w14:textId="77777777" w:rsidR="002A2672" w:rsidRPr="00850CE2" w:rsidRDefault="002A2672" w:rsidP="00D737E9">
            <w:pPr>
              <w:spacing w:before="0"/>
              <w:ind w:left="0"/>
              <w:jc w:val="center"/>
              <w:textAlignment w:val="bottom"/>
              <w:rPr>
                <w:rFonts w:ascii="Times New Roman" w:hAnsi="Times New Roman"/>
                <w:b/>
                <w:bCs/>
                <w:color w:val="000000"/>
                <w:kern w:val="24"/>
                <w:sz w:val="20"/>
                <w:szCs w:val="20"/>
                <w:lang w:val="en-ID"/>
              </w:rPr>
            </w:pPr>
            <w:r w:rsidRPr="00850CE2">
              <w:rPr>
                <w:rFonts w:ascii="Times New Roman" w:hAnsi="Times New Roman"/>
                <w:b/>
                <w:bCs/>
                <w:color w:val="000000"/>
                <w:kern w:val="24"/>
                <w:sz w:val="20"/>
                <w:szCs w:val="20"/>
                <w:lang w:val="en-ID"/>
              </w:rPr>
              <w:t>NA</w:t>
            </w:r>
          </w:p>
        </w:tc>
        <w:tc>
          <w:tcPr>
            <w:tcW w:w="630" w:type="dxa"/>
            <w:shd w:val="clear" w:color="auto" w:fill="EDEDED"/>
            <w:tcMar>
              <w:top w:w="10" w:type="dxa"/>
              <w:left w:w="10" w:type="dxa"/>
              <w:bottom w:w="72" w:type="dxa"/>
              <w:right w:w="10" w:type="dxa"/>
            </w:tcMar>
            <w:vAlign w:val="center"/>
            <w:hideMark/>
          </w:tcPr>
          <w:p w14:paraId="27B447E8"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A</w:t>
            </w:r>
          </w:p>
        </w:tc>
        <w:tc>
          <w:tcPr>
            <w:tcW w:w="720" w:type="dxa"/>
            <w:shd w:val="clear" w:color="auto" w:fill="EDEDED"/>
            <w:tcMar>
              <w:top w:w="10" w:type="dxa"/>
              <w:left w:w="10" w:type="dxa"/>
              <w:bottom w:w="72" w:type="dxa"/>
              <w:right w:w="10" w:type="dxa"/>
            </w:tcMar>
            <w:vAlign w:val="center"/>
            <w:hideMark/>
          </w:tcPr>
          <w:p w14:paraId="4A375F87"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B/B+</w:t>
            </w:r>
          </w:p>
        </w:tc>
        <w:tc>
          <w:tcPr>
            <w:tcW w:w="720" w:type="dxa"/>
            <w:shd w:val="clear" w:color="auto" w:fill="EDEDED"/>
            <w:tcMar>
              <w:top w:w="10" w:type="dxa"/>
              <w:left w:w="10" w:type="dxa"/>
              <w:bottom w:w="72" w:type="dxa"/>
              <w:right w:w="10" w:type="dxa"/>
            </w:tcMar>
            <w:vAlign w:val="center"/>
            <w:hideMark/>
          </w:tcPr>
          <w:p w14:paraId="4958AC7D"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C/C+</w:t>
            </w:r>
          </w:p>
        </w:tc>
        <w:tc>
          <w:tcPr>
            <w:tcW w:w="810" w:type="dxa"/>
            <w:shd w:val="clear" w:color="auto" w:fill="EDEDED"/>
            <w:tcMar>
              <w:top w:w="10" w:type="dxa"/>
              <w:left w:w="10" w:type="dxa"/>
              <w:bottom w:w="72" w:type="dxa"/>
              <w:right w:w="10" w:type="dxa"/>
            </w:tcMar>
            <w:vAlign w:val="center"/>
            <w:hideMark/>
          </w:tcPr>
          <w:p w14:paraId="69DE0735"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D/D+</w:t>
            </w:r>
          </w:p>
        </w:tc>
        <w:tc>
          <w:tcPr>
            <w:tcW w:w="900" w:type="dxa"/>
            <w:vMerge/>
            <w:vAlign w:val="center"/>
            <w:hideMark/>
          </w:tcPr>
          <w:p w14:paraId="05C76741" w14:textId="77777777" w:rsidR="002A2672" w:rsidRPr="00850CE2" w:rsidRDefault="002A2672" w:rsidP="00D737E9">
            <w:pPr>
              <w:spacing w:before="0"/>
              <w:ind w:left="0"/>
              <w:jc w:val="center"/>
              <w:rPr>
                <w:rFonts w:ascii="Times New Roman" w:hAnsi="Times New Roman"/>
                <w:sz w:val="20"/>
                <w:szCs w:val="20"/>
                <w:lang w:val="en-MY"/>
              </w:rPr>
            </w:pPr>
          </w:p>
        </w:tc>
      </w:tr>
      <w:tr w:rsidR="002A2672" w:rsidRPr="003A2BF7" w14:paraId="4FE5A17E" w14:textId="77777777" w:rsidTr="00D737E9">
        <w:trPr>
          <w:trHeight w:val="20"/>
        </w:trPr>
        <w:tc>
          <w:tcPr>
            <w:tcW w:w="3520" w:type="dxa"/>
            <w:tcMar>
              <w:top w:w="10" w:type="dxa"/>
              <w:left w:w="10" w:type="dxa"/>
              <w:bottom w:w="72" w:type="dxa"/>
              <w:right w:w="10" w:type="dxa"/>
            </w:tcMar>
            <w:vAlign w:val="center"/>
            <w:hideMark/>
          </w:tcPr>
          <w:p w14:paraId="62CB96AD"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Budget reliability</w:t>
            </w:r>
          </w:p>
        </w:tc>
        <w:tc>
          <w:tcPr>
            <w:tcW w:w="1710" w:type="dxa"/>
            <w:tcMar>
              <w:top w:w="10" w:type="dxa"/>
              <w:left w:w="10" w:type="dxa"/>
              <w:bottom w:w="72" w:type="dxa"/>
              <w:right w:w="10" w:type="dxa"/>
            </w:tcMar>
            <w:vAlign w:val="center"/>
            <w:hideMark/>
          </w:tcPr>
          <w:p w14:paraId="37606881" w14:textId="77777777" w:rsidR="002A2672" w:rsidRPr="00850CE2" w:rsidRDefault="002A2672" w:rsidP="00D737E9">
            <w:pPr>
              <w:spacing w:before="0"/>
              <w:ind w:left="174"/>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PI-1 to PI-3</w:t>
            </w:r>
          </w:p>
        </w:tc>
        <w:tc>
          <w:tcPr>
            <w:tcW w:w="630" w:type="dxa"/>
          </w:tcPr>
          <w:p w14:paraId="0895E7CC" w14:textId="77777777" w:rsidR="002A2672" w:rsidRPr="00850CE2" w:rsidRDefault="002A2672" w:rsidP="00D737E9">
            <w:pPr>
              <w:spacing w:before="0"/>
              <w:ind w:left="0"/>
              <w:jc w:val="center"/>
              <w:rPr>
                <w:rFonts w:ascii="Times New Roman" w:hAnsi="Times New Roman"/>
                <w:sz w:val="20"/>
                <w:szCs w:val="20"/>
                <w:lang w:val="en-MY"/>
              </w:rPr>
            </w:pPr>
          </w:p>
        </w:tc>
        <w:tc>
          <w:tcPr>
            <w:tcW w:w="630" w:type="dxa"/>
            <w:tcMar>
              <w:top w:w="10" w:type="dxa"/>
              <w:left w:w="10" w:type="dxa"/>
              <w:bottom w:w="72" w:type="dxa"/>
              <w:right w:w="10" w:type="dxa"/>
            </w:tcMar>
            <w:vAlign w:val="center"/>
            <w:hideMark/>
          </w:tcPr>
          <w:p w14:paraId="79EA22CC" w14:textId="77777777" w:rsidR="002A2672" w:rsidRPr="00850CE2" w:rsidRDefault="002A2672" w:rsidP="00D737E9">
            <w:pPr>
              <w:spacing w:before="0"/>
              <w:ind w:left="0"/>
              <w:jc w:val="center"/>
              <w:rPr>
                <w:rFonts w:ascii="Times New Roman" w:hAnsi="Times New Roman"/>
                <w:sz w:val="20"/>
                <w:szCs w:val="20"/>
                <w:lang w:val="en-MY"/>
              </w:rPr>
            </w:pPr>
            <w:r w:rsidRPr="00850CE2">
              <w:rPr>
                <w:rFonts w:ascii="Times New Roman" w:hAnsi="Times New Roman"/>
                <w:sz w:val="20"/>
                <w:szCs w:val="20"/>
                <w:lang w:val="en-MY"/>
              </w:rPr>
              <w:t>1</w:t>
            </w:r>
          </w:p>
        </w:tc>
        <w:tc>
          <w:tcPr>
            <w:tcW w:w="720" w:type="dxa"/>
            <w:tcMar>
              <w:top w:w="10" w:type="dxa"/>
              <w:left w:w="10" w:type="dxa"/>
              <w:bottom w:w="72" w:type="dxa"/>
              <w:right w:w="10" w:type="dxa"/>
            </w:tcMar>
            <w:vAlign w:val="center"/>
            <w:hideMark/>
          </w:tcPr>
          <w:p w14:paraId="2645D3F6" w14:textId="77777777" w:rsidR="002A2672" w:rsidRPr="00850CE2" w:rsidRDefault="002A2672" w:rsidP="00D737E9">
            <w:pPr>
              <w:spacing w:before="0"/>
              <w:ind w:left="0"/>
              <w:jc w:val="center"/>
              <w:textAlignment w:val="bottom"/>
              <w:rPr>
                <w:rFonts w:ascii="Times New Roman" w:eastAsiaTheme="minorHAnsi" w:hAnsi="Times New Roman"/>
                <w:sz w:val="20"/>
                <w:szCs w:val="20"/>
              </w:rPr>
            </w:pPr>
          </w:p>
        </w:tc>
        <w:tc>
          <w:tcPr>
            <w:tcW w:w="720" w:type="dxa"/>
            <w:tcMar>
              <w:top w:w="10" w:type="dxa"/>
              <w:left w:w="10" w:type="dxa"/>
              <w:bottom w:w="72" w:type="dxa"/>
              <w:right w:w="10" w:type="dxa"/>
            </w:tcMar>
            <w:vAlign w:val="center"/>
            <w:hideMark/>
          </w:tcPr>
          <w:p w14:paraId="5FE154EA"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810" w:type="dxa"/>
            <w:tcMar>
              <w:top w:w="10" w:type="dxa"/>
              <w:left w:w="10" w:type="dxa"/>
              <w:bottom w:w="72" w:type="dxa"/>
              <w:right w:w="10" w:type="dxa"/>
            </w:tcMar>
            <w:vAlign w:val="center"/>
            <w:hideMark/>
          </w:tcPr>
          <w:p w14:paraId="628378F6"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2</w:t>
            </w:r>
          </w:p>
        </w:tc>
        <w:tc>
          <w:tcPr>
            <w:tcW w:w="900" w:type="dxa"/>
            <w:tcMar>
              <w:top w:w="10" w:type="dxa"/>
              <w:left w:w="10" w:type="dxa"/>
              <w:bottom w:w="72" w:type="dxa"/>
              <w:right w:w="10" w:type="dxa"/>
            </w:tcMar>
            <w:vAlign w:val="center"/>
            <w:hideMark/>
          </w:tcPr>
          <w:p w14:paraId="68C45B0B"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3</w:t>
            </w:r>
          </w:p>
        </w:tc>
      </w:tr>
      <w:tr w:rsidR="002A2672" w:rsidRPr="003A2BF7" w14:paraId="4BD21590" w14:textId="77777777" w:rsidTr="00D737E9">
        <w:trPr>
          <w:trHeight w:val="20"/>
        </w:trPr>
        <w:tc>
          <w:tcPr>
            <w:tcW w:w="3520" w:type="dxa"/>
            <w:tcMar>
              <w:top w:w="10" w:type="dxa"/>
              <w:left w:w="10" w:type="dxa"/>
              <w:bottom w:w="72" w:type="dxa"/>
              <w:right w:w="10" w:type="dxa"/>
            </w:tcMar>
            <w:vAlign w:val="center"/>
            <w:hideMark/>
          </w:tcPr>
          <w:p w14:paraId="37713936"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Transparency of Public Finance</w:t>
            </w:r>
          </w:p>
        </w:tc>
        <w:tc>
          <w:tcPr>
            <w:tcW w:w="1710" w:type="dxa"/>
            <w:tcMar>
              <w:top w:w="10" w:type="dxa"/>
              <w:left w:w="10" w:type="dxa"/>
              <w:bottom w:w="72" w:type="dxa"/>
              <w:right w:w="10" w:type="dxa"/>
            </w:tcMar>
            <w:vAlign w:val="center"/>
            <w:hideMark/>
          </w:tcPr>
          <w:p w14:paraId="0DACAFAD" w14:textId="77777777" w:rsidR="002A2672" w:rsidRPr="00850CE2" w:rsidRDefault="002A2672" w:rsidP="00D737E9">
            <w:pPr>
              <w:spacing w:before="0"/>
              <w:ind w:left="174"/>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PI-4 to PI-9</w:t>
            </w:r>
          </w:p>
        </w:tc>
        <w:tc>
          <w:tcPr>
            <w:tcW w:w="630" w:type="dxa"/>
          </w:tcPr>
          <w:p w14:paraId="34DC3845"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1</w:t>
            </w:r>
          </w:p>
        </w:tc>
        <w:tc>
          <w:tcPr>
            <w:tcW w:w="630" w:type="dxa"/>
            <w:tcMar>
              <w:top w:w="10" w:type="dxa"/>
              <w:left w:w="10" w:type="dxa"/>
              <w:bottom w:w="72" w:type="dxa"/>
              <w:right w:w="10" w:type="dxa"/>
            </w:tcMar>
            <w:vAlign w:val="center"/>
            <w:hideMark/>
          </w:tcPr>
          <w:p w14:paraId="7F678049"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40B16CD3"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71A8C1AD"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1</w:t>
            </w:r>
          </w:p>
        </w:tc>
        <w:tc>
          <w:tcPr>
            <w:tcW w:w="810" w:type="dxa"/>
            <w:tcMar>
              <w:top w:w="10" w:type="dxa"/>
              <w:left w:w="10" w:type="dxa"/>
              <w:bottom w:w="72" w:type="dxa"/>
              <w:right w:w="10" w:type="dxa"/>
            </w:tcMar>
            <w:vAlign w:val="center"/>
            <w:hideMark/>
          </w:tcPr>
          <w:p w14:paraId="721B00AE" w14:textId="77777777" w:rsidR="002A2672" w:rsidRPr="00850CE2" w:rsidRDefault="002A2672" w:rsidP="00D737E9">
            <w:pPr>
              <w:spacing w:before="0"/>
              <w:ind w:left="0"/>
              <w:jc w:val="center"/>
              <w:rPr>
                <w:rFonts w:ascii="Times New Roman" w:hAnsi="Times New Roman"/>
                <w:sz w:val="20"/>
                <w:szCs w:val="20"/>
                <w:lang w:val="en-MY"/>
              </w:rPr>
            </w:pPr>
            <w:r w:rsidRPr="00850CE2">
              <w:rPr>
                <w:rFonts w:ascii="Times New Roman" w:hAnsi="Times New Roman"/>
                <w:sz w:val="20"/>
                <w:szCs w:val="20"/>
                <w:lang w:val="en-MY"/>
              </w:rPr>
              <w:t>4</w:t>
            </w:r>
          </w:p>
        </w:tc>
        <w:tc>
          <w:tcPr>
            <w:tcW w:w="900" w:type="dxa"/>
            <w:tcMar>
              <w:top w:w="10" w:type="dxa"/>
              <w:left w:w="10" w:type="dxa"/>
              <w:bottom w:w="72" w:type="dxa"/>
              <w:right w:w="10" w:type="dxa"/>
            </w:tcMar>
            <w:vAlign w:val="center"/>
            <w:hideMark/>
          </w:tcPr>
          <w:p w14:paraId="10F616B7"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6</w:t>
            </w:r>
          </w:p>
        </w:tc>
      </w:tr>
      <w:tr w:rsidR="002A2672" w:rsidRPr="003A2BF7" w14:paraId="139DF810" w14:textId="77777777" w:rsidTr="00D737E9">
        <w:trPr>
          <w:trHeight w:val="20"/>
        </w:trPr>
        <w:tc>
          <w:tcPr>
            <w:tcW w:w="3520" w:type="dxa"/>
            <w:tcMar>
              <w:top w:w="10" w:type="dxa"/>
              <w:left w:w="10" w:type="dxa"/>
              <w:bottom w:w="72" w:type="dxa"/>
              <w:right w:w="10" w:type="dxa"/>
            </w:tcMar>
            <w:vAlign w:val="center"/>
            <w:hideMark/>
          </w:tcPr>
          <w:p w14:paraId="55922029"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Management of Assets and Liabilities</w:t>
            </w:r>
          </w:p>
        </w:tc>
        <w:tc>
          <w:tcPr>
            <w:tcW w:w="1710" w:type="dxa"/>
            <w:tcMar>
              <w:top w:w="10" w:type="dxa"/>
              <w:left w:w="10" w:type="dxa"/>
              <w:bottom w:w="72" w:type="dxa"/>
              <w:right w:w="10" w:type="dxa"/>
            </w:tcMar>
            <w:vAlign w:val="center"/>
            <w:hideMark/>
          </w:tcPr>
          <w:p w14:paraId="61E89F7B" w14:textId="77777777" w:rsidR="002A2672" w:rsidRPr="00850CE2" w:rsidRDefault="002A2672" w:rsidP="00D737E9">
            <w:pPr>
              <w:spacing w:before="0"/>
              <w:ind w:left="174"/>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PI-10 to PI-13</w:t>
            </w:r>
          </w:p>
        </w:tc>
        <w:tc>
          <w:tcPr>
            <w:tcW w:w="630" w:type="dxa"/>
          </w:tcPr>
          <w:p w14:paraId="343B22AD" w14:textId="77777777" w:rsidR="002A2672" w:rsidRPr="00850CE2" w:rsidRDefault="002A2672" w:rsidP="00D737E9">
            <w:pPr>
              <w:spacing w:before="0"/>
              <w:ind w:left="0"/>
              <w:jc w:val="center"/>
              <w:rPr>
                <w:rFonts w:ascii="Times New Roman" w:hAnsi="Times New Roman"/>
                <w:sz w:val="20"/>
                <w:szCs w:val="20"/>
                <w:lang w:val="en-MY"/>
              </w:rPr>
            </w:pPr>
          </w:p>
        </w:tc>
        <w:tc>
          <w:tcPr>
            <w:tcW w:w="630" w:type="dxa"/>
            <w:tcMar>
              <w:top w:w="10" w:type="dxa"/>
              <w:left w:w="10" w:type="dxa"/>
              <w:bottom w:w="72" w:type="dxa"/>
              <w:right w:w="10" w:type="dxa"/>
            </w:tcMar>
            <w:vAlign w:val="center"/>
            <w:hideMark/>
          </w:tcPr>
          <w:p w14:paraId="5BAE1D63" w14:textId="77777777" w:rsidR="002A2672" w:rsidRPr="00850CE2" w:rsidRDefault="002A2672" w:rsidP="00D737E9">
            <w:pPr>
              <w:spacing w:before="0"/>
              <w:ind w:left="0"/>
              <w:jc w:val="center"/>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41AA574D"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3EE3F3DF"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810" w:type="dxa"/>
            <w:tcMar>
              <w:top w:w="10" w:type="dxa"/>
              <w:left w:w="10" w:type="dxa"/>
              <w:bottom w:w="72" w:type="dxa"/>
              <w:right w:w="10" w:type="dxa"/>
            </w:tcMar>
            <w:vAlign w:val="center"/>
            <w:hideMark/>
          </w:tcPr>
          <w:p w14:paraId="4A0F961E"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4</w:t>
            </w:r>
          </w:p>
        </w:tc>
        <w:tc>
          <w:tcPr>
            <w:tcW w:w="900" w:type="dxa"/>
            <w:tcMar>
              <w:top w:w="10" w:type="dxa"/>
              <w:left w:w="10" w:type="dxa"/>
              <w:bottom w:w="72" w:type="dxa"/>
              <w:right w:w="10" w:type="dxa"/>
            </w:tcMar>
            <w:vAlign w:val="center"/>
            <w:hideMark/>
          </w:tcPr>
          <w:p w14:paraId="52FECA26"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4</w:t>
            </w:r>
          </w:p>
        </w:tc>
      </w:tr>
      <w:tr w:rsidR="002A2672" w:rsidRPr="003A2BF7" w14:paraId="3BC60B10" w14:textId="77777777" w:rsidTr="00D737E9">
        <w:trPr>
          <w:trHeight w:val="20"/>
        </w:trPr>
        <w:tc>
          <w:tcPr>
            <w:tcW w:w="3520" w:type="dxa"/>
            <w:tcMar>
              <w:top w:w="10" w:type="dxa"/>
              <w:left w:w="10" w:type="dxa"/>
              <w:bottom w:w="72" w:type="dxa"/>
              <w:right w:w="10" w:type="dxa"/>
            </w:tcMar>
            <w:vAlign w:val="center"/>
            <w:hideMark/>
          </w:tcPr>
          <w:p w14:paraId="2E4232A3"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Policy-based fiscal strategy and budgeting</w:t>
            </w:r>
          </w:p>
        </w:tc>
        <w:tc>
          <w:tcPr>
            <w:tcW w:w="1710" w:type="dxa"/>
            <w:tcMar>
              <w:top w:w="10" w:type="dxa"/>
              <w:left w:w="10" w:type="dxa"/>
              <w:bottom w:w="72" w:type="dxa"/>
              <w:right w:w="10" w:type="dxa"/>
            </w:tcMar>
            <w:vAlign w:val="center"/>
            <w:hideMark/>
          </w:tcPr>
          <w:p w14:paraId="3C9D733A" w14:textId="77777777" w:rsidR="002A2672" w:rsidRPr="00850CE2" w:rsidRDefault="002A2672" w:rsidP="00D737E9">
            <w:pPr>
              <w:spacing w:before="0"/>
              <w:ind w:left="174"/>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PI-14 to PI-18</w:t>
            </w:r>
          </w:p>
        </w:tc>
        <w:tc>
          <w:tcPr>
            <w:tcW w:w="630" w:type="dxa"/>
          </w:tcPr>
          <w:p w14:paraId="7F5A5401"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630" w:type="dxa"/>
            <w:tcMar>
              <w:top w:w="10" w:type="dxa"/>
              <w:left w:w="10" w:type="dxa"/>
              <w:bottom w:w="72" w:type="dxa"/>
              <w:right w:w="10" w:type="dxa"/>
            </w:tcMar>
            <w:vAlign w:val="center"/>
            <w:hideMark/>
          </w:tcPr>
          <w:p w14:paraId="4755A5B2"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3BC276E7"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2E586292"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1</w:t>
            </w:r>
          </w:p>
        </w:tc>
        <w:tc>
          <w:tcPr>
            <w:tcW w:w="810" w:type="dxa"/>
            <w:tcMar>
              <w:top w:w="10" w:type="dxa"/>
              <w:left w:w="10" w:type="dxa"/>
              <w:bottom w:w="72" w:type="dxa"/>
              <w:right w:w="10" w:type="dxa"/>
            </w:tcMar>
            <w:vAlign w:val="center"/>
            <w:hideMark/>
          </w:tcPr>
          <w:p w14:paraId="0FCA4F09" w14:textId="77777777" w:rsidR="002A2672" w:rsidRPr="00850CE2" w:rsidRDefault="002A2672" w:rsidP="00D737E9">
            <w:pPr>
              <w:spacing w:before="0"/>
              <w:ind w:left="0"/>
              <w:jc w:val="center"/>
              <w:rPr>
                <w:rFonts w:ascii="Times New Roman" w:hAnsi="Times New Roman"/>
                <w:sz w:val="20"/>
                <w:szCs w:val="20"/>
                <w:lang w:val="en-MY"/>
              </w:rPr>
            </w:pPr>
            <w:r w:rsidRPr="00850CE2">
              <w:rPr>
                <w:rFonts w:ascii="Times New Roman" w:hAnsi="Times New Roman"/>
                <w:sz w:val="20"/>
                <w:szCs w:val="20"/>
                <w:lang w:val="en-MY"/>
              </w:rPr>
              <w:t>4</w:t>
            </w:r>
          </w:p>
        </w:tc>
        <w:tc>
          <w:tcPr>
            <w:tcW w:w="900" w:type="dxa"/>
            <w:tcMar>
              <w:top w:w="10" w:type="dxa"/>
              <w:left w:w="10" w:type="dxa"/>
              <w:bottom w:w="72" w:type="dxa"/>
              <w:right w:w="10" w:type="dxa"/>
            </w:tcMar>
            <w:vAlign w:val="center"/>
            <w:hideMark/>
          </w:tcPr>
          <w:p w14:paraId="5F46D77F"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5</w:t>
            </w:r>
          </w:p>
        </w:tc>
      </w:tr>
      <w:tr w:rsidR="002A2672" w:rsidRPr="003A2BF7" w14:paraId="3A76DF22" w14:textId="77777777" w:rsidTr="00D737E9">
        <w:trPr>
          <w:trHeight w:val="20"/>
        </w:trPr>
        <w:tc>
          <w:tcPr>
            <w:tcW w:w="3520" w:type="dxa"/>
            <w:tcMar>
              <w:top w:w="10" w:type="dxa"/>
              <w:left w:w="10" w:type="dxa"/>
              <w:bottom w:w="72" w:type="dxa"/>
              <w:right w:w="10" w:type="dxa"/>
            </w:tcMar>
            <w:vAlign w:val="center"/>
            <w:hideMark/>
          </w:tcPr>
          <w:p w14:paraId="37A33C2E"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Predictability and Control in budget execution</w:t>
            </w:r>
          </w:p>
        </w:tc>
        <w:tc>
          <w:tcPr>
            <w:tcW w:w="1710" w:type="dxa"/>
            <w:tcMar>
              <w:top w:w="10" w:type="dxa"/>
              <w:left w:w="10" w:type="dxa"/>
              <w:bottom w:w="72" w:type="dxa"/>
              <w:right w:w="10" w:type="dxa"/>
            </w:tcMar>
            <w:vAlign w:val="center"/>
            <w:hideMark/>
          </w:tcPr>
          <w:p w14:paraId="0C48829C" w14:textId="77777777" w:rsidR="002A2672" w:rsidRPr="00850CE2" w:rsidRDefault="002A2672" w:rsidP="00D737E9">
            <w:pPr>
              <w:spacing w:before="0"/>
              <w:ind w:left="174"/>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PI-19 to PI-26</w:t>
            </w:r>
          </w:p>
        </w:tc>
        <w:tc>
          <w:tcPr>
            <w:tcW w:w="630" w:type="dxa"/>
          </w:tcPr>
          <w:p w14:paraId="54C7629A"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630" w:type="dxa"/>
            <w:tcMar>
              <w:top w:w="10" w:type="dxa"/>
              <w:left w:w="10" w:type="dxa"/>
              <w:bottom w:w="72" w:type="dxa"/>
              <w:right w:w="10" w:type="dxa"/>
            </w:tcMar>
            <w:vAlign w:val="center"/>
            <w:hideMark/>
          </w:tcPr>
          <w:p w14:paraId="001E962D"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3073E2DD" w14:textId="392434F1" w:rsidR="002A2672" w:rsidRPr="00850CE2" w:rsidRDefault="00C801E0" w:rsidP="00D737E9">
            <w:pPr>
              <w:spacing w:before="0"/>
              <w:ind w:left="0"/>
              <w:jc w:val="center"/>
              <w:textAlignment w:val="bottom"/>
              <w:rPr>
                <w:rFonts w:ascii="Times New Roman" w:hAnsi="Times New Roman"/>
                <w:sz w:val="20"/>
                <w:szCs w:val="20"/>
                <w:lang w:val="en-MY"/>
              </w:rPr>
            </w:pPr>
            <w:r>
              <w:rPr>
                <w:rFonts w:ascii="Times New Roman" w:hAnsi="Times New Roman"/>
                <w:sz w:val="20"/>
                <w:szCs w:val="20"/>
                <w:lang w:val="en-MY"/>
              </w:rPr>
              <w:t>2</w:t>
            </w:r>
          </w:p>
        </w:tc>
        <w:tc>
          <w:tcPr>
            <w:tcW w:w="720" w:type="dxa"/>
            <w:tcMar>
              <w:top w:w="10" w:type="dxa"/>
              <w:left w:w="10" w:type="dxa"/>
              <w:bottom w:w="72" w:type="dxa"/>
              <w:right w:w="10" w:type="dxa"/>
            </w:tcMar>
            <w:vAlign w:val="center"/>
            <w:hideMark/>
          </w:tcPr>
          <w:p w14:paraId="68D2F9B2" w14:textId="3D0FCA4F" w:rsidR="002A2672" w:rsidRPr="00850CE2" w:rsidRDefault="002A2672" w:rsidP="00D737E9">
            <w:pPr>
              <w:spacing w:before="0"/>
              <w:ind w:left="0"/>
              <w:jc w:val="center"/>
              <w:textAlignment w:val="bottom"/>
              <w:rPr>
                <w:rFonts w:ascii="Times New Roman" w:hAnsi="Times New Roman"/>
                <w:sz w:val="20"/>
                <w:szCs w:val="20"/>
                <w:lang w:val="en-MY"/>
              </w:rPr>
            </w:pPr>
          </w:p>
        </w:tc>
        <w:tc>
          <w:tcPr>
            <w:tcW w:w="810" w:type="dxa"/>
            <w:tcMar>
              <w:top w:w="10" w:type="dxa"/>
              <w:left w:w="10" w:type="dxa"/>
              <w:bottom w:w="72" w:type="dxa"/>
              <w:right w:w="10" w:type="dxa"/>
            </w:tcMar>
            <w:vAlign w:val="center"/>
            <w:hideMark/>
          </w:tcPr>
          <w:p w14:paraId="00C21FD9"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6</w:t>
            </w:r>
          </w:p>
        </w:tc>
        <w:tc>
          <w:tcPr>
            <w:tcW w:w="900" w:type="dxa"/>
            <w:tcMar>
              <w:top w:w="10" w:type="dxa"/>
              <w:left w:w="10" w:type="dxa"/>
              <w:bottom w:w="72" w:type="dxa"/>
              <w:right w:w="10" w:type="dxa"/>
            </w:tcMar>
            <w:vAlign w:val="center"/>
            <w:hideMark/>
          </w:tcPr>
          <w:p w14:paraId="324C76D0"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8</w:t>
            </w:r>
          </w:p>
        </w:tc>
      </w:tr>
      <w:tr w:rsidR="002A2672" w:rsidRPr="003A2BF7" w14:paraId="175D2EBB" w14:textId="77777777" w:rsidTr="00D737E9">
        <w:trPr>
          <w:trHeight w:val="20"/>
        </w:trPr>
        <w:tc>
          <w:tcPr>
            <w:tcW w:w="3520" w:type="dxa"/>
            <w:tcMar>
              <w:top w:w="10" w:type="dxa"/>
              <w:left w:w="10" w:type="dxa"/>
              <w:bottom w:w="72" w:type="dxa"/>
              <w:right w:w="10" w:type="dxa"/>
            </w:tcMar>
            <w:vAlign w:val="center"/>
          </w:tcPr>
          <w:p w14:paraId="7D5AEAF6" w14:textId="77777777" w:rsidR="002A2672" w:rsidRPr="00850CE2" w:rsidRDefault="002A2672" w:rsidP="00D737E9">
            <w:pPr>
              <w:spacing w:before="0"/>
              <w:ind w:left="0"/>
              <w:jc w:val="left"/>
              <w:textAlignment w:val="bottom"/>
              <w:rPr>
                <w:rFonts w:ascii="Times New Roman" w:hAnsi="Times New Roman"/>
                <w:b/>
                <w:bCs/>
                <w:color w:val="000000"/>
                <w:kern w:val="24"/>
                <w:sz w:val="20"/>
                <w:szCs w:val="20"/>
                <w:lang w:val="en-ID"/>
              </w:rPr>
            </w:pPr>
            <w:r w:rsidRPr="00850CE2">
              <w:rPr>
                <w:rFonts w:ascii="Times New Roman" w:hAnsi="Times New Roman"/>
                <w:b/>
                <w:bCs/>
                <w:color w:val="000000"/>
                <w:kern w:val="24"/>
                <w:sz w:val="20"/>
                <w:szCs w:val="20"/>
                <w:lang w:val="en-ID"/>
              </w:rPr>
              <w:t>Accounting, Recording and Reporting</w:t>
            </w:r>
          </w:p>
        </w:tc>
        <w:tc>
          <w:tcPr>
            <w:tcW w:w="1710" w:type="dxa"/>
            <w:tcMar>
              <w:top w:w="10" w:type="dxa"/>
              <w:left w:w="10" w:type="dxa"/>
              <w:bottom w:w="72" w:type="dxa"/>
              <w:right w:w="10" w:type="dxa"/>
            </w:tcMar>
            <w:vAlign w:val="center"/>
          </w:tcPr>
          <w:p w14:paraId="23F4CC2A" w14:textId="77777777" w:rsidR="002A2672" w:rsidRPr="00850CE2" w:rsidRDefault="002A2672" w:rsidP="00D737E9">
            <w:pPr>
              <w:spacing w:before="0"/>
              <w:ind w:left="174"/>
              <w:jc w:val="left"/>
              <w:textAlignment w:val="bottom"/>
              <w:rPr>
                <w:rFonts w:ascii="Times New Roman" w:hAnsi="Times New Roman"/>
                <w:b/>
                <w:bCs/>
                <w:color w:val="000000"/>
                <w:kern w:val="24"/>
                <w:sz w:val="20"/>
                <w:szCs w:val="20"/>
                <w:lang w:val="en-ID"/>
              </w:rPr>
            </w:pPr>
            <w:r w:rsidRPr="00850CE2">
              <w:rPr>
                <w:rFonts w:ascii="Times New Roman" w:hAnsi="Times New Roman"/>
                <w:b/>
                <w:bCs/>
                <w:color w:val="000000"/>
                <w:kern w:val="24"/>
                <w:sz w:val="20"/>
                <w:szCs w:val="20"/>
                <w:lang w:val="en-ID"/>
              </w:rPr>
              <w:t>PI-27 to PI-29</w:t>
            </w:r>
          </w:p>
        </w:tc>
        <w:tc>
          <w:tcPr>
            <w:tcW w:w="630" w:type="dxa"/>
          </w:tcPr>
          <w:p w14:paraId="01493736"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630" w:type="dxa"/>
            <w:tcMar>
              <w:top w:w="10" w:type="dxa"/>
              <w:left w:w="10" w:type="dxa"/>
              <w:bottom w:w="72" w:type="dxa"/>
              <w:right w:w="10" w:type="dxa"/>
            </w:tcMar>
            <w:vAlign w:val="center"/>
          </w:tcPr>
          <w:p w14:paraId="70D7BED2"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tcPr>
          <w:p w14:paraId="1FC084F0" w14:textId="77777777" w:rsidR="002A2672" w:rsidRPr="00850CE2" w:rsidRDefault="002A2672" w:rsidP="00D737E9">
            <w:pPr>
              <w:spacing w:before="0"/>
              <w:ind w:left="0"/>
              <w:jc w:val="center"/>
              <w:textAlignment w:val="bottom"/>
              <w:rPr>
                <w:rFonts w:ascii="Times New Roman" w:hAnsi="Times New Roman"/>
                <w:sz w:val="20"/>
                <w:szCs w:val="20"/>
                <w:lang w:val="en-MY"/>
              </w:rPr>
            </w:pPr>
          </w:p>
        </w:tc>
        <w:tc>
          <w:tcPr>
            <w:tcW w:w="720" w:type="dxa"/>
            <w:tcMar>
              <w:top w:w="10" w:type="dxa"/>
              <w:left w:w="10" w:type="dxa"/>
              <w:bottom w:w="72" w:type="dxa"/>
              <w:right w:w="10" w:type="dxa"/>
            </w:tcMar>
            <w:vAlign w:val="center"/>
          </w:tcPr>
          <w:p w14:paraId="37B8B9F0" w14:textId="77777777" w:rsidR="002A2672" w:rsidRPr="00850CE2" w:rsidRDefault="002A2672" w:rsidP="00D737E9">
            <w:pPr>
              <w:spacing w:before="0"/>
              <w:ind w:left="0"/>
              <w:jc w:val="center"/>
              <w:textAlignment w:val="bottom"/>
              <w:rPr>
                <w:rFonts w:ascii="Times New Roman" w:hAnsi="Times New Roman"/>
                <w:bCs/>
                <w:color w:val="000000"/>
                <w:kern w:val="24"/>
                <w:sz w:val="20"/>
                <w:szCs w:val="20"/>
                <w:lang w:val="en-ID"/>
              </w:rPr>
            </w:pPr>
            <w:r w:rsidRPr="00850CE2">
              <w:rPr>
                <w:rFonts w:ascii="Times New Roman" w:hAnsi="Times New Roman"/>
                <w:bCs/>
                <w:color w:val="000000"/>
                <w:kern w:val="24"/>
                <w:sz w:val="20"/>
                <w:szCs w:val="20"/>
                <w:lang w:val="en-ID"/>
              </w:rPr>
              <w:t>1</w:t>
            </w:r>
          </w:p>
        </w:tc>
        <w:tc>
          <w:tcPr>
            <w:tcW w:w="810" w:type="dxa"/>
            <w:tcMar>
              <w:top w:w="10" w:type="dxa"/>
              <w:left w:w="10" w:type="dxa"/>
              <w:bottom w:w="72" w:type="dxa"/>
              <w:right w:w="10" w:type="dxa"/>
            </w:tcMar>
            <w:vAlign w:val="center"/>
          </w:tcPr>
          <w:p w14:paraId="44C2025B"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2</w:t>
            </w:r>
          </w:p>
        </w:tc>
        <w:tc>
          <w:tcPr>
            <w:tcW w:w="900" w:type="dxa"/>
            <w:tcMar>
              <w:top w:w="10" w:type="dxa"/>
              <w:left w:w="10" w:type="dxa"/>
              <w:bottom w:w="72" w:type="dxa"/>
              <w:right w:w="10" w:type="dxa"/>
            </w:tcMar>
            <w:vAlign w:val="center"/>
          </w:tcPr>
          <w:p w14:paraId="61E1328D" w14:textId="77777777" w:rsidR="002A2672" w:rsidRPr="00850CE2" w:rsidRDefault="002A2672" w:rsidP="00D737E9">
            <w:pPr>
              <w:spacing w:before="0"/>
              <w:ind w:left="0"/>
              <w:jc w:val="center"/>
              <w:textAlignment w:val="bottom"/>
              <w:rPr>
                <w:rFonts w:ascii="Times New Roman" w:hAnsi="Times New Roman"/>
                <w:b/>
                <w:bCs/>
                <w:color w:val="000000"/>
                <w:kern w:val="24"/>
                <w:sz w:val="20"/>
                <w:szCs w:val="20"/>
                <w:lang w:val="en-ID"/>
              </w:rPr>
            </w:pPr>
            <w:r w:rsidRPr="00850CE2">
              <w:rPr>
                <w:rFonts w:ascii="Times New Roman" w:hAnsi="Times New Roman"/>
                <w:b/>
                <w:bCs/>
                <w:color w:val="000000"/>
                <w:kern w:val="24"/>
                <w:sz w:val="20"/>
                <w:szCs w:val="20"/>
                <w:lang w:val="en-ID"/>
              </w:rPr>
              <w:t>3</w:t>
            </w:r>
          </w:p>
        </w:tc>
      </w:tr>
      <w:tr w:rsidR="002A2672" w:rsidRPr="003A2BF7" w14:paraId="16E323ED" w14:textId="77777777" w:rsidTr="00D737E9">
        <w:trPr>
          <w:trHeight w:val="20"/>
        </w:trPr>
        <w:tc>
          <w:tcPr>
            <w:tcW w:w="3520" w:type="dxa"/>
            <w:tcMar>
              <w:top w:w="10" w:type="dxa"/>
              <w:left w:w="10" w:type="dxa"/>
              <w:bottom w:w="72" w:type="dxa"/>
              <w:right w:w="10" w:type="dxa"/>
            </w:tcMar>
            <w:vAlign w:val="center"/>
            <w:hideMark/>
          </w:tcPr>
          <w:p w14:paraId="6CD677CD" w14:textId="77777777" w:rsidR="002A2672" w:rsidRPr="00850CE2" w:rsidRDefault="002A2672" w:rsidP="00D737E9">
            <w:pPr>
              <w:spacing w:before="0"/>
              <w:ind w:left="0"/>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External Scrutiny and Audit</w:t>
            </w:r>
          </w:p>
        </w:tc>
        <w:tc>
          <w:tcPr>
            <w:tcW w:w="1710" w:type="dxa"/>
            <w:tcMar>
              <w:top w:w="10" w:type="dxa"/>
              <w:left w:w="10" w:type="dxa"/>
              <w:bottom w:w="72" w:type="dxa"/>
              <w:right w:w="10" w:type="dxa"/>
            </w:tcMar>
            <w:vAlign w:val="center"/>
            <w:hideMark/>
          </w:tcPr>
          <w:p w14:paraId="7ABED254" w14:textId="77777777" w:rsidR="002A2672" w:rsidRPr="00850CE2" w:rsidRDefault="002A2672" w:rsidP="00D737E9">
            <w:pPr>
              <w:spacing w:before="0"/>
              <w:ind w:left="174"/>
              <w:jc w:val="left"/>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PI-31 to PI-31</w:t>
            </w:r>
          </w:p>
        </w:tc>
        <w:tc>
          <w:tcPr>
            <w:tcW w:w="630" w:type="dxa"/>
          </w:tcPr>
          <w:p w14:paraId="0597DF39" w14:textId="77777777" w:rsidR="002A2672" w:rsidRPr="00850CE2" w:rsidRDefault="002A2672" w:rsidP="00D737E9">
            <w:pPr>
              <w:spacing w:before="0"/>
              <w:ind w:left="0"/>
              <w:jc w:val="center"/>
              <w:rPr>
                <w:rFonts w:ascii="Times New Roman" w:hAnsi="Times New Roman"/>
                <w:sz w:val="20"/>
                <w:szCs w:val="20"/>
                <w:lang w:val="en-MY"/>
              </w:rPr>
            </w:pPr>
          </w:p>
        </w:tc>
        <w:tc>
          <w:tcPr>
            <w:tcW w:w="630" w:type="dxa"/>
            <w:tcMar>
              <w:top w:w="10" w:type="dxa"/>
              <w:left w:w="10" w:type="dxa"/>
              <w:bottom w:w="72" w:type="dxa"/>
              <w:right w:w="10" w:type="dxa"/>
            </w:tcMar>
            <w:vAlign w:val="center"/>
            <w:hideMark/>
          </w:tcPr>
          <w:p w14:paraId="2E5B472E" w14:textId="77777777" w:rsidR="002A2672" w:rsidRPr="00850CE2" w:rsidRDefault="002A2672" w:rsidP="00D737E9">
            <w:pPr>
              <w:spacing w:before="0"/>
              <w:ind w:left="0"/>
              <w:jc w:val="center"/>
              <w:rPr>
                <w:rFonts w:ascii="Times New Roman" w:hAnsi="Times New Roman"/>
                <w:sz w:val="20"/>
                <w:szCs w:val="20"/>
                <w:lang w:val="en-MY"/>
              </w:rPr>
            </w:pPr>
          </w:p>
        </w:tc>
        <w:tc>
          <w:tcPr>
            <w:tcW w:w="720" w:type="dxa"/>
            <w:tcMar>
              <w:top w:w="10" w:type="dxa"/>
              <w:left w:w="10" w:type="dxa"/>
              <w:bottom w:w="72" w:type="dxa"/>
              <w:right w:w="10" w:type="dxa"/>
            </w:tcMar>
            <w:vAlign w:val="center"/>
            <w:hideMark/>
          </w:tcPr>
          <w:p w14:paraId="7EC66F65" w14:textId="77777777" w:rsidR="002A2672" w:rsidRPr="00850CE2" w:rsidRDefault="002A2672" w:rsidP="00D737E9">
            <w:pPr>
              <w:spacing w:before="0"/>
              <w:ind w:left="0"/>
              <w:jc w:val="center"/>
              <w:rPr>
                <w:rFonts w:ascii="Times New Roman" w:eastAsiaTheme="minorHAnsi" w:hAnsi="Times New Roman"/>
                <w:sz w:val="20"/>
                <w:szCs w:val="20"/>
              </w:rPr>
            </w:pPr>
          </w:p>
        </w:tc>
        <w:tc>
          <w:tcPr>
            <w:tcW w:w="720" w:type="dxa"/>
            <w:tcMar>
              <w:top w:w="10" w:type="dxa"/>
              <w:left w:w="10" w:type="dxa"/>
              <w:bottom w:w="72" w:type="dxa"/>
              <w:right w:w="10" w:type="dxa"/>
            </w:tcMar>
            <w:vAlign w:val="center"/>
            <w:hideMark/>
          </w:tcPr>
          <w:p w14:paraId="1DAC8508"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1</w:t>
            </w:r>
          </w:p>
        </w:tc>
        <w:tc>
          <w:tcPr>
            <w:tcW w:w="810" w:type="dxa"/>
            <w:tcMar>
              <w:top w:w="10" w:type="dxa"/>
              <w:left w:w="10" w:type="dxa"/>
              <w:bottom w:w="72" w:type="dxa"/>
              <w:right w:w="10" w:type="dxa"/>
            </w:tcMar>
            <w:vAlign w:val="center"/>
            <w:hideMark/>
          </w:tcPr>
          <w:p w14:paraId="7E7849D0" w14:textId="77777777" w:rsidR="002A2672" w:rsidRPr="00850CE2" w:rsidRDefault="002A2672" w:rsidP="00D737E9">
            <w:pPr>
              <w:spacing w:before="0"/>
              <w:ind w:left="0"/>
              <w:jc w:val="center"/>
              <w:textAlignment w:val="bottom"/>
              <w:rPr>
                <w:rFonts w:ascii="Times New Roman" w:hAnsi="Times New Roman"/>
                <w:sz w:val="20"/>
                <w:szCs w:val="20"/>
                <w:lang w:val="en-MY"/>
              </w:rPr>
            </w:pPr>
            <w:r w:rsidRPr="00850CE2">
              <w:rPr>
                <w:rFonts w:ascii="Times New Roman" w:hAnsi="Times New Roman"/>
                <w:sz w:val="20"/>
                <w:szCs w:val="20"/>
                <w:lang w:val="en-MY"/>
              </w:rPr>
              <w:t>1</w:t>
            </w:r>
          </w:p>
        </w:tc>
        <w:tc>
          <w:tcPr>
            <w:tcW w:w="900" w:type="dxa"/>
            <w:tcMar>
              <w:top w:w="10" w:type="dxa"/>
              <w:left w:w="10" w:type="dxa"/>
              <w:bottom w:w="72" w:type="dxa"/>
              <w:right w:w="10" w:type="dxa"/>
            </w:tcMar>
            <w:vAlign w:val="center"/>
            <w:hideMark/>
          </w:tcPr>
          <w:p w14:paraId="67B49C75"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2</w:t>
            </w:r>
          </w:p>
        </w:tc>
      </w:tr>
      <w:tr w:rsidR="002A2672" w:rsidRPr="003A2BF7" w14:paraId="7A8E9E90" w14:textId="77777777" w:rsidTr="00D737E9">
        <w:trPr>
          <w:trHeight w:val="20"/>
        </w:trPr>
        <w:tc>
          <w:tcPr>
            <w:tcW w:w="3520" w:type="dxa"/>
            <w:shd w:val="clear" w:color="auto" w:fill="F2F2F2" w:themeFill="background1" w:themeFillShade="F2"/>
            <w:tcMar>
              <w:top w:w="10" w:type="dxa"/>
              <w:left w:w="10" w:type="dxa"/>
              <w:bottom w:w="72" w:type="dxa"/>
              <w:right w:w="10" w:type="dxa"/>
            </w:tcMar>
            <w:vAlign w:val="center"/>
            <w:hideMark/>
          </w:tcPr>
          <w:p w14:paraId="22E5F266" w14:textId="77777777" w:rsidR="002A2672" w:rsidRPr="00850CE2" w:rsidRDefault="002A2672" w:rsidP="00D737E9">
            <w:pPr>
              <w:spacing w:before="0"/>
              <w:ind w:left="540"/>
              <w:jc w:val="center"/>
              <w:textAlignment w:val="bottom"/>
              <w:rPr>
                <w:rFonts w:ascii="Times New Roman" w:hAnsi="Times New Roman"/>
                <w:sz w:val="20"/>
                <w:szCs w:val="20"/>
                <w:lang w:val="en-MY"/>
              </w:rPr>
            </w:pPr>
            <w:r w:rsidRPr="00850CE2">
              <w:rPr>
                <w:rFonts w:ascii="Times New Roman" w:hAnsi="Times New Roman"/>
                <w:b/>
                <w:bCs/>
                <w:color w:val="000000"/>
                <w:kern w:val="24"/>
                <w:sz w:val="20"/>
                <w:szCs w:val="20"/>
                <w:lang w:val="en-ID"/>
              </w:rPr>
              <w:t>Total</w:t>
            </w:r>
          </w:p>
        </w:tc>
        <w:tc>
          <w:tcPr>
            <w:tcW w:w="1710" w:type="dxa"/>
            <w:shd w:val="clear" w:color="auto" w:fill="F2F2F2" w:themeFill="background1" w:themeFillShade="F2"/>
            <w:tcMar>
              <w:top w:w="10" w:type="dxa"/>
              <w:left w:w="10" w:type="dxa"/>
              <w:bottom w:w="72" w:type="dxa"/>
              <w:right w:w="10" w:type="dxa"/>
            </w:tcMar>
            <w:vAlign w:val="center"/>
            <w:hideMark/>
          </w:tcPr>
          <w:p w14:paraId="6A90E87A" w14:textId="77777777" w:rsidR="002A2672" w:rsidRPr="00850CE2" w:rsidRDefault="002A2672" w:rsidP="00D737E9">
            <w:pPr>
              <w:spacing w:before="0"/>
              <w:ind w:left="174"/>
              <w:rPr>
                <w:rFonts w:ascii="Times New Roman" w:hAnsi="Times New Roman"/>
                <w:sz w:val="20"/>
                <w:szCs w:val="20"/>
                <w:lang w:val="en-MY"/>
              </w:rPr>
            </w:pPr>
          </w:p>
        </w:tc>
        <w:tc>
          <w:tcPr>
            <w:tcW w:w="630" w:type="dxa"/>
            <w:shd w:val="clear" w:color="auto" w:fill="F2F2F2" w:themeFill="background1" w:themeFillShade="F2"/>
          </w:tcPr>
          <w:p w14:paraId="54337DB7"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sz w:val="20"/>
                <w:szCs w:val="20"/>
                <w:lang w:val="en-MY"/>
              </w:rPr>
              <w:t>1</w:t>
            </w:r>
          </w:p>
        </w:tc>
        <w:tc>
          <w:tcPr>
            <w:tcW w:w="630" w:type="dxa"/>
            <w:shd w:val="clear" w:color="auto" w:fill="F2F2F2" w:themeFill="background1" w:themeFillShade="F2"/>
            <w:tcMar>
              <w:top w:w="10" w:type="dxa"/>
              <w:left w:w="10" w:type="dxa"/>
              <w:bottom w:w="72" w:type="dxa"/>
              <w:right w:w="10" w:type="dxa"/>
            </w:tcMar>
            <w:vAlign w:val="center"/>
            <w:hideMark/>
          </w:tcPr>
          <w:p w14:paraId="566AB6D0"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sz w:val="20"/>
                <w:szCs w:val="20"/>
                <w:lang w:val="en-MY"/>
              </w:rPr>
              <w:t>1</w:t>
            </w:r>
          </w:p>
        </w:tc>
        <w:tc>
          <w:tcPr>
            <w:tcW w:w="720" w:type="dxa"/>
            <w:shd w:val="clear" w:color="auto" w:fill="F2F2F2" w:themeFill="background1" w:themeFillShade="F2"/>
            <w:tcMar>
              <w:top w:w="10" w:type="dxa"/>
              <w:left w:w="10" w:type="dxa"/>
              <w:bottom w:w="72" w:type="dxa"/>
              <w:right w:w="10" w:type="dxa"/>
            </w:tcMar>
            <w:vAlign w:val="center"/>
            <w:hideMark/>
          </w:tcPr>
          <w:p w14:paraId="56F42187" w14:textId="21D0FA7D" w:rsidR="002A2672" w:rsidRPr="00850CE2" w:rsidRDefault="00C801E0" w:rsidP="00D737E9">
            <w:pPr>
              <w:spacing w:before="0"/>
              <w:ind w:left="0"/>
              <w:jc w:val="center"/>
              <w:textAlignment w:val="bottom"/>
              <w:rPr>
                <w:rFonts w:ascii="Times New Roman" w:hAnsi="Times New Roman"/>
                <w:b/>
                <w:sz w:val="20"/>
                <w:szCs w:val="20"/>
                <w:lang w:val="en-MY"/>
              </w:rPr>
            </w:pPr>
            <w:r>
              <w:rPr>
                <w:rFonts w:ascii="Times New Roman" w:hAnsi="Times New Roman"/>
                <w:b/>
                <w:sz w:val="20"/>
                <w:szCs w:val="20"/>
                <w:lang w:val="en-MY"/>
              </w:rPr>
              <w:t>2</w:t>
            </w:r>
          </w:p>
        </w:tc>
        <w:tc>
          <w:tcPr>
            <w:tcW w:w="720" w:type="dxa"/>
            <w:shd w:val="clear" w:color="auto" w:fill="F2F2F2" w:themeFill="background1" w:themeFillShade="F2"/>
            <w:tcMar>
              <w:top w:w="10" w:type="dxa"/>
              <w:left w:w="10" w:type="dxa"/>
              <w:bottom w:w="72" w:type="dxa"/>
              <w:right w:w="10" w:type="dxa"/>
            </w:tcMar>
            <w:vAlign w:val="center"/>
            <w:hideMark/>
          </w:tcPr>
          <w:p w14:paraId="6EB71B52" w14:textId="69265351" w:rsidR="002A2672" w:rsidRPr="00850CE2" w:rsidRDefault="00C801E0" w:rsidP="00D737E9">
            <w:pPr>
              <w:spacing w:before="0"/>
              <w:ind w:left="0"/>
              <w:jc w:val="center"/>
              <w:textAlignment w:val="bottom"/>
              <w:rPr>
                <w:rFonts w:ascii="Times New Roman" w:hAnsi="Times New Roman"/>
                <w:b/>
                <w:sz w:val="20"/>
                <w:szCs w:val="20"/>
                <w:lang w:val="en-MY"/>
              </w:rPr>
            </w:pPr>
            <w:r>
              <w:rPr>
                <w:rFonts w:ascii="Times New Roman" w:hAnsi="Times New Roman"/>
                <w:b/>
                <w:sz w:val="20"/>
                <w:szCs w:val="20"/>
                <w:lang w:val="en-MY"/>
              </w:rPr>
              <w:t>5</w:t>
            </w:r>
          </w:p>
        </w:tc>
        <w:tc>
          <w:tcPr>
            <w:tcW w:w="810" w:type="dxa"/>
            <w:shd w:val="clear" w:color="auto" w:fill="F2F2F2" w:themeFill="background1" w:themeFillShade="F2"/>
            <w:tcMar>
              <w:top w:w="10" w:type="dxa"/>
              <w:left w:w="10" w:type="dxa"/>
              <w:bottom w:w="72" w:type="dxa"/>
              <w:right w:w="10" w:type="dxa"/>
            </w:tcMar>
            <w:vAlign w:val="center"/>
            <w:hideMark/>
          </w:tcPr>
          <w:p w14:paraId="01A00C7C"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sz w:val="20"/>
                <w:szCs w:val="20"/>
                <w:lang w:val="en-MY"/>
              </w:rPr>
              <w:t>23</w:t>
            </w:r>
          </w:p>
        </w:tc>
        <w:tc>
          <w:tcPr>
            <w:tcW w:w="900" w:type="dxa"/>
            <w:shd w:val="clear" w:color="auto" w:fill="F2F2F2" w:themeFill="background1" w:themeFillShade="F2"/>
            <w:tcMar>
              <w:top w:w="10" w:type="dxa"/>
              <w:left w:w="10" w:type="dxa"/>
              <w:bottom w:w="72" w:type="dxa"/>
              <w:right w:w="10" w:type="dxa"/>
            </w:tcMar>
            <w:vAlign w:val="center"/>
            <w:hideMark/>
          </w:tcPr>
          <w:p w14:paraId="740B8F8A" w14:textId="77777777" w:rsidR="002A2672" w:rsidRPr="00850CE2" w:rsidRDefault="002A2672" w:rsidP="00D737E9">
            <w:pPr>
              <w:spacing w:before="0"/>
              <w:ind w:left="0"/>
              <w:jc w:val="center"/>
              <w:textAlignment w:val="bottom"/>
              <w:rPr>
                <w:rFonts w:ascii="Times New Roman" w:hAnsi="Times New Roman"/>
                <w:b/>
                <w:sz w:val="20"/>
                <w:szCs w:val="20"/>
                <w:lang w:val="en-MY"/>
              </w:rPr>
            </w:pPr>
            <w:r w:rsidRPr="00850CE2">
              <w:rPr>
                <w:rFonts w:ascii="Times New Roman" w:hAnsi="Times New Roman"/>
                <w:b/>
                <w:bCs/>
                <w:color w:val="000000"/>
                <w:kern w:val="24"/>
                <w:sz w:val="20"/>
                <w:szCs w:val="20"/>
                <w:lang w:val="en-ID"/>
              </w:rPr>
              <w:t>31</w:t>
            </w:r>
          </w:p>
        </w:tc>
      </w:tr>
    </w:tbl>
    <w:p w14:paraId="4C65E23D" w14:textId="7E573652" w:rsidR="002A2672" w:rsidRPr="00850CE2" w:rsidRDefault="002A2672" w:rsidP="002A2672">
      <w:pPr>
        <w:pStyle w:val="ListParagraph"/>
        <w:numPr>
          <w:ilvl w:val="0"/>
          <w:numId w:val="33"/>
        </w:numPr>
        <w:autoSpaceDE w:val="0"/>
        <w:autoSpaceDN w:val="0"/>
        <w:adjustRightInd w:val="0"/>
        <w:spacing w:after="240"/>
        <w:ind w:left="0" w:firstLine="0"/>
        <w:contextualSpacing w:val="0"/>
        <w:rPr>
          <w:rFonts w:ascii="Times New Roman" w:hAnsi="Times New Roman"/>
          <w:sz w:val="24"/>
        </w:rPr>
      </w:pPr>
      <w:r w:rsidRPr="00850CE2">
        <w:rPr>
          <w:rFonts w:ascii="Times New Roman" w:hAnsi="Times New Roman"/>
          <w:b/>
          <w:sz w:val="24"/>
        </w:rPr>
        <w:t xml:space="preserve">The assessment shows that only </w:t>
      </w:r>
      <w:r w:rsidR="00C801E0">
        <w:rPr>
          <w:rFonts w:ascii="Times New Roman" w:hAnsi="Times New Roman"/>
          <w:b/>
          <w:sz w:val="24"/>
        </w:rPr>
        <w:t>3</w:t>
      </w:r>
      <w:r w:rsidRPr="00850CE2">
        <w:rPr>
          <w:rFonts w:ascii="Times New Roman" w:hAnsi="Times New Roman"/>
          <w:b/>
          <w:sz w:val="24"/>
        </w:rPr>
        <w:t xml:space="preserve"> of the 31 indicators scored either “A” or “B”, </w:t>
      </w:r>
      <w:r>
        <w:rPr>
          <w:rFonts w:ascii="Times New Roman" w:hAnsi="Times New Roman"/>
          <w:b/>
          <w:sz w:val="24"/>
        </w:rPr>
        <w:t xml:space="preserve">scores </w:t>
      </w:r>
      <w:r w:rsidRPr="00850CE2">
        <w:rPr>
          <w:rFonts w:ascii="Times New Roman" w:hAnsi="Times New Roman"/>
          <w:b/>
          <w:sz w:val="24"/>
        </w:rPr>
        <w:t xml:space="preserve">considered above the basic alignment with good practice. </w:t>
      </w:r>
      <w:r w:rsidRPr="00850CE2">
        <w:rPr>
          <w:rFonts w:ascii="Times New Roman" w:hAnsi="Times New Roman"/>
          <w:sz w:val="24"/>
        </w:rPr>
        <w:t xml:space="preserve">The remaining indicators received scores of either “C” or “D”, which suggests basic alignment with the standards for a “C” and weak performance for a “D”. This table shows that the reform program that the government is now undertaking is timely and apposite for strengthening PFM practices. The </w:t>
      </w:r>
      <w:r w:rsidRPr="00850CE2">
        <w:rPr>
          <w:rFonts w:ascii="Times New Roman" w:hAnsi="Times New Roman"/>
          <w:sz w:val="24"/>
        </w:rPr>
        <w:lastRenderedPageBreak/>
        <w:t>scores for the 31 indicators and 94 dimensions are summarized in Table 2 where some dimensions exhibit A and B scores.</w:t>
      </w:r>
    </w:p>
    <w:p w14:paraId="7BA51599" w14:textId="77777777" w:rsidR="002A2672" w:rsidRPr="00C001AC" w:rsidRDefault="002A2672" w:rsidP="002A2672">
      <w:pPr>
        <w:spacing w:after="240" w:line="276" w:lineRule="auto"/>
        <w:rPr>
          <w:rFonts w:ascii="Times New Roman" w:hAnsi="Times New Roman"/>
          <w:b/>
          <w:color w:val="0070C0"/>
          <w:sz w:val="26"/>
          <w:szCs w:val="26"/>
        </w:rPr>
      </w:pPr>
      <w:r w:rsidRPr="00C001AC">
        <w:rPr>
          <w:rFonts w:ascii="Times New Roman" w:hAnsi="Times New Roman"/>
          <w:b/>
          <w:color w:val="0070C0"/>
          <w:sz w:val="26"/>
          <w:szCs w:val="26"/>
        </w:rPr>
        <w:t>Impact on the Main Objectives of Public Finances</w:t>
      </w:r>
    </w:p>
    <w:p w14:paraId="073A8DD0" w14:textId="77777777" w:rsidR="002A2672" w:rsidRPr="00720870" w:rsidRDefault="002A2672" w:rsidP="002A2672">
      <w:pPr>
        <w:pStyle w:val="ListParagraph"/>
        <w:numPr>
          <w:ilvl w:val="0"/>
          <w:numId w:val="35"/>
        </w:numPr>
        <w:spacing w:after="240"/>
        <w:ind w:left="0" w:firstLine="0"/>
        <w:contextualSpacing w:val="0"/>
        <w:rPr>
          <w:rFonts w:ascii="Times New Roman" w:hAnsi="Times New Roman"/>
          <w:sz w:val="24"/>
        </w:rPr>
      </w:pPr>
      <w:r w:rsidRPr="00C001AC">
        <w:rPr>
          <w:rFonts w:ascii="Times New Roman" w:hAnsi="Times New Roman"/>
          <w:sz w:val="24"/>
        </w:rPr>
        <w:t xml:space="preserve"> </w:t>
      </w:r>
      <w:r w:rsidRPr="00720870">
        <w:rPr>
          <w:rFonts w:ascii="Times New Roman" w:hAnsi="Times New Roman"/>
          <w:sz w:val="24"/>
        </w:rPr>
        <w:t xml:space="preserve">The impact of the PFM performance as described above on the overall achievement of the three main fiscal and budgetary outcomes is as follows: </w:t>
      </w:r>
    </w:p>
    <w:p w14:paraId="6C5F2885" w14:textId="77777777"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720870">
        <w:rPr>
          <w:rFonts w:ascii="Times New Roman" w:hAnsi="Times New Roman"/>
          <w:b/>
          <w:color w:val="000000" w:themeColor="text1"/>
          <w:sz w:val="24"/>
        </w:rPr>
        <w:t>Aggregate Fiscal Discipline</w:t>
      </w:r>
      <w:r>
        <w:rPr>
          <w:rFonts w:ascii="Times New Roman" w:hAnsi="Times New Roman"/>
          <w:b/>
          <w:color w:val="000000" w:themeColor="text1"/>
          <w:sz w:val="24"/>
        </w:rPr>
        <w:t xml:space="preserve"> </w:t>
      </w:r>
      <w:r w:rsidRPr="00934452">
        <w:rPr>
          <w:rFonts w:ascii="Times New Roman" w:hAnsi="Times New Roman"/>
          <w:b/>
          <w:color w:val="000000" w:themeColor="text1"/>
          <w:sz w:val="24"/>
        </w:rPr>
        <w:t>is affected by the lack of</w:t>
      </w:r>
      <w:r>
        <w:rPr>
          <w:rFonts w:ascii="Times New Roman" w:hAnsi="Times New Roman"/>
          <w:b/>
          <w:color w:val="000000" w:themeColor="text1"/>
          <w:sz w:val="24"/>
        </w:rPr>
        <w:t xml:space="preserve"> </w:t>
      </w:r>
      <w:r w:rsidRPr="00A307D4">
        <w:rPr>
          <w:rFonts w:ascii="Times New Roman" w:hAnsi="Times New Roman"/>
          <w:b/>
          <w:sz w:val="24"/>
        </w:rPr>
        <w:t>capability to prepare robust projections of macroeconomic and fiscal performance</w:t>
      </w:r>
      <w:r>
        <w:rPr>
          <w:rFonts w:ascii="Times New Roman" w:hAnsi="Times New Roman"/>
          <w:sz w:val="24"/>
        </w:rPr>
        <w:t xml:space="preserve">. A thorough </w:t>
      </w:r>
      <w:r w:rsidRPr="00E70557">
        <w:rPr>
          <w:rFonts w:ascii="Times New Roman" w:hAnsi="Times New Roman"/>
          <w:sz w:val="24"/>
        </w:rPr>
        <w:t>reporting of revenue and expenditure operations within and outside the budget</w:t>
      </w:r>
      <w:r>
        <w:rPr>
          <w:rFonts w:ascii="Times New Roman" w:hAnsi="Times New Roman"/>
          <w:sz w:val="24"/>
        </w:rPr>
        <w:t xml:space="preserve"> has improved </w:t>
      </w:r>
      <w:r w:rsidRPr="00E70557">
        <w:rPr>
          <w:rFonts w:ascii="Times New Roman" w:hAnsi="Times New Roman"/>
          <w:sz w:val="24"/>
        </w:rPr>
        <w:t>control over fiscal risks and commitments to maintain expenditures during budget execution and deliver the budget aggregates as planned</w:t>
      </w:r>
      <w:r>
        <w:rPr>
          <w:rFonts w:ascii="Times New Roman" w:hAnsi="Times New Roman"/>
          <w:sz w:val="24"/>
        </w:rPr>
        <w:t xml:space="preserve"> is still insufficient</w:t>
      </w:r>
      <w:r w:rsidRPr="00E70557">
        <w:rPr>
          <w:rFonts w:ascii="Times New Roman" w:hAnsi="Times New Roman"/>
          <w:sz w:val="24"/>
        </w:rPr>
        <w:t>.</w:t>
      </w:r>
    </w:p>
    <w:p w14:paraId="19A26CDB" w14:textId="77777777"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E70557">
        <w:rPr>
          <w:rFonts w:ascii="Times New Roman" w:hAnsi="Times New Roman"/>
          <w:b/>
          <w:sz w:val="24"/>
        </w:rPr>
        <w:t xml:space="preserve">The government currently lacks a solid macro-fiscal framework and the definition of strict fiscal rules is limited in the absence of a consistent and sustainable fiscal strategy. </w:t>
      </w:r>
      <w:r w:rsidRPr="00E70557">
        <w:rPr>
          <w:rFonts w:ascii="Times New Roman" w:hAnsi="Times New Roman"/>
          <w:sz w:val="24"/>
        </w:rPr>
        <w:t>The simple modeling instruments in place based on realistic revenue forecasting and aligned with international practices are undermined by political decisions inherited from the centrally-planned systems (based on GDP targets). The platform established by the FPD as a medium-term fiscal framework (MTFF) provides a medium-term approach with forward estimates and fiscal outcomes</w:t>
      </w:r>
      <w:r>
        <w:rPr>
          <w:rFonts w:ascii="Times New Roman" w:hAnsi="Times New Roman"/>
          <w:sz w:val="24"/>
        </w:rPr>
        <w:t>; t</w:t>
      </w:r>
      <w:r w:rsidRPr="00E70557">
        <w:rPr>
          <w:rFonts w:ascii="Times New Roman" w:hAnsi="Times New Roman"/>
          <w:sz w:val="24"/>
        </w:rPr>
        <w:t xml:space="preserve">he fiscal rules on the total annual budget deficit, set at a maximum 5 percent of GDP and the outstanding (foreign and domestic) debt at not more than 60 percent of GDP are not strictly obeyed. </w:t>
      </w:r>
    </w:p>
    <w:p w14:paraId="0736CED3" w14:textId="77777777"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E70557">
        <w:rPr>
          <w:rFonts w:ascii="Times New Roman" w:hAnsi="Times New Roman"/>
          <w:b/>
          <w:sz w:val="24"/>
        </w:rPr>
        <w:t xml:space="preserve">Cash management and payments of the main expenditures are controlled through the national Treasury and </w:t>
      </w:r>
      <w:r w:rsidR="000F63D3">
        <w:rPr>
          <w:rFonts w:ascii="Times New Roman" w:hAnsi="Times New Roman"/>
          <w:b/>
          <w:sz w:val="24"/>
        </w:rPr>
        <w:t xml:space="preserve">are </w:t>
      </w:r>
      <w:r w:rsidRPr="00E70557">
        <w:rPr>
          <w:rFonts w:ascii="Times New Roman" w:hAnsi="Times New Roman"/>
          <w:b/>
          <w:sz w:val="24"/>
        </w:rPr>
        <w:t>set against the constraints of the quarterly and monthly plans from the approved state budget.</w:t>
      </w:r>
      <w:r w:rsidRPr="00E70557">
        <w:rPr>
          <w:rFonts w:ascii="Times New Roman" w:hAnsi="Times New Roman"/>
          <w:sz w:val="24"/>
        </w:rPr>
        <w:t xml:space="preserve"> Payroll is centralized and has been strictly controlled since the overruns </w:t>
      </w:r>
      <w:r>
        <w:rPr>
          <w:rFonts w:ascii="Times New Roman" w:hAnsi="Times New Roman"/>
          <w:sz w:val="24"/>
        </w:rPr>
        <w:t xml:space="preserve">experienced </w:t>
      </w:r>
      <w:r w:rsidRPr="00E70557">
        <w:rPr>
          <w:rFonts w:ascii="Times New Roman" w:hAnsi="Times New Roman"/>
          <w:sz w:val="24"/>
        </w:rPr>
        <w:t>in 2015. Expenditure arrears are not authorized and fiscal risks to the central government budget are identified. However, control over the provincial and municipal budgets is limited to cash rationing, even if it has not formally been the case in the recent years, and operations outside the government’s financial reporting by subnational level and SOEs still comprise significant amounts, that are neither consolidated no</w:t>
      </w:r>
      <w:r>
        <w:rPr>
          <w:rFonts w:ascii="Times New Roman" w:hAnsi="Times New Roman"/>
          <w:sz w:val="24"/>
        </w:rPr>
        <w:t>r</w:t>
      </w:r>
      <w:r w:rsidRPr="00E70557">
        <w:rPr>
          <w:rFonts w:ascii="Times New Roman" w:hAnsi="Times New Roman"/>
          <w:sz w:val="24"/>
        </w:rPr>
        <w:t xml:space="preserve"> disclosed and therefore fiscal risks related to SOEs operations cannot be consistently monitored. The revenues and expenditures of the extra budgetary funds have their own financial reporting and benefit from spending flexibility. The main problem concerning the budget carry-overs at the end of each fiscal year have been addressed and payments allowed after the end of the closing date are based on liabilities recorded and authorized at the end of the fiscal year, therefore if it delays the closing of accounts, it does not undermine the meaning of annual budgets.</w:t>
      </w:r>
    </w:p>
    <w:p w14:paraId="5CA93025" w14:textId="77777777"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b/>
          <w:sz w:val="24"/>
        </w:rPr>
      </w:pPr>
      <w:r w:rsidRPr="00E70557">
        <w:rPr>
          <w:rFonts w:ascii="Times New Roman" w:hAnsi="Times New Roman"/>
          <w:b/>
          <w:sz w:val="24"/>
        </w:rPr>
        <w:t>The revenue administration has not yet defined plans to improve tax compliance and collect tax arrears.</w:t>
      </w:r>
      <w:r>
        <w:rPr>
          <w:rFonts w:ascii="Times New Roman" w:hAnsi="Times New Roman"/>
          <w:sz w:val="24"/>
        </w:rPr>
        <w:t xml:space="preserve"> </w:t>
      </w:r>
      <w:r w:rsidRPr="00E70557">
        <w:rPr>
          <w:rFonts w:ascii="Times New Roman" w:hAnsi="Times New Roman"/>
          <w:sz w:val="24"/>
        </w:rPr>
        <w:t xml:space="preserve">The absence – at present - of a well formulated risk-based administration of revenue is a constraint, as there is no </w:t>
      </w:r>
      <w:r w:rsidRPr="00E70557">
        <w:rPr>
          <w:rFonts w:ascii="Times New Roman" w:eastAsiaTheme="minorHAnsi" w:hAnsi="Times New Roman"/>
          <w:sz w:val="24"/>
        </w:rPr>
        <w:t>structured and systematic process for assessing, ranking and quantifyin</w:t>
      </w:r>
      <w:r>
        <w:rPr>
          <w:rFonts w:ascii="Times New Roman" w:eastAsiaTheme="minorHAnsi" w:hAnsi="Times New Roman"/>
          <w:sz w:val="24"/>
        </w:rPr>
        <w:t xml:space="preserve">g taxpayers’ compliance risks. </w:t>
      </w:r>
      <w:r w:rsidRPr="00E70557">
        <w:rPr>
          <w:rFonts w:ascii="Times New Roman" w:eastAsiaTheme="minorHAnsi" w:hAnsi="Times New Roman"/>
          <w:sz w:val="24"/>
        </w:rPr>
        <w:t xml:space="preserve">The application of risk criteria and </w:t>
      </w:r>
      <w:r w:rsidRPr="00E70557">
        <w:rPr>
          <w:rFonts w:ascii="Times New Roman" w:hAnsi="Times New Roman"/>
          <w:sz w:val="24"/>
        </w:rPr>
        <w:t xml:space="preserve">monitoring of the ageing and collectability of arrears </w:t>
      </w:r>
      <w:r w:rsidRPr="00E70557">
        <w:rPr>
          <w:rFonts w:ascii="Times New Roman" w:eastAsiaTheme="minorHAnsi" w:hAnsi="Times New Roman"/>
          <w:sz w:val="24"/>
        </w:rPr>
        <w:t xml:space="preserve">is conditioned by the access to reliable and comprehensive data from internal and external sources through a proper tax information management system, which has still to be </w:t>
      </w:r>
      <w:r w:rsidRPr="00E70557">
        <w:rPr>
          <w:rFonts w:ascii="Times New Roman" w:eastAsiaTheme="minorHAnsi" w:hAnsi="Times New Roman"/>
          <w:sz w:val="24"/>
        </w:rPr>
        <w:lastRenderedPageBreak/>
        <w:t xml:space="preserve">developed and depends upon the enforcement capacity from the tax administration. At present, the tax legislation offers interpretation loopholes and many options for tax exemptions, and </w:t>
      </w:r>
      <w:r w:rsidRPr="00E70557">
        <w:rPr>
          <w:rFonts w:ascii="Times New Roman" w:hAnsi="Times New Roman"/>
          <w:sz w:val="24"/>
        </w:rPr>
        <w:t xml:space="preserve">a significant amount of tax debts are being negotiated between tax collectors and tax payers. </w:t>
      </w:r>
    </w:p>
    <w:p w14:paraId="61A8DDD2" w14:textId="72CBD734"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E70557">
        <w:rPr>
          <w:rFonts w:ascii="Times New Roman" w:hAnsi="Times New Roman"/>
          <w:b/>
          <w:sz w:val="24"/>
        </w:rPr>
        <w:t xml:space="preserve">Contingent liabilities are identified and analyzed but </w:t>
      </w:r>
      <w:r>
        <w:rPr>
          <w:rFonts w:ascii="Times New Roman" w:hAnsi="Times New Roman"/>
          <w:b/>
          <w:sz w:val="24"/>
        </w:rPr>
        <w:t>are not</w:t>
      </w:r>
      <w:r w:rsidRPr="00E70557">
        <w:rPr>
          <w:rFonts w:ascii="Times New Roman" w:hAnsi="Times New Roman"/>
          <w:b/>
          <w:sz w:val="24"/>
        </w:rPr>
        <w:t xml:space="preserve"> disclosed.</w:t>
      </w:r>
      <w:r>
        <w:rPr>
          <w:rFonts w:ascii="Times New Roman" w:hAnsi="Times New Roman"/>
          <w:sz w:val="24"/>
        </w:rPr>
        <w:t xml:space="preserve"> </w:t>
      </w:r>
      <w:r w:rsidRPr="00E70557">
        <w:rPr>
          <w:rFonts w:ascii="Times New Roman" w:hAnsi="Times New Roman"/>
          <w:sz w:val="24"/>
        </w:rPr>
        <w:t xml:space="preserve">The comprehensive overview of the exposure to significant risks from explicit contingent liabilities within the infrastructure sector has been consolidated at the high level of government and led to a concrete debt restructuring effort over the last 2 years but has not been made public. In addition, data on the quantification of, and provision for, implicit contingent liabilities, some of which may be considerable, are unavailable, for example the potential need to bail out large SOEs with non-guaranteed debts. Additionally, the lack of information pertaining to explicit contingencies relating to health and social security schemes, with no data available on these, is also a concern. </w:t>
      </w:r>
    </w:p>
    <w:p w14:paraId="2652AE16" w14:textId="56BA2E81"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Pr>
          <w:rFonts w:ascii="Times New Roman" w:hAnsi="Times New Roman"/>
          <w:b/>
          <w:sz w:val="24"/>
        </w:rPr>
        <w:t xml:space="preserve">Weak </w:t>
      </w:r>
      <w:proofErr w:type="gramStart"/>
      <w:r>
        <w:rPr>
          <w:rFonts w:ascii="Times New Roman" w:hAnsi="Times New Roman"/>
          <w:b/>
          <w:sz w:val="24"/>
        </w:rPr>
        <w:t>medium term</w:t>
      </w:r>
      <w:proofErr w:type="gramEnd"/>
      <w:r>
        <w:rPr>
          <w:rFonts w:ascii="Times New Roman" w:hAnsi="Times New Roman"/>
          <w:b/>
          <w:sz w:val="24"/>
        </w:rPr>
        <w:t xml:space="preserve"> planning processes, and </w:t>
      </w:r>
      <w:r w:rsidRPr="00E70557">
        <w:rPr>
          <w:rFonts w:ascii="Times New Roman" w:hAnsi="Times New Roman"/>
          <w:b/>
          <w:sz w:val="24"/>
        </w:rPr>
        <w:t xml:space="preserve">lack of reliability of resource flows – and the budget adjustments </w:t>
      </w:r>
      <w:r>
        <w:rPr>
          <w:rFonts w:ascii="Times New Roman" w:hAnsi="Times New Roman"/>
          <w:b/>
          <w:sz w:val="24"/>
        </w:rPr>
        <w:t>driven</w:t>
      </w:r>
      <w:r w:rsidRPr="00E70557">
        <w:rPr>
          <w:rFonts w:ascii="Times New Roman" w:hAnsi="Times New Roman"/>
          <w:b/>
          <w:sz w:val="24"/>
        </w:rPr>
        <w:t xml:space="preserve"> by lower than expected revenue outturns - affect the capacity to deliver the plans</w:t>
      </w:r>
      <w:r>
        <w:rPr>
          <w:rFonts w:ascii="Times New Roman" w:hAnsi="Times New Roman"/>
          <w:b/>
          <w:sz w:val="24"/>
        </w:rPr>
        <w:t xml:space="preserve"> at the sector level.</w:t>
      </w:r>
      <w:r w:rsidR="00C712A1">
        <w:rPr>
          <w:rFonts w:ascii="Times New Roman" w:hAnsi="Times New Roman"/>
          <w:sz w:val="24"/>
        </w:rPr>
        <w:t xml:space="preserve"> </w:t>
      </w:r>
      <w:r w:rsidRPr="00E70557">
        <w:rPr>
          <w:rFonts w:ascii="Times New Roman" w:hAnsi="Times New Roman"/>
          <w:sz w:val="24"/>
        </w:rPr>
        <w:t>Furthermore, the existing medium-t</w:t>
      </w:r>
      <w:r>
        <w:rPr>
          <w:rFonts w:ascii="Times New Roman" w:hAnsi="Times New Roman"/>
          <w:sz w:val="24"/>
        </w:rPr>
        <w:t>erm fiscal framework and medium-</w:t>
      </w:r>
      <w:r w:rsidRPr="00E70557">
        <w:rPr>
          <w:rFonts w:ascii="Times New Roman" w:hAnsi="Times New Roman"/>
          <w:sz w:val="24"/>
        </w:rPr>
        <w:t xml:space="preserve">term expenditure framework established - with donor-support </w:t>
      </w:r>
      <w:r w:rsidRPr="00BF2560">
        <w:rPr>
          <w:rFonts w:ascii="Times New Roman" w:hAnsi="Times New Roman"/>
          <w:sz w:val="24"/>
        </w:rPr>
        <w:t xml:space="preserve">– are </w:t>
      </w:r>
      <w:r w:rsidRPr="00CF622C">
        <w:rPr>
          <w:rFonts w:ascii="Times New Roman" w:hAnsi="Times New Roman"/>
          <w:sz w:val="24"/>
        </w:rPr>
        <w:t>not consistent with resource availability, and the link between capital and recurrent expenditure managed through distinct processes is weak. As a result, the</w:t>
      </w:r>
      <w:r>
        <w:rPr>
          <w:rFonts w:ascii="Times New Roman" w:hAnsi="Times New Roman"/>
          <w:sz w:val="24"/>
        </w:rPr>
        <w:t xml:space="preserve"> framework is </w:t>
      </w:r>
      <w:r w:rsidRPr="00BF2560">
        <w:rPr>
          <w:rFonts w:ascii="Times New Roman" w:hAnsi="Times New Roman"/>
          <w:sz w:val="24"/>
        </w:rPr>
        <w:t>not used as a basis to focus on prioriti</w:t>
      </w:r>
      <w:r w:rsidRPr="005316F3">
        <w:rPr>
          <w:rFonts w:ascii="Times New Roman" w:hAnsi="Times New Roman"/>
          <w:sz w:val="24"/>
        </w:rPr>
        <w:t xml:space="preserve">es in the allocation of funds among institutions and sectors and strategic sector planning remains weak. </w:t>
      </w:r>
      <w:r w:rsidRPr="00E70557">
        <w:rPr>
          <w:rFonts w:ascii="Times New Roman" w:hAnsi="Times New Roman"/>
          <w:sz w:val="24"/>
        </w:rPr>
        <w:t>Externally funded projects are monitored separately and there are no systems to track allocations received by service delivery units.</w:t>
      </w:r>
    </w:p>
    <w:p w14:paraId="4CED51F1" w14:textId="77777777" w:rsidR="002A2672" w:rsidRPr="009C2C1B"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lang w:val="en-GB"/>
        </w:rPr>
      </w:pPr>
      <w:r w:rsidRPr="00E70557">
        <w:rPr>
          <w:rFonts w:ascii="Times New Roman" w:hAnsi="Times New Roman"/>
          <w:b/>
          <w:sz w:val="24"/>
        </w:rPr>
        <w:t xml:space="preserve">Procurement </w:t>
      </w:r>
      <w:r>
        <w:rPr>
          <w:rFonts w:ascii="Times New Roman" w:hAnsi="Times New Roman"/>
          <w:b/>
          <w:sz w:val="24"/>
        </w:rPr>
        <w:t>c</w:t>
      </w:r>
      <w:r w:rsidRPr="00E70557">
        <w:rPr>
          <w:rFonts w:ascii="Times New Roman" w:hAnsi="Times New Roman"/>
          <w:b/>
          <w:sz w:val="24"/>
        </w:rPr>
        <w:t xml:space="preserve">ompetitive tendering procedures </w:t>
      </w:r>
      <w:r>
        <w:rPr>
          <w:rFonts w:ascii="Times New Roman" w:hAnsi="Times New Roman"/>
          <w:b/>
          <w:sz w:val="24"/>
        </w:rPr>
        <w:t>can be improved to</w:t>
      </w:r>
      <w:r w:rsidRPr="00E70557">
        <w:rPr>
          <w:rFonts w:ascii="Times New Roman" w:hAnsi="Times New Roman"/>
          <w:b/>
          <w:sz w:val="24"/>
        </w:rPr>
        <w:t xml:space="preserve"> strengthen the way resources are allocated.</w:t>
      </w:r>
      <w:r w:rsidRPr="00E70557">
        <w:rPr>
          <w:rFonts w:ascii="Times New Roman" w:hAnsi="Times New Roman"/>
          <w:sz w:val="24"/>
        </w:rPr>
        <w:t xml:space="preserve"> The recently approved Procurement Law will have new instructions concerning the principles and operation of capital construction budgeting, including regulations on appropriations, fund allocation, payment, and final accounting for capital construction projects </w:t>
      </w:r>
      <w:proofErr w:type="gramStart"/>
      <w:r w:rsidRPr="00E70557">
        <w:rPr>
          <w:rFonts w:ascii="Times New Roman" w:hAnsi="Times New Roman"/>
          <w:sz w:val="24"/>
        </w:rPr>
        <w:t>so as to</w:t>
      </w:r>
      <w:proofErr w:type="gramEnd"/>
      <w:r w:rsidRPr="00E70557">
        <w:rPr>
          <w:rFonts w:ascii="Times New Roman" w:hAnsi="Times New Roman"/>
          <w:sz w:val="24"/>
        </w:rPr>
        <w:t xml:space="preserve"> bring it into line with good international practices.</w:t>
      </w:r>
    </w:p>
    <w:p w14:paraId="476D5D1F" w14:textId="77777777" w:rsidR="002A2672" w:rsidRPr="00850CE2" w:rsidRDefault="002A2672" w:rsidP="002A2672">
      <w:pPr>
        <w:pStyle w:val="ListParagraph"/>
        <w:rPr>
          <w:rFonts w:ascii="Times New Roman" w:hAnsi="Times New Roman"/>
          <w:szCs w:val="22"/>
        </w:rPr>
      </w:pPr>
    </w:p>
    <w:p w14:paraId="499A4E8B" w14:textId="77777777" w:rsidR="002A2672"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300829">
        <w:rPr>
          <w:rFonts w:ascii="Times New Roman" w:hAnsi="Times New Roman"/>
          <w:b/>
          <w:sz w:val="24"/>
        </w:rPr>
        <w:t>Public investment management remains weak due to limited planning capacity and lack of systematic application of pre-feasibility and selection criteria.</w:t>
      </w:r>
      <w:r w:rsidRPr="00300829">
        <w:rPr>
          <w:rFonts w:ascii="Times New Roman" w:hAnsi="Times New Roman"/>
          <w:b/>
          <w:color w:val="000000" w:themeColor="text1"/>
          <w:sz w:val="24"/>
        </w:rPr>
        <w:t xml:space="preserve"> </w:t>
      </w:r>
      <w:r w:rsidRPr="00300829">
        <w:rPr>
          <w:rFonts w:ascii="Times New Roman" w:hAnsi="Times New Roman"/>
          <w:sz w:val="24"/>
        </w:rPr>
        <w:t>Th</w:t>
      </w:r>
      <w:r>
        <w:rPr>
          <w:rFonts w:ascii="Times New Roman" w:hAnsi="Times New Roman"/>
          <w:sz w:val="24"/>
        </w:rPr>
        <w:t>e</w:t>
      </w:r>
      <w:r w:rsidRPr="00300829">
        <w:rPr>
          <w:rFonts w:ascii="Times New Roman" w:hAnsi="Times New Roman"/>
          <w:sz w:val="24"/>
        </w:rPr>
        <w:t>s</w:t>
      </w:r>
      <w:r>
        <w:rPr>
          <w:rFonts w:ascii="Times New Roman" w:hAnsi="Times New Roman"/>
          <w:sz w:val="24"/>
        </w:rPr>
        <w:t>e</w:t>
      </w:r>
      <w:r w:rsidRPr="00300829">
        <w:rPr>
          <w:rFonts w:ascii="Times New Roman" w:hAnsi="Times New Roman"/>
          <w:sz w:val="24"/>
        </w:rPr>
        <w:t xml:space="preserve"> weakness</w:t>
      </w:r>
      <w:r>
        <w:rPr>
          <w:rFonts w:ascii="Times New Roman" w:hAnsi="Times New Roman"/>
          <w:sz w:val="24"/>
        </w:rPr>
        <w:t>es</w:t>
      </w:r>
      <w:r w:rsidRPr="00300829">
        <w:rPr>
          <w:rFonts w:ascii="Times New Roman" w:hAnsi="Times New Roman"/>
          <w:sz w:val="24"/>
        </w:rPr>
        <w:t xml:space="preserve"> continue into the downstream phase, where the consolidated monitoring of decentralized implementation is lacking and processes for the costing, quality assurance and reporting on value-for-money and fiduciary integrity are not harmonized. Detailed technical and costing guidelines are available at the central government level (provided by JICA) but the management of public investments is decentralized to the line ministries and provinces, with no standardized quality assurance for socioeconomic and environmental evaluations, and pre-feasibility studies. </w:t>
      </w:r>
    </w:p>
    <w:p w14:paraId="3FC413FF" w14:textId="77777777" w:rsidR="002A2672" w:rsidRPr="00850CE2"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Cs w:val="22"/>
        </w:rPr>
      </w:pPr>
      <w:r w:rsidRPr="00E70557">
        <w:rPr>
          <w:rFonts w:ascii="Times New Roman" w:hAnsi="Times New Roman"/>
          <w:b/>
          <w:sz w:val="24"/>
        </w:rPr>
        <w:t>Weak monitoring of provincial government spending undermines the quality of local spending</w:t>
      </w:r>
      <w:r>
        <w:rPr>
          <w:rFonts w:ascii="Times New Roman" w:hAnsi="Times New Roman"/>
          <w:b/>
          <w:sz w:val="24"/>
        </w:rPr>
        <w:t>.</w:t>
      </w:r>
      <w:r w:rsidRPr="00E70557">
        <w:rPr>
          <w:rFonts w:ascii="Times New Roman" w:hAnsi="Times New Roman"/>
          <w:b/>
          <w:sz w:val="24"/>
        </w:rPr>
        <w:t xml:space="preserve"> </w:t>
      </w:r>
      <w:r w:rsidRPr="00E70557">
        <w:rPr>
          <w:rFonts w:ascii="Times New Roman" w:hAnsi="Times New Roman"/>
          <w:sz w:val="24"/>
        </w:rPr>
        <w:t>The budget execution reports lack reliability as consolidation of the district level is entered manually into the GFIS system.</w:t>
      </w:r>
    </w:p>
    <w:p w14:paraId="603FEDE2" w14:textId="77777777" w:rsidR="002A2672" w:rsidRPr="00E70557"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E70557">
        <w:rPr>
          <w:rFonts w:ascii="Times New Roman" w:hAnsi="Times New Roman"/>
          <w:b/>
          <w:sz w:val="24"/>
        </w:rPr>
        <w:t>Ex-post budget scrutiny reveals a mixed oversight performance between the external audit function and parliament.</w:t>
      </w:r>
      <w:r w:rsidRPr="00E70557">
        <w:rPr>
          <w:rFonts w:ascii="Times New Roman" w:hAnsi="Times New Roman"/>
          <w:sz w:val="24"/>
        </w:rPr>
        <w:t xml:space="preserve"> The low capacity and lack of effective </w:t>
      </w:r>
      <w:r w:rsidRPr="00E70557">
        <w:rPr>
          <w:rFonts w:ascii="Times New Roman" w:hAnsi="Times New Roman"/>
          <w:sz w:val="24"/>
        </w:rPr>
        <w:lastRenderedPageBreak/>
        <w:t xml:space="preserve">internal control and internal audit function in line ministries and sub-national governments has resulted in fragmented, sub-optimal use of resources. The role of SAO in the oversight over government spending is essential and all central agencies and line ministries’ budget execution are audited but there is no audit opinion and SAO reports are not published. The response by the government to audit recommendations is not monitored on an annual basis and there is no comprehensive, transparent and effective follow-up on external audit and budget reports by the NA. </w:t>
      </w:r>
    </w:p>
    <w:p w14:paraId="0F95E58D" w14:textId="77777777" w:rsidR="002A2672" w:rsidRDefault="002A2672" w:rsidP="002A2672">
      <w:pPr>
        <w:pStyle w:val="ListParagraph"/>
        <w:widowControl w:val="0"/>
        <w:numPr>
          <w:ilvl w:val="1"/>
          <w:numId w:val="4"/>
        </w:numPr>
        <w:autoSpaceDE w:val="0"/>
        <w:autoSpaceDN w:val="0"/>
        <w:adjustRightInd w:val="0"/>
        <w:spacing w:before="0" w:after="240"/>
        <w:ind w:left="720"/>
        <w:contextualSpacing w:val="0"/>
        <w:rPr>
          <w:rFonts w:ascii="Times New Roman" w:eastAsiaTheme="minorHAnsi" w:hAnsi="Times New Roman"/>
          <w:sz w:val="24"/>
        </w:rPr>
      </w:pPr>
      <w:r w:rsidRPr="00E70557">
        <w:rPr>
          <w:rFonts w:ascii="Times New Roman" w:hAnsi="Times New Roman"/>
          <w:b/>
          <w:sz w:val="24"/>
        </w:rPr>
        <w:t xml:space="preserve">Transparency in public finances needs to be seriously improved as well as timely access to data and performance information. </w:t>
      </w:r>
      <w:r w:rsidRPr="00E70557">
        <w:rPr>
          <w:rFonts w:ascii="Times New Roman" w:hAnsi="Times New Roman"/>
          <w:sz w:val="24"/>
        </w:rPr>
        <w:t xml:space="preserve">As Lao PDR is committed to improve PFM systems and adopt good governance principles, it </w:t>
      </w:r>
      <w:proofErr w:type="gramStart"/>
      <w:r w:rsidRPr="00E70557">
        <w:rPr>
          <w:rFonts w:ascii="Times New Roman" w:hAnsi="Times New Roman"/>
          <w:sz w:val="24"/>
        </w:rPr>
        <w:t>has to</w:t>
      </w:r>
      <w:proofErr w:type="gramEnd"/>
      <w:r w:rsidRPr="00E70557">
        <w:rPr>
          <w:rFonts w:ascii="Times New Roman" w:hAnsi="Times New Roman"/>
          <w:sz w:val="24"/>
        </w:rPr>
        <w:t xml:space="preserve"> improve accountability, transparency and efficiency in all aspects of the public sector performance. </w:t>
      </w:r>
      <w:r w:rsidRPr="00E70557">
        <w:rPr>
          <w:rFonts w:ascii="Times New Roman" w:eastAsiaTheme="minorHAnsi" w:hAnsi="Times New Roman"/>
          <w:sz w:val="24"/>
        </w:rPr>
        <w:t xml:space="preserve">Inadequate information management systems, based on cash transactions, manual reconciliations and cumbersome procedures </w:t>
      </w:r>
      <w:proofErr w:type="gramStart"/>
      <w:r w:rsidRPr="00E70557">
        <w:rPr>
          <w:rFonts w:ascii="Times New Roman" w:eastAsiaTheme="minorHAnsi" w:hAnsi="Times New Roman"/>
          <w:sz w:val="24"/>
        </w:rPr>
        <w:t>have to</w:t>
      </w:r>
      <w:proofErr w:type="gramEnd"/>
      <w:r w:rsidRPr="00E70557">
        <w:rPr>
          <w:rFonts w:ascii="Times New Roman" w:eastAsiaTheme="minorHAnsi" w:hAnsi="Times New Roman"/>
          <w:sz w:val="24"/>
        </w:rPr>
        <w:t xml:space="preserve"> be upgraded to allow for effective management of public expenditures.</w:t>
      </w:r>
    </w:p>
    <w:p w14:paraId="0493FBA9" w14:textId="77777777" w:rsidR="002A2672" w:rsidRPr="00C001AC" w:rsidRDefault="002A2672" w:rsidP="002A2672">
      <w:pPr>
        <w:autoSpaceDE w:val="0"/>
        <w:autoSpaceDN w:val="0"/>
        <w:adjustRightInd w:val="0"/>
        <w:spacing w:after="240"/>
        <w:ind w:left="0"/>
        <w:rPr>
          <w:rFonts w:ascii="Times New Roman" w:hAnsi="Times New Roman"/>
          <w:b/>
          <w:color w:val="0070C0"/>
          <w:sz w:val="26"/>
          <w:szCs w:val="26"/>
        </w:rPr>
      </w:pPr>
      <w:r w:rsidRPr="00C001AC">
        <w:rPr>
          <w:rFonts w:ascii="Times New Roman" w:hAnsi="Times New Roman"/>
          <w:b/>
          <w:color w:val="0070C0"/>
          <w:sz w:val="26"/>
          <w:szCs w:val="26"/>
        </w:rPr>
        <w:t>The Ongoing and Planned Reform Agenda</w:t>
      </w:r>
    </w:p>
    <w:p w14:paraId="3C2A4708" w14:textId="77777777" w:rsidR="002A2672" w:rsidRPr="00DA7CE7" w:rsidRDefault="002A2672" w:rsidP="002A2672">
      <w:pPr>
        <w:pStyle w:val="ListParagraph"/>
        <w:widowControl w:val="0"/>
        <w:numPr>
          <w:ilvl w:val="0"/>
          <w:numId w:val="35"/>
        </w:numPr>
        <w:autoSpaceDE w:val="0"/>
        <w:autoSpaceDN w:val="0"/>
        <w:adjustRightInd w:val="0"/>
        <w:spacing w:after="240"/>
        <w:ind w:left="0" w:firstLine="0"/>
        <w:contextualSpacing w:val="0"/>
        <w:rPr>
          <w:rFonts w:ascii="Times New Roman" w:hAnsi="Times New Roman"/>
          <w:sz w:val="24"/>
        </w:rPr>
      </w:pPr>
      <w:r w:rsidRPr="00DA7CE7">
        <w:rPr>
          <w:rFonts w:ascii="Times New Roman" w:hAnsi="Times New Roman"/>
          <w:b/>
          <w:sz w:val="24"/>
        </w:rPr>
        <w:t>This PEFA assessment highlights PFM reform areas that have already been identified by the government and t</w:t>
      </w:r>
      <w:r w:rsidRPr="00DA7CE7">
        <w:rPr>
          <w:rFonts w:ascii="Times New Roman" w:eastAsiaTheme="minorHAnsi" w:hAnsi="Times New Roman"/>
          <w:b/>
          <w:sz w:val="24"/>
        </w:rPr>
        <w:t xml:space="preserve">he approval of the Vision to 2030 and Public Finance Development Strategy to 2025 by the Prime Minister in July 2017 has placed PFM reforms as a Government priority. </w:t>
      </w:r>
      <w:r w:rsidRPr="00DA7CE7">
        <w:rPr>
          <w:rFonts w:ascii="Times New Roman" w:eastAsiaTheme="minorHAnsi" w:hAnsi="Times New Roman"/>
          <w:sz w:val="24"/>
        </w:rPr>
        <w:t>The Strategy provides the framework for the medium and long-term reform envisaged by the Government</w:t>
      </w:r>
      <w:r>
        <w:rPr>
          <w:rFonts w:ascii="Times New Roman" w:eastAsiaTheme="minorHAnsi" w:hAnsi="Times New Roman"/>
          <w:sz w:val="24"/>
        </w:rPr>
        <w:t xml:space="preserve"> </w:t>
      </w:r>
      <w:r w:rsidRPr="000C0815">
        <w:rPr>
          <w:rFonts w:ascii="Times New Roman" w:hAnsi="Times New Roman"/>
          <w:sz w:val="24"/>
        </w:rPr>
        <w:t>and have high level political support</w:t>
      </w:r>
      <w:r>
        <w:rPr>
          <w:rFonts w:ascii="Times New Roman" w:hAnsi="Times New Roman"/>
          <w:sz w:val="24"/>
        </w:rPr>
        <w:t xml:space="preserve">. </w:t>
      </w:r>
      <w:r w:rsidRPr="00DA7CE7">
        <w:rPr>
          <w:rFonts w:ascii="Times New Roman" w:eastAsiaTheme="minorHAnsi" w:hAnsi="Times New Roman"/>
          <w:sz w:val="24"/>
        </w:rPr>
        <w:t xml:space="preserve">The </w:t>
      </w:r>
      <w:r w:rsidRPr="000568EC">
        <w:rPr>
          <w:rFonts w:ascii="Times New Roman" w:eastAsiaTheme="minorHAnsi" w:hAnsi="Times New Roman"/>
          <w:spacing w:val="-2"/>
          <w:sz w:val="24"/>
        </w:rPr>
        <w:t>main objective</w:t>
      </w:r>
      <w:r>
        <w:rPr>
          <w:rFonts w:ascii="Times New Roman" w:eastAsiaTheme="minorHAnsi" w:hAnsi="Times New Roman"/>
          <w:spacing w:val="-2"/>
          <w:sz w:val="24"/>
        </w:rPr>
        <w:t>s</w:t>
      </w:r>
      <w:r w:rsidRPr="000568EC">
        <w:rPr>
          <w:rFonts w:ascii="Times New Roman" w:eastAsiaTheme="minorHAnsi" w:hAnsi="Times New Roman"/>
          <w:spacing w:val="-2"/>
          <w:sz w:val="24"/>
        </w:rPr>
        <w:t xml:space="preserve"> of the Public Finance Development Strategy to 2025 </w:t>
      </w:r>
      <w:r>
        <w:rPr>
          <w:rFonts w:ascii="Times New Roman" w:eastAsiaTheme="minorHAnsi" w:hAnsi="Times New Roman"/>
          <w:spacing w:val="-2"/>
          <w:sz w:val="24"/>
        </w:rPr>
        <w:t>are</w:t>
      </w:r>
      <w:r w:rsidRPr="000568EC">
        <w:rPr>
          <w:rFonts w:ascii="Times New Roman" w:eastAsiaTheme="minorHAnsi" w:hAnsi="Times New Roman"/>
          <w:spacing w:val="-2"/>
          <w:sz w:val="24"/>
        </w:rPr>
        <w:t xml:space="preserve"> to strengthen public finances</w:t>
      </w:r>
      <w:r>
        <w:rPr>
          <w:rFonts w:ascii="Times New Roman" w:eastAsiaTheme="minorHAnsi" w:hAnsi="Times New Roman"/>
          <w:spacing w:val="-2"/>
          <w:sz w:val="24"/>
        </w:rPr>
        <w:t xml:space="preserve"> management</w:t>
      </w:r>
      <w:r w:rsidRPr="000568EC">
        <w:rPr>
          <w:rFonts w:ascii="Times New Roman" w:eastAsiaTheme="minorHAnsi" w:hAnsi="Times New Roman"/>
          <w:spacing w:val="-2"/>
          <w:sz w:val="24"/>
        </w:rPr>
        <w:t xml:space="preserve"> to sustain dynamic and stable economic growth and </w:t>
      </w:r>
      <w:r>
        <w:rPr>
          <w:rFonts w:ascii="Times New Roman" w:eastAsiaTheme="minorHAnsi" w:hAnsi="Times New Roman"/>
          <w:spacing w:val="-2"/>
          <w:sz w:val="24"/>
        </w:rPr>
        <w:t xml:space="preserve">to support </w:t>
      </w:r>
      <w:r w:rsidRPr="000568EC">
        <w:rPr>
          <w:rFonts w:ascii="Times New Roman" w:eastAsiaTheme="minorHAnsi" w:hAnsi="Times New Roman"/>
          <w:spacing w:val="-2"/>
          <w:sz w:val="24"/>
        </w:rPr>
        <w:t>a graduation from LDC s</w:t>
      </w:r>
      <w:r w:rsidRPr="00DA7CE7">
        <w:rPr>
          <w:rFonts w:ascii="Times New Roman" w:eastAsiaTheme="minorHAnsi" w:hAnsi="Times New Roman"/>
          <w:sz w:val="24"/>
        </w:rPr>
        <w:t xml:space="preserve">tatus by 2020. Emphasis is on regional and international integration of Lao PDR, while at the same time, focusing on protecting the environment, creating prosperity, and enhancing the livelihoods of all ethnic groups. </w:t>
      </w:r>
    </w:p>
    <w:p w14:paraId="3CF3C012" w14:textId="77777777" w:rsidR="002A2672" w:rsidRPr="00C001AC" w:rsidRDefault="002A2672" w:rsidP="002A2672">
      <w:pPr>
        <w:pStyle w:val="ListParagraph"/>
        <w:widowControl w:val="0"/>
        <w:numPr>
          <w:ilvl w:val="0"/>
          <w:numId w:val="35"/>
        </w:numPr>
        <w:autoSpaceDE w:val="0"/>
        <w:autoSpaceDN w:val="0"/>
        <w:adjustRightInd w:val="0"/>
        <w:spacing w:after="240"/>
        <w:ind w:left="0" w:firstLine="0"/>
        <w:contextualSpacing w:val="0"/>
        <w:rPr>
          <w:rFonts w:ascii="Times New Roman" w:hAnsi="Times New Roman"/>
          <w:sz w:val="24"/>
        </w:rPr>
      </w:pPr>
      <w:r w:rsidRPr="00DA7CE7">
        <w:rPr>
          <w:rFonts w:ascii="Times New Roman" w:eastAsiaTheme="minorHAnsi" w:hAnsi="Times New Roman"/>
          <w:b/>
          <w:sz w:val="24"/>
        </w:rPr>
        <w:t xml:space="preserve">Fiscal consolidation and revenue mobilization have been defined as of paramount importance to support the Government’s need for infrastructure spending and effective delivery of public services. </w:t>
      </w:r>
      <w:r w:rsidRPr="00DA7CE7">
        <w:rPr>
          <w:rFonts w:ascii="Times New Roman" w:eastAsiaTheme="minorHAnsi" w:hAnsi="Times New Roman"/>
          <w:sz w:val="24"/>
        </w:rPr>
        <w:t xml:space="preserve">The new strategy aims at implementing a fiscal policy program to ensure macroeconomic and fiscal stability </w:t>
      </w:r>
      <w:r w:rsidRPr="00DA7CE7">
        <w:rPr>
          <w:rFonts w:ascii="Times New Roman" w:hAnsi="Times New Roman"/>
          <w:sz w:val="24"/>
        </w:rPr>
        <w:t>and strengthening the revenue and resource mobilization to support dynamic social and economic growth. The Public Finance Development Strategy includes 10 Strategies</w:t>
      </w:r>
      <w:r>
        <w:rPr>
          <w:rFonts w:ascii="Times New Roman" w:hAnsi="Times New Roman"/>
          <w:sz w:val="24"/>
        </w:rPr>
        <w:t xml:space="preserve"> and action plans to support reform priorities in core PFM systems.</w:t>
      </w:r>
      <w:r w:rsidRPr="00DA7CE7">
        <w:rPr>
          <w:rFonts w:ascii="Times New Roman" w:hAnsi="Times New Roman"/>
          <w:sz w:val="24"/>
        </w:rPr>
        <w:t xml:space="preserve"> </w:t>
      </w:r>
      <w:r>
        <w:rPr>
          <w:rFonts w:ascii="Times New Roman" w:hAnsi="Times New Roman"/>
          <w:b/>
          <w:sz w:val="24"/>
        </w:rPr>
        <w:t xml:space="preserve"> </w:t>
      </w:r>
    </w:p>
    <w:p w14:paraId="6E1C34EC" w14:textId="77777777" w:rsidR="002A2672" w:rsidRPr="00C001AC" w:rsidRDefault="002A2672" w:rsidP="002A2672">
      <w:pPr>
        <w:pStyle w:val="ListParagraph"/>
        <w:widowControl w:val="0"/>
        <w:numPr>
          <w:ilvl w:val="0"/>
          <w:numId w:val="37"/>
        </w:numPr>
        <w:autoSpaceDE w:val="0"/>
        <w:autoSpaceDN w:val="0"/>
        <w:adjustRightInd w:val="0"/>
        <w:spacing w:after="240"/>
        <w:ind w:left="0" w:firstLine="0"/>
        <w:contextualSpacing w:val="0"/>
        <w:rPr>
          <w:rFonts w:ascii="Times New Roman" w:eastAsiaTheme="minorHAnsi" w:hAnsi="Times New Roman"/>
          <w:sz w:val="24"/>
        </w:rPr>
      </w:pPr>
      <w:r w:rsidRPr="00C001AC">
        <w:rPr>
          <w:rFonts w:ascii="Times New Roman" w:hAnsi="Times New Roman"/>
          <w:b/>
          <w:sz w:val="24"/>
        </w:rPr>
        <w:t xml:space="preserve">The wider donor community has renewed its commitment to support those reforms through funding and technical assistance. </w:t>
      </w:r>
      <w:r w:rsidRPr="00C001AC">
        <w:rPr>
          <w:rFonts w:ascii="Times New Roman" w:eastAsiaTheme="minorHAnsi" w:hAnsi="Times New Roman"/>
          <w:sz w:val="24"/>
        </w:rPr>
        <w:t xml:space="preserve">The WB will continue </w:t>
      </w:r>
      <w:r>
        <w:rPr>
          <w:rFonts w:ascii="Times New Roman" w:eastAsiaTheme="minorHAnsi" w:hAnsi="Times New Roman"/>
          <w:sz w:val="24"/>
        </w:rPr>
        <w:t xml:space="preserve">to </w:t>
      </w:r>
      <w:r w:rsidRPr="00C001AC">
        <w:rPr>
          <w:rFonts w:ascii="Times New Roman" w:eastAsiaTheme="minorHAnsi" w:hAnsi="Times New Roman"/>
          <w:sz w:val="24"/>
        </w:rPr>
        <w:t xml:space="preserve">support this process through the ongoing Public Finance Management Modernization Program (PFMMP) funded by the EU. Other donors are also </w:t>
      </w:r>
      <w:proofErr w:type="gramStart"/>
      <w:r w:rsidRPr="00C001AC">
        <w:rPr>
          <w:rFonts w:ascii="Times New Roman" w:eastAsiaTheme="minorHAnsi" w:hAnsi="Times New Roman"/>
          <w:sz w:val="24"/>
        </w:rPr>
        <w:t>providing assistance</w:t>
      </w:r>
      <w:proofErr w:type="gramEnd"/>
      <w:r w:rsidRPr="00C001AC">
        <w:rPr>
          <w:rFonts w:ascii="Times New Roman" w:eastAsiaTheme="minorHAnsi" w:hAnsi="Times New Roman"/>
          <w:sz w:val="24"/>
        </w:rPr>
        <w:t xml:space="preserve"> in the PFM area. </w:t>
      </w:r>
    </w:p>
    <w:p w14:paraId="4B273F64" w14:textId="77777777" w:rsidR="002A2672" w:rsidRPr="00C001AC" w:rsidRDefault="002A2672" w:rsidP="002A2672">
      <w:pPr>
        <w:autoSpaceDE w:val="0"/>
        <w:autoSpaceDN w:val="0"/>
        <w:adjustRightInd w:val="0"/>
        <w:spacing w:after="240"/>
        <w:ind w:left="0"/>
        <w:rPr>
          <w:rFonts w:ascii="Times New Roman" w:hAnsi="Times New Roman"/>
          <w:b/>
          <w:color w:val="0070C0"/>
          <w:sz w:val="26"/>
          <w:szCs w:val="26"/>
        </w:rPr>
      </w:pPr>
      <w:r w:rsidRPr="00C001AC">
        <w:rPr>
          <w:rFonts w:ascii="Times New Roman" w:hAnsi="Times New Roman"/>
          <w:b/>
          <w:color w:val="0070C0"/>
          <w:sz w:val="26"/>
          <w:szCs w:val="26"/>
        </w:rPr>
        <w:t>Summary of Results</w:t>
      </w:r>
    </w:p>
    <w:p w14:paraId="3BB7AA55" w14:textId="77777777" w:rsidR="00A24325" w:rsidRPr="000568EC" w:rsidRDefault="002A2672" w:rsidP="003274DB">
      <w:pPr>
        <w:pStyle w:val="ListParagraph"/>
        <w:numPr>
          <w:ilvl w:val="0"/>
          <w:numId w:val="37"/>
        </w:numPr>
        <w:autoSpaceDE w:val="0"/>
        <w:autoSpaceDN w:val="0"/>
        <w:adjustRightInd w:val="0"/>
        <w:spacing w:after="240" w:line="276" w:lineRule="auto"/>
        <w:ind w:left="0" w:firstLine="0"/>
        <w:contextualSpacing w:val="0"/>
        <w:rPr>
          <w:rFonts w:ascii="Times New Roman" w:hAnsi="Times New Roman"/>
          <w:sz w:val="20"/>
          <w:szCs w:val="20"/>
        </w:rPr>
      </w:pPr>
      <w:r w:rsidRPr="000568EC">
        <w:rPr>
          <w:rFonts w:ascii="Times New Roman" w:hAnsi="Times New Roman"/>
          <w:b/>
          <w:sz w:val="24"/>
        </w:rPr>
        <w:t>The PEFA performance assessment based on the 2016 PEFA methodology presents scores for the indicator and for each dimension, as follows:</w:t>
      </w:r>
    </w:p>
    <w:p w14:paraId="100E51E7" w14:textId="77777777" w:rsidR="00A24325" w:rsidRPr="002F5ADE" w:rsidRDefault="00A24325" w:rsidP="00A24325">
      <w:pPr>
        <w:pStyle w:val="Caption"/>
        <w:spacing w:before="0" w:after="0" w:line="240" w:lineRule="auto"/>
        <w:rPr>
          <w:rFonts w:ascii="Times New Roman" w:eastAsia="Times New Roman" w:hAnsi="Times New Roman"/>
          <w:bCs w:val="0"/>
          <w:color w:val="000000" w:themeColor="text1"/>
          <w:sz w:val="24"/>
          <w:szCs w:val="24"/>
        </w:rPr>
      </w:pPr>
      <w:bookmarkStart w:id="6" w:name="_Toc496284678"/>
      <w:bookmarkStart w:id="7" w:name="_Toc504664500"/>
      <w:r w:rsidRPr="002F5ADE">
        <w:rPr>
          <w:rFonts w:ascii="Times New Roman" w:eastAsia="Times New Roman" w:hAnsi="Times New Roman"/>
          <w:bCs w:val="0"/>
          <w:color w:val="000000" w:themeColor="text1"/>
          <w:sz w:val="24"/>
          <w:szCs w:val="24"/>
        </w:rPr>
        <w:t>Table</w:t>
      </w:r>
      <w:r w:rsidR="00CE5ED9">
        <w:rPr>
          <w:rFonts w:ascii="Times New Roman" w:eastAsia="Times New Roman" w:hAnsi="Times New Roman"/>
          <w:bCs w:val="0"/>
          <w:color w:val="000000" w:themeColor="text1"/>
          <w:sz w:val="24"/>
          <w:szCs w:val="24"/>
        </w:rPr>
        <w:t xml:space="preserve"> 2</w:t>
      </w:r>
      <w:r w:rsidRPr="002F5ADE">
        <w:rPr>
          <w:rFonts w:ascii="Times New Roman" w:eastAsia="Times New Roman" w:hAnsi="Times New Roman"/>
          <w:bCs w:val="0"/>
          <w:color w:val="000000" w:themeColor="text1"/>
          <w:sz w:val="24"/>
          <w:szCs w:val="24"/>
        </w:rPr>
        <w:t>: Performance Status at-a-Glance</w:t>
      </w:r>
      <w:bookmarkEnd w:id="6"/>
      <w:bookmarkEnd w:id="7"/>
    </w:p>
    <w:tbl>
      <w:tblPr>
        <w:tblW w:w="5228"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26"/>
        <w:gridCol w:w="4308"/>
        <w:gridCol w:w="903"/>
        <w:gridCol w:w="100"/>
        <w:gridCol w:w="6"/>
        <w:gridCol w:w="545"/>
        <w:gridCol w:w="552"/>
        <w:gridCol w:w="552"/>
        <w:gridCol w:w="554"/>
        <w:gridCol w:w="1107"/>
      </w:tblGrid>
      <w:tr w:rsidR="00A24325" w:rsidRPr="008C5AF6" w14:paraId="0C816EDE" w14:textId="77777777" w:rsidTr="00835385">
        <w:trPr>
          <w:trHeight w:val="113"/>
          <w:tblHeader/>
        </w:trPr>
        <w:tc>
          <w:tcPr>
            <w:tcW w:w="2709" w:type="pct"/>
            <w:gridSpan w:val="3"/>
            <w:vMerge w:val="restart"/>
            <w:shd w:val="clear" w:color="auto" w:fill="EEECE1" w:themeFill="background2"/>
            <w:vAlign w:val="center"/>
            <w:hideMark/>
          </w:tcPr>
          <w:bookmarkEnd w:id="5"/>
          <w:p w14:paraId="1068C84A"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lastRenderedPageBreak/>
              <w:t>PFM Performance Indicator</w:t>
            </w:r>
          </w:p>
        </w:tc>
        <w:tc>
          <w:tcPr>
            <w:tcW w:w="535" w:type="pct"/>
            <w:gridSpan w:val="3"/>
            <w:vMerge w:val="restart"/>
            <w:shd w:val="clear" w:color="auto" w:fill="EEECE1" w:themeFill="background2"/>
            <w:vAlign w:val="center"/>
            <w:hideMark/>
          </w:tcPr>
          <w:p w14:paraId="1ED8694B"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t>Scoring Method</w:t>
            </w:r>
          </w:p>
        </w:tc>
        <w:tc>
          <w:tcPr>
            <w:tcW w:w="1169" w:type="pct"/>
            <w:gridSpan w:val="4"/>
            <w:shd w:val="clear" w:color="auto" w:fill="E7E6E6"/>
            <w:vAlign w:val="center"/>
            <w:hideMark/>
          </w:tcPr>
          <w:p w14:paraId="6F4C34BD"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t>Dimension Ratings</w:t>
            </w:r>
          </w:p>
        </w:tc>
        <w:tc>
          <w:tcPr>
            <w:tcW w:w="586" w:type="pct"/>
            <w:vMerge w:val="restart"/>
            <w:shd w:val="clear" w:color="auto" w:fill="E7E6E6"/>
            <w:vAlign w:val="center"/>
            <w:hideMark/>
          </w:tcPr>
          <w:p w14:paraId="59903656"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Overall Rating</w:t>
            </w:r>
          </w:p>
        </w:tc>
      </w:tr>
      <w:tr w:rsidR="00A24325" w:rsidRPr="008C5AF6" w14:paraId="4558BF42" w14:textId="77777777" w:rsidTr="00835385">
        <w:trPr>
          <w:trHeight w:val="113"/>
          <w:tblHeader/>
        </w:trPr>
        <w:tc>
          <w:tcPr>
            <w:tcW w:w="2709" w:type="pct"/>
            <w:gridSpan w:val="3"/>
            <w:vMerge/>
            <w:shd w:val="clear" w:color="auto" w:fill="CCECFF"/>
            <w:vAlign w:val="center"/>
            <w:hideMark/>
          </w:tcPr>
          <w:p w14:paraId="5C86E428" w14:textId="77777777" w:rsidR="00A24325" w:rsidRPr="008C5AF6" w:rsidRDefault="00A24325" w:rsidP="00A24325">
            <w:pPr>
              <w:spacing w:before="0"/>
              <w:ind w:left="0"/>
              <w:rPr>
                <w:rFonts w:ascii="Times New Roman" w:hAnsi="Times New Roman"/>
                <w:b/>
                <w:bCs/>
              </w:rPr>
            </w:pPr>
          </w:p>
        </w:tc>
        <w:tc>
          <w:tcPr>
            <w:tcW w:w="535" w:type="pct"/>
            <w:gridSpan w:val="3"/>
            <w:vMerge/>
            <w:shd w:val="clear" w:color="auto" w:fill="CCECFF"/>
            <w:vAlign w:val="center"/>
            <w:hideMark/>
          </w:tcPr>
          <w:p w14:paraId="3DEBC47F" w14:textId="77777777" w:rsidR="00A24325" w:rsidRPr="008C5AF6" w:rsidRDefault="00A24325" w:rsidP="00A24325">
            <w:pPr>
              <w:spacing w:before="0"/>
              <w:ind w:left="0"/>
              <w:rPr>
                <w:rFonts w:ascii="Times New Roman" w:hAnsi="Times New Roman"/>
                <w:b/>
                <w:bCs/>
              </w:rPr>
            </w:pPr>
          </w:p>
        </w:tc>
        <w:tc>
          <w:tcPr>
            <w:tcW w:w="289" w:type="pct"/>
            <w:shd w:val="clear" w:color="auto" w:fill="auto"/>
            <w:vAlign w:val="center"/>
            <w:hideMark/>
          </w:tcPr>
          <w:p w14:paraId="18DE208B"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t xml:space="preserve"> i.</w:t>
            </w:r>
          </w:p>
        </w:tc>
        <w:tc>
          <w:tcPr>
            <w:tcW w:w="293" w:type="pct"/>
            <w:shd w:val="clear" w:color="auto" w:fill="auto"/>
            <w:vAlign w:val="center"/>
            <w:hideMark/>
          </w:tcPr>
          <w:p w14:paraId="1C933742"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t xml:space="preserve"> ii.</w:t>
            </w:r>
          </w:p>
        </w:tc>
        <w:tc>
          <w:tcPr>
            <w:tcW w:w="293" w:type="pct"/>
            <w:shd w:val="clear" w:color="auto" w:fill="auto"/>
            <w:vAlign w:val="center"/>
            <w:hideMark/>
          </w:tcPr>
          <w:p w14:paraId="56BBB2BF"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t>iii.</w:t>
            </w:r>
          </w:p>
        </w:tc>
        <w:tc>
          <w:tcPr>
            <w:tcW w:w="294" w:type="pct"/>
            <w:shd w:val="clear" w:color="auto" w:fill="auto"/>
            <w:vAlign w:val="center"/>
            <w:hideMark/>
          </w:tcPr>
          <w:p w14:paraId="79C52612" w14:textId="77777777" w:rsidR="00A24325" w:rsidRPr="008C5AF6" w:rsidRDefault="00A24325" w:rsidP="00A24325">
            <w:pPr>
              <w:spacing w:before="0"/>
              <w:ind w:left="0"/>
              <w:rPr>
                <w:rFonts w:ascii="Times New Roman" w:hAnsi="Times New Roman"/>
                <w:b/>
                <w:bCs/>
              </w:rPr>
            </w:pPr>
            <w:r w:rsidRPr="008C5AF6">
              <w:rPr>
                <w:rFonts w:ascii="Times New Roman" w:hAnsi="Times New Roman"/>
                <w:b/>
                <w:bCs/>
                <w:szCs w:val="22"/>
              </w:rPr>
              <w:t>iv.</w:t>
            </w:r>
          </w:p>
        </w:tc>
        <w:tc>
          <w:tcPr>
            <w:tcW w:w="586" w:type="pct"/>
            <w:vMerge/>
            <w:shd w:val="clear" w:color="auto" w:fill="EEECE1" w:themeFill="background2"/>
            <w:vAlign w:val="center"/>
            <w:hideMark/>
          </w:tcPr>
          <w:p w14:paraId="1B5274D5" w14:textId="77777777" w:rsidR="00A24325" w:rsidRPr="008C5AF6" w:rsidRDefault="00A24325" w:rsidP="00A24325">
            <w:pPr>
              <w:spacing w:before="0"/>
              <w:ind w:left="0"/>
              <w:jc w:val="left"/>
              <w:rPr>
                <w:rFonts w:ascii="Times New Roman" w:hAnsi="Times New Roman"/>
                <w:b/>
                <w:bCs/>
              </w:rPr>
            </w:pPr>
          </w:p>
        </w:tc>
      </w:tr>
      <w:tr w:rsidR="00A24325" w:rsidRPr="008C5AF6" w14:paraId="4B925F12" w14:textId="77777777" w:rsidTr="00835385">
        <w:trPr>
          <w:trHeight w:val="113"/>
        </w:trPr>
        <w:tc>
          <w:tcPr>
            <w:tcW w:w="5000" w:type="pct"/>
            <w:gridSpan w:val="11"/>
            <w:shd w:val="clear" w:color="auto" w:fill="569AB3"/>
            <w:vAlign w:val="bottom"/>
            <w:hideMark/>
          </w:tcPr>
          <w:p w14:paraId="78AE236F"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Pillar I. Budget reliability</w:t>
            </w:r>
          </w:p>
        </w:tc>
      </w:tr>
      <w:tr w:rsidR="00A24325" w:rsidRPr="008C5AF6" w14:paraId="7CAF3492" w14:textId="77777777" w:rsidTr="00835385">
        <w:trPr>
          <w:trHeight w:val="113"/>
        </w:trPr>
        <w:tc>
          <w:tcPr>
            <w:tcW w:w="410" w:type="pct"/>
            <w:shd w:val="clear" w:color="auto" w:fill="auto"/>
            <w:vAlign w:val="center"/>
            <w:hideMark/>
          </w:tcPr>
          <w:p w14:paraId="49561838"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w:t>
            </w:r>
          </w:p>
        </w:tc>
        <w:tc>
          <w:tcPr>
            <w:tcW w:w="2299" w:type="pct"/>
            <w:gridSpan w:val="2"/>
            <w:shd w:val="clear" w:color="auto" w:fill="auto"/>
            <w:vAlign w:val="bottom"/>
            <w:hideMark/>
          </w:tcPr>
          <w:p w14:paraId="06EBFEA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Aggregate expenditure outturn</w:t>
            </w:r>
          </w:p>
        </w:tc>
        <w:tc>
          <w:tcPr>
            <w:tcW w:w="535" w:type="pct"/>
            <w:gridSpan w:val="3"/>
            <w:shd w:val="clear" w:color="auto" w:fill="auto"/>
            <w:vAlign w:val="center"/>
            <w:hideMark/>
          </w:tcPr>
          <w:p w14:paraId="26950C22"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289" w:type="pct"/>
            <w:shd w:val="clear" w:color="auto" w:fill="auto"/>
            <w:vAlign w:val="center"/>
          </w:tcPr>
          <w:p w14:paraId="3EFF486C" w14:textId="77777777" w:rsidR="00A24325" w:rsidRPr="008C5AF6" w:rsidRDefault="00B224C6" w:rsidP="00A24325">
            <w:pPr>
              <w:spacing w:before="0"/>
              <w:ind w:left="0"/>
              <w:rPr>
                <w:rFonts w:ascii="Times New Roman" w:hAnsi="Times New Roman"/>
              </w:rPr>
            </w:pPr>
            <w:r>
              <w:rPr>
                <w:rFonts w:ascii="Times New Roman" w:hAnsi="Times New Roman"/>
              </w:rPr>
              <w:t>A</w:t>
            </w:r>
          </w:p>
        </w:tc>
        <w:tc>
          <w:tcPr>
            <w:tcW w:w="293" w:type="pct"/>
            <w:shd w:val="clear" w:color="auto" w:fill="E7E6E6"/>
            <w:vAlign w:val="center"/>
          </w:tcPr>
          <w:p w14:paraId="628A296E" w14:textId="77777777" w:rsidR="00A24325" w:rsidRPr="008C5AF6" w:rsidRDefault="00A24325" w:rsidP="00A24325">
            <w:pPr>
              <w:spacing w:before="0"/>
              <w:ind w:left="0"/>
              <w:rPr>
                <w:rFonts w:ascii="Times New Roman" w:hAnsi="Times New Roman"/>
              </w:rPr>
            </w:pPr>
          </w:p>
        </w:tc>
        <w:tc>
          <w:tcPr>
            <w:tcW w:w="293" w:type="pct"/>
            <w:tcBorders>
              <w:bottom w:val="single" w:sz="4" w:space="0" w:color="auto"/>
            </w:tcBorders>
            <w:shd w:val="clear" w:color="auto" w:fill="E7E6E6"/>
            <w:vAlign w:val="center"/>
          </w:tcPr>
          <w:p w14:paraId="696444C3" w14:textId="77777777" w:rsidR="00A24325" w:rsidRPr="008C5AF6" w:rsidRDefault="00A24325" w:rsidP="00A24325">
            <w:pPr>
              <w:spacing w:before="0"/>
              <w:ind w:left="0"/>
              <w:rPr>
                <w:rFonts w:ascii="Times New Roman" w:hAnsi="Times New Roman"/>
              </w:rPr>
            </w:pPr>
          </w:p>
        </w:tc>
        <w:tc>
          <w:tcPr>
            <w:tcW w:w="294" w:type="pct"/>
            <w:shd w:val="clear" w:color="auto" w:fill="E7E6E6"/>
            <w:vAlign w:val="center"/>
          </w:tcPr>
          <w:p w14:paraId="46AEEAF2"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F78144A" w14:textId="77777777" w:rsidR="00A24325" w:rsidRPr="008C5AF6" w:rsidRDefault="00B224C6" w:rsidP="00A24325">
            <w:pPr>
              <w:spacing w:before="0"/>
              <w:ind w:left="0"/>
              <w:jc w:val="left"/>
              <w:rPr>
                <w:rFonts w:ascii="Times New Roman" w:hAnsi="Times New Roman"/>
                <w:b/>
              </w:rPr>
            </w:pPr>
            <w:r>
              <w:rPr>
                <w:rFonts w:ascii="Times New Roman" w:hAnsi="Times New Roman"/>
                <w:b/>
              </w:rPr>
              <w:t>A</w:t>
            </w:r>
          </w:p>
        </w:tc>
      </w:tr>
      <w:tr w:rsidR="00A24325" w:rsidRPr="008C5AF6" w14:paraId="4EF4520E" w14:textId="77777777" w:rsidTr="00835385">
        <w:trPr>
          <w:trHeight w:val="113"/>
        </w:trPr>
        <w:tc>
          <w:tcPr>
            <w:tcW w:w="410" w:type="pct"/>
            <w:shd w:val="clear" w:color="auto" w:fill="auto"/>
            <w:vAlign w:val="center"/>
            <w:hideMark/>
          </w:tcPr>
          <w:p w14:paraId="6880AF2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w:t>
            </w:r>
          </w:p>
        </w:tc>
        <w:tc>
          <w:tcPr>
            <w:tcW w:w="2299" w:type="pct"/>
            <w:gridSpan w:val="2"/>
            <w:shd w:val="clear" w:color="auto" w:fill="auto"/>
            <w:vAlign w:val="bottom"/>
            <w:hideMark/>
          </w:tcPr>
          <w:p w14:paraId="2BCBB359"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Expenditure composition outturn</w:t>
            </w:r>
          </w:p>
        </w:tc>
        <w:tc>
          <w:tcPr>
            <w:tcW w:w="535" w:type="pct"/>
            <w:gridSpan w:val="3"/>
            <w:shd w:val="clear" w:color="auto" w:fill="auto"/>
            <w:vAlign w:val="center"/>
            <w:hideMark/>
          </w:tcPr>
          <w:p w14:paraId="40AC2ACF"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289" w:type="pct"/>
            <w:shd w:val="clear" w:color="auto" w:fill="auto"/>
            <w:vAlign w:val="center"/>
          </w:tcPr>
          <w:p w14:paraId="27F319FF" w14:textId="77777777" w:rsidR="00A24325" w:rsidRPr="008C5AF6" w:rsidRDefault="00B224C6" w:rsidP="00A24325">
            <w:pPr>
              <w:spacing w:before="0"/>
              <w:ind w:left="0"/>
              <w:rPr>
                <w:rFonts w:ascii="Times New Roman" w:hAnsi="Times New Roman"/>
              </w:rPr>
            </w:pPr>
            <w:r>
              <w:rPr>
                <w:rFonts w:ascii="Times New Roman" w:hAnsi="Times New Roman"/>
              </w:rPr>
              <w:t>D</w:t>
            </w:r>
            <w:r w:rsidR="006E511F">
              <w:rPr>
                <w:rFonts w:ascii="Times New Roman" w:hAnsi="Times New Roman"/>
              </w:rPr>
              <w:t>*</w:t>
            </w:r>
          </w:p>
        </w:tc>
        <w:tc>
          <w:tcPr>
            <w:tcW w:w="293" w:type="pct"/>
            <w:tcBorders>
              <w:bottom w:val="single" w:sz="4" w:space="0" w:color="auto"/>
            </w:tcBorders>
            <w:shd w:val="clear" w:color="auto" w:fill="auto"/>
            <w:vAlign w:val="center"/>
          </w:tcPr>
          <w:p w14:paraId="34391A76" w14:textId="77777777" w:rsidR="00A24325" w:rsidRPr="008C5AF6" w:rsidRDefault="00B224C6" w:rsidP="00A24325">
            <w:pPr>
              <w:spacing w:before="0"/>
              <w:ind w:left="0"/>
              <w:rPr>
                <w:rFonts w:ascii="Times New Roman" w:hAnsi="Times New Roman"/>
              </w:rPr>
            </w:pPr>
            <w:r>
              <w:rPr>
                <w:rFonts w:ascii="Times New Roman" w:hAnsi="Times New Roman"/>
              </w:rPr>
              <w:t>C</w:t>
            </w:r>
          </w:p>
        </w:tc>
        <w:tc>
          <w:tcPr>
            <w:tcW w:w="293" w:type="pct"/>
            <w:shd w:val="clear" w:color="000000" w:fill="FFFFFF"/>
            <w:vAlign w:val="center"/>
          </w:tcPr>
          <w:p w14:paraId="0DB8FE02" w14:textId="77777777" w:rsidR="00A24325" w:rsidRPr="008C5AF6" w:rsidRDefault="00B224C6" w:rsidP="00A24325">
            <w:pPr>
              <w:spacing w:before="0"/>
              <w:ind w:left="0"/>
              <w:rPr>
                <w:rFonts w:ascii="Times New Roman" w:hAnsi="Times New Roman"/>
              </w:rPr>
            </w:pPr>
            <w:r>
              <w:rPr>
                <w:rFonts w:ascii="Times New Roman" w:hAnsi="Times New Roman"/>
              </w:rPr>
              <w:t>A</w:t>
            </w:r>
          </w:p>
        </w:tc>
        <w:tc>
          <w:tcPr>
            <w:tcW w:w="294" w:type="pct"/>
            <w:shd w:val="clear" w:color="auto" w:fill="E7E6E6"/>
            <w:vAlign w:val="center"/>
          </w:tcPr>
          <w:p w14:paraId="0CF53DBD"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74E392D" w14:textId="77777777" w:rsidR="00A24325" w:rsidRPr="008C5AF6" w:rsidRDefault="00B224C6" w:rsidP="00A24325">
            <w:pPr>
              <w:spacing w:before="0"/>
              <w:ind w:left="0"/>
              <w:jc w:val="left"/>
              <w:rPr>
                <w:rFonts w:ascii="Times New Roman" w:hAnsi="Times New Roman"/>
                <w:b/>
              </w:rPr>
            </w:pPr>
            <w:r>
              <w:rPr>
                <w:rFonts w:ascii="Times New Roman" w:hAnsi="Times New Roman"/>
                <w:b/>
              </w:rPr>
              <w:t>D+</w:t>
            </w:r>
          </w:p>
        </w:tc>
      </w:tr>
      <w:tr w:rsidR="00A24325" w:rsidRPr="008C5AF6" w14:paraId="491E4FE3" w14:textId="77777777" w:rsidTr="00835385">
        <w:trPr>
          <w:trHeight w:val="113"/>
        </w:trPr>
        <w:tc>
          <w:tcPr>
            <w:tcW w:w="410" w:type="pct"/>
            <w:shd w:val="clear" w:color="auto" w:fill="auto"/>
            <w:vAlign w:val="center"/>
            <w:hideMark/>
          </w:tcPr>
          <w:p w14:paraId="0DFCD3B5"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PI-3</w:t>
            </w:r>
          </w:p>
        </w:tc>
        <w:tc>
          <w:tcPr>
            <w:tcW w:w="2299" w:type="pct"/>
            <w:gridSpan w:val="2"/>
            <w:shd w:val="clear" w:color="auto" w:fill="auto"/>
            <w:vAlign w:val="bottom"/>
            <w:hideMark/>
          </w:tcPr>
          <w:p w14:paraId="37527A75"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Revenue outturn</w:t>
            </w:r>
          </w:p>
        </w:tc>
        <w:tc>
          <w:tcPr>
            <w:tcW w:w="535" w:type="pct"/>
            <w:gridSpan w:val="3"/>
            <w:shd w:val="clear" w:color="auto" w:fill="auto"/>
            <w:vAlign w:val="center"/>
            <w:hideMark/>
          </w:tcPr>
          <w:p w14:paraId="72309AB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289" w:type="pct"/>
            <w:shd w:val="clear" w:color="auto" w:fill="auto"/>
            <w:vAlign w:val="center"/>
          </w:tcPr>
          <w:p w14:paraId="4DAC51DF" w14:textId="77777777" w:rsidR="00A24325" w:rsidRPr="008C5AF6" w:rsidRDefault="00B224C6" w:rsidP="00A24325">
            <w:pPr>
              <w:spacing w:before="0"/>
              <w:ind w:left="0"/>
              <w:rPr>
                <w:rFonts w:ascii="Times New Roman" w:hAnsi="Times New Roman"/>
              </w:rPr>
            </w:pPr>
            <w:r>
              <w:rPr>
                <w:rFonts w:ascii="Times New Roman" w:hAnsi="Times New Roman"/>
              </w:rPr>
              <w:t>B</w:t>
            </w:r>
          </w:p>
        </w:tc>
        <w:tc>
          <w:tcPr>
            <w:tcW w:w="293" w:type="pct"/>
            <w:shd w:val="clear" w:color="000000" w:fill="FFFFFF"/>
            <w:vAlign w:val="center"/>
          </w:tcPr>
          <w:p w14:paraId="66CDA75C"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293" w:type="pct"/>
            <w:shd w:val="clear" w:color="auto" w:fill="E7E6E6"/>
            <w:vAlign w:val="center"/>
          </w:tcPr>
          <w:p w14:paraId="7A9A5BF8" w14:textId="77777777" w:rsidR="00A24325" w:rsidRPr="008C5AF6" w:rsidRDefault="00A24325" w:rsidP="00A24325">
            <w:pPr>
              <w:spacing w:before="0"/>
              <w:ind w:left="0"/>
              <w:rPr>
                <w:rFonts w:ascii="Times New Roman" w:hAnsi="Times New Roman"/>
              </w:rPr>
            </w:pPr>
          </w:p>
        </w:tc>
        <w:tc>
          <w:tcPr>
            <w:tcW w:w="294" w:type="pct"/>
            <w:shd w:val="clear" w:color="auto" w:fill="E7E6E6"/>
            <w:vAlign w:val="center"/>
          </w:tcPr>
          <w:p w14:paraId="0EC73A59"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0C16288D" w14:textId="0A2F5589" w:rsidR="00A24325" w:rsidRPr="008C5AF6" w:rsidRDefault="006C28B8" w:rsidP="00A24325">
            <w:pPr>
              <w:spacing w:before="0"/>
              <w:ind w:left="0"/>
              <w:jc w:val="left"/>
              <w:rPr>
                <w:rFonts w:ascii="Times New Roman" w:hAnsi="Times New Roman"/>
                <w:b/>
              </w:rPr>
            </w:pPr>
            <w:r>
              <w:rPr>
                <w:rFonts w:ascii="Times New Roman" w:hAnsi="Times New Roman"/>
                <w:b/>
              </w:rPr>
              <w:t>C</w:t>
            </w:r>
          </w:p>
        </w:tc>
      </w:tr>
      <w:tr w:rsidR="00A24325" w:rsidRPr="008C5AF6" w14:paraId="13C0506D" w14:textId="77777777" w:rsidTr="00835385">
        <w:trPr>
          <w:trHeight w:val="113"/>
        </w:trPr>
        <w:tc>
          <w:tcPr>
            <w:tcW w:w="424" w:type="pct"/>
            <w:gridSpan w:val="2"/>
            <w:shd w:val="clear" w:color="auto" w:fill="28C0DA"/>
            <w:vAlign w:val="bottom"/>
          </w:tcPr>
          <w:p w14:paraId="2AEB86D1" w14:textId="77777777" w:rsidR="00A24325" w:rsidRPr="008C5AF6" w:rsidRDefault="00A24325" w:rsidP="00A24325">
            <w:pPr>
              <w:spacing w:before="0"/>
              <w:ind w:left="0"/>
              <w:rPr>
                <w:rFonts w:ascii="Times New Roman" w:hAnsi="Times New Roman"/>
                <w:b/>
                <w:bCs/>
              </w:rPr>
            </w:pPr>
          </w:p>
        </w:tc>
        <w:tc>
          <w:tcPr>
            <w:tcW w:w="4576" w:type="pct"/>
            <w:gridSpan w:val="9"/>
            <w:shd w:val="clear" w:color="auto" w:fill="28C0DA"/>
            <w:vAlign w:val="bottom"/>
          </w:tcPr>
          <w:p w14:paraId="289FC11D"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II. Transparency of public finances</w:t>
            </w:r>
          </w:p>
        </w:tc>
      </w:tr>
      <w:tr w:rsidR="00A24325" w:rsidRPr="008C5AF6" w14:paraId="5A17CB05" w14:textId="77777777" w:rsidTr="00835385">
        <w:trPr>
          <w:trHeight w:val="113"/>
        </w:trPr>
        <w:tc>
          <w:tcPr>
            <w:tcW w:w="410" w:type="pct"/>
            <w:shd w:val="clear" w:color="auto" w:fill="auto"/>
            <w:vAlign w:val="center"/>
            <w:hideMark/>
          </w:tcPr>
          <w:p w14:paraId="53DA25B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PI-4</w:t>
            </w:r>
          </w:p>
        </w:tc>
        <w:tc>
          <w:tcPr>
            <w:tcW w:w="2299" w:type="pct"/>
            <w:gridSpan w:val="2"/>
            <w:shd w:val="clear" w:color="auto" w:fill="auto"/>
            <w:vAlign w:val="bottom"/>
            <w:hideMark/>
          </w:tcPr>
          <w:p w14:paraId="72E689B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Budget</w:t>
            </w:r>
            <w:r w:rsidRPr="008C5AF6">
              <w:rPr>
                <w:rFonts w:ascii="Times New Roman" w:eastAsia="Batang" w:hAnsi="Times New Roman"/>
                <w:szCs w:val="22"/>
              </w:rPr>
              <w:t xml:space="preserve"> </w:t>
            </w:r>
            <w:r w:rsidRPr="008C5AF6">
              <w:rPr>
                <w:rFonts w:ascii="Times New Roman" w:hAnsi="Times New Roman"/>
                <w:szCs w:val="22"/>
              </w:rPr>
              <w:t>classification</w:t>
            </w:r>
          </w:p>
        </w:tc>
        <w:tc>
          <w:tcPr>
            <w:tcW w:w="532" w:type="pct"/>
            <w:gridSpan w:val="2"/>
            <w:shd w:val="clear" w:color="auto" w:fill="auto"/>
            <w:vAlign w:val="center"/>
            <w:hideMark/>
          </w:tcPr>
          <w:p w14:paraId="113E2B51"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292" w:type="pct"/>
            <w:gridSpan w:val="2"/>
            <w:shd w:val="clear" w:color="auto" w:fill="auto"/>
            <w:vAlign w:val="center"/>
          </w:tcPr>
          <w:p w14:paraId="19108364" w14:textId="77777777" w:rsidR="00A24325" w:rsidRPr="008C5AF6" w:rsidRDefault="00B224C6" w:rsidP="00A24325">
            <w:pPr>
              <w:spacing w:before="0"/>
              <w:ind w:left="0"/>
              <w:rPr>
                <w:rFonts w:ascii="Times New Roman" w:hAnsi="Times New Roman"/>
              </w:rPr>
            </w:pPr>
            <w:r>
              <w:rPr>
                <w:rFonts w:ascii="Times New Roman" w:hAnsi="Times New Roman"/>
              </w:rPr>
              <w:t>C</w:t>
            </w:r>
          </w:p>
        </w:tc>
        <w:tc>
          <w:tcPr>
            <w:tcW w:w="293" w:type="pct"/>
            <w:shd w:val="clear" w:color="auto" w:fill="E7E6E6"/>
            <w:vAlign w:val="center"/>
          </w:tcPr>
          <w:p w14:paraId="298D5950" w14:textId="77777777" w:rsidR="00A24325" w:rsidRPr="008C5AF6" w:rsidRDefault="00A24325" w:rsidP="00A24325">
            <w:pPr>
              <w:spacing w:before="0"/>
              <w:ind w:left="0"/>
              <w:rPr>
                <w:rFonts w:ascii="Times New Roman" w:hAnsi="Times New Roman"/>
              </w:rPr>
            </w:pPr>
          </w:p>
        </w:tc>
        <w:tc>
          <w:tcPr>
            <w:tcW w:w="293" w:type="pct"/>
            <w:shd w:val="clear" w:color="auto" w:fill="E7E6E6"/>
            <w:vAlign w:val="center"/>
          </w:tcPr>
          <w:p w14:paraId="2EA81E91" w14:textId="77777777" w:rsidR="00A24325" w:rsidRPr="008C5AF6" w:rsidRDefault="00A24325" w:rsidP="00A24325">
            <w:pPr>
              <w:spacing w:before="0"/>
              <w:ind w:left="0"/>
              <w:rPr>
                <w:rFonts w:ascii="Times New Roman" w:hAnsi="Times New Roman"/>
              </w:rPr>
            </w:pPr>
          </w:p>
        </w:tc>
        <w:tc>
          <w:tcPr>
            <w:tcW w:w="294" w:type="pct"/>
            <w:shd w:val="clear" w:color="auto" w:fill="E7E6E6"/>
            <w:vAlign w:val="center"/>
          </w:tcPr>
          <w:p w14:paraId="02A9659D"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7ABEFB5" w14:textId="77777777" w:rsidR="00A24325" w:rsidRPr="008C5AF6" w:rsidRDefault="00B224C6" w:rsidP="00A24325">
            <w:pPr>
              <w:spacing w:before="0"/>
              <w:ind w:left="0"/>
              <w:jc w:val="left"/>
              <w:rPr>
                <w:rFonts w:ascii="Times New Roman" w:hAnsi="Times New Roman"/>
                <w:b/>
              </w:rPr>
            </w:pPr>
            <w:r>
              <w:rPr>
                <w:rFonts w:ascii="Times New Roman" w:hAnsi="Times New Roman"/>
                <w:b/>
              </w:rPr>
              <w:t>C</w:t>
            </w:r>
          </w:p>
        </w:tc>
      </w:tr>
      <w:tr w:rsidR="00A24325" w:rsidRPr="008C5AF6" w14:paraId="2EC30016" w14:textId="77777777" w:rsidTr="00835385">
        <w:trPr>
          <w:trHeight w:val="113"/>
        </w:trPr>
        <w:tc>
          <w:tcPr>
            <w:tcW w:w="410" w:type="pct"/>
            <w:shd w:val="clear" w:color="auto" w:fill="auto"/>
            <w:vAlign w:val="center"/>
            <w:hideMark/>
          </w:tcPr>
          <w:p w14:paraId="5DD46E9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PI-5</w:t>
            </w:r>
          </w:p>
        </w:tc>
        <w:tc>
          <w:tcPr>
            <w:tcW w:w="2299" w:type="pct"/>
            <w:gridSpan w:val="2"/>
            <w:shd w:val="clear" w:color="auto" w:fill="auto"/>
            <w:vAlign w:val="bottom"/>
            <w:hideMark/>
          </w:tcPr>
          <w:p w14:paraId="39A430D0"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Budget documentation</w:t>
            </w:r>
          </w:p>
        </w:tc>
        <w:tc>
          <w:tcPr>
            <w:tcW w:w="532" w:type="pct"/>
            <w:gridSpan w:val="2"/>
            <w:shd w:val="clear" w:color="auto" w:fill="auto"/>
            <w:vAlign w:val="center"/>
            <w:hideMark/>
          </w:tcPr>
          <w:p w14:paraId="6AF162BE"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292" w:type="pct"/>
            <w:gridSpan w:val="2"/>
            <w:shd w:val="clear" w:color="auto" w:fill="auto"/>
            <w:vAlign w:val="center"/>
          </w:tcPr>
          <w:p w14:paraId="4966024B"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293" w:type="pct"/>
            <w:shd w:val="clear" w:color="auto" w:fill="E7E6E6"/>
            <w:vAlign w:val="center"/>
          </w:tcPr>
          <w:p w14:paraId="6972C70B" w14:textId="77777777" w:rsidR="00A24325" w:rsidRPr="008C5AF6" w:rsidRDefault="00A24325" w:rsidP="00A24325">
            <w:pPr>
              <w:spacing w:before="0"/>
              <w:ind w:left="0"/>
              <w:rPr>
                <w:rFonts w:ascii="Times New Roman" w:hAnsi="Times New Roman"/>
              </w:rPr>
            </w:pPr>
          </w:p>
        </w:tc>
        <w:tc>
          <w:tcPr>
            <w:tcW w:w="293" w:type="pct"/>
            <w:tcBorders>
              <w:bottom w:val="single" w:sz="4" w:space="0" w:color="auto"/>
            </w:tcBorders>
            <w:shd w:val="clear" w:color="auto" w:fill="E7E6E6"/>
            <w:vAlign w:val="center"/>
          </w:tcPr>
          <w:p w14:paraId="734ADBFE" w14:textId="77777777" w:rsidR="00A24325" w:rsidRPr="008C5AF6" w:rsidRDefault="00A24325" w:rsidP="00A24325">
            <w:pPr>
              <w:spacing w:before="0"/>
              <w:ind w:left="0"/>
              <w:rPr>
                <w:rFonts w:ascii="Times New Roman" w:hAnsi="Times New Roman"/>
              </w:rPr>
            </w:pPr>
          </w:p>
        </w:tc>
        <w:tc>
          <w:tcPr>
            <w:tcW w:w="294" w:type="pct"/>
            <w:shd w:val="clear" w:color="auto" w:fill="E7E6E6"/>
            <w:vAlign w:val="center"/>
          </w:tcPr>
          <w:p w14:paraId="19E687CD"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BF485EF" w14:textId="77777777" w:rsidR="00A24325" w:rsidRPr="008C5AF6" w:rsidRDefault="00B224C6" w:rsidP="00A24325">
            <w:pPr>
              <w:spacing w:before="0"/>
              <w:ind w:left="0"/>
              <w:jc w:val="left"/>
              <w:rPr>
                <w:rFonts w:ascii="Times New Roman" w:hAnsi="Times New Roman"/>
                <w:b/>
              </w:rPr>
            </w:pPr>
            <w:r>
              <w:rPr>
                <w:rFonts w:ascii="Times New Roman" w:hAnsi="Times New Roman"/>
                <w:b/>
              </w:rPr>
              <w:t>D</w:t>
            </w:r>
          </w:p>
        </w:tc>
      </w:tr>
      <w:tr w:rsidR="00A24325" w:rsidRPr="008C5AF6" w14:paraId="2AC7FAA0" w14:textId="77777777" w:rsidTr="00835385">
        <w:trPr>
          <w:trHeight w:val="113"/>
        </w:trPr>
        <w:tc>
          <w:tcPr>
            <w:tcW w:w="410" w:type="pct"/>
            <w:shd w:val="clear" w:color="auto" w:fill="auto"/>
            <w:vAlign w:val="center"/>
            <w:hideMark/>
          </w:tcPr>
          <w:p w14:paraId="09E712CE"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PI-6</w:t>
            </w:r>
          </w:p>
        </w:tc>
        <w:tc>
          <w:tcPr>
            <w:tcW w:w="2299" w:type="pct"/>
            <w:gridSpan w:val="2"/>
            <w:shd w:val="clear" w:color="auto" w:fill="auto"/>
            <w:vAlign w:val="bottom"/>
            <w:hideMark/>
          </w:tcPr>
          <w:p w14:paraId="00C90EE7" w14:textId="77777777" w:rsidR="00A24325" w:rsidRPr="008C5AF6" w:rsidRDefault="00A24325" w:rsidP="00CE5ED9">
            <w:pPr>
              <w:spacing w:before="0"/>
              <w:ind w:left="0"/>
              <w:jc w:val="left"/>
              <w:rPr>
                <w:rFonts w:ascii="Times New Roman" w:hAnsi="Times New Roman"/>
              </w:rPr>
            </w:pPr>
            <w:r w:rsidRPr="008C5AF6">
              <w:rPr>
                <w:rFonts w:ascii="Times New Roman" w:hAnsi="Times New Roman"/>
                <w:szCs w:val="22"/>
              </w:rPr>
              <w:t>Central government operations outside financial reports</w:t>
            </w:r>
          </w:p>
        </w:tc>
        <w:tc>
          <w:tcPr>
            <w:tcW w:w="532" w:type="pct"/>
            <w:gridSpan w:val="2"/>
            <w:shd w:val="clear" w:color="auto" w:fill="auto"/>
            <w:vAlign w:val="center"/>
            <w:hideMark/>
          </w:tcPr>
          <w:p w14:paraId="3C4D71E2"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292" w:type="pct"/>
            <w:gridSpan w:val="2"/>
            <w:shd w:val="clear" w:color="auto" w:fill="auto"/>
            <w:vAlign w:val="center"/>
          </w:tcPr>
          <w:p w14:paraId="0216CD43"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3FCD4055"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293" w:type="pct"/>
            <w:tcBorders>
              <w:bottom w:val="single" w:sz="4" w:space="0" w:color="auto"/>
            </w:tcBorders>
            <w:shd w:val="clear" w:color="000000" w:fill="auto"/>
            <w:vAlign w:val="center"/>
          </w:tcPr>
          <w:p w14:paraId="4029D12D" w14:textId="77777777" w:rsidR="00A24325" w:rsidRPr="008C5AF6" w:rsidRDefault="00C36076" w:rsidP="00A24325">
            <w:pPr>
              <w:spacing w:before="0"/>
              <w:ind w:left="0"/>
              <w:rPr>
                <w:rFonts w:ascii="Times New Roman" w:hAnsi="Times New Roman"/>
              </w:rPr>
            </w:pPr>
            <w:r>
              <w:rPr>
                <w:rFonts w:ascii="Times New Roman" w:hAnsi="Times New Roman"/>
              </w:rPr>
              <w:t>C</w:t>
            </w:r>
          </w:p>
        </w:tc>
        <w:tc>
          <w:tcPr>
            <w:tcW w:w="294" w:type="pct"/>
            <w:shd w:val="clear" w:color="auto" w:fill="E7E6E6"/>
            <w:vAlign w:val="center"/>
          </w:tcPr>
          <w:p w14:paraId="1F4A8317"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0893D7BC" w14:textId="77777777" w:rsidR="00A24325" w:rsidRPr="008C5AF6" w:rsidRDefault="00B224C6" w:rsidP="00A24325">
            <w:pPr>
              <w:spacing w:before="0"/>
              <w:ind w:left="0"/>
              <w:jc w:val="left"/>
              <w:rPr>
                <w:rFonts w:ascii="Times New Roman" w:hAnsi="Times New Roman"/>
                <w:b/>
              </w:rPr>
            </w:pPr>
            <w:r>
              <w:rPr>
                <w:rFonts w:ascii="Times New Roman" w:hAnsi="Times New Roman"/>
                <w:b/>
              </w:rPr>
              <w:t>D</w:t>
            </w:r>
            <w:r w:rsidR="00C36076">
              <w:rPr>
                <w:rFonts w:ascii="Times New Roman" w:hAnsi="Times New Roman"/>
                <w:b/>
              </w:rPr>
              <w:t>+</w:t>
            </w:r>
          </w:p>
        </w:tc>
      </w:tr>
      <w:tr w:rsidR="00A24325" w:rsidRPr="008C5AF6" w14:paraId="663D082A" w14:textId="77777777" w:rsidTr="00835385">
        <w:trPr>
          <w:trHeight w:val="113"/>
        </w:trPr>
        <w:tc>
          <w:tcPr>
            <w:tcW w:w="410" w:type="pct"/>
            <w:shd w:val="clear" w:color="auto" w:fill="auto"/>
            <w:vAlign w:val="center"/>
            <w:hideMark/>
          </w:tcPr>
          <w:p w14:paraId="54E68FD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PI-7</w:t>
            </w:r>
          </w:p>
        </w:tc>
        <w:tc>
          <w:tcPr>
            <w:tcW w:w="2299" w:type="pct"/>
            <w:gridSpan w:val="2"/>
            <w:shd w:val="clear" w:color="auto" w:fill="auto"/>
            <w:vAlign w:val="bottom"/>
            <w:hideMark/>
          </w:tcPr>
          <w:p w14:paraId="2C29CC8E"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Transfers to subnational governments</w:t>
            </w:r>
          </w:p>
        </w:tc>
        <w:tc>
          <w:tcPr>
            <w:tcW w:w="532" w:type="pct"/>
            <w:gridSpan w:val="2"/>
            <w:shd w:val="clear" w:color="auto" w:fill="auto"/>
            <w:vAlign w:val="center"/>
            <w:hideMark/>
          </w:tcPr>
          <w:p w14:paraId="5A99310F"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292" w:type="pct"/>
            <w:gridSpan w:val="2"/>
            <w:shd w:val="clear" w:color="auto" w:fill="auto"/>
            <w:vAlign w:val="center"/>
          </w:tcPr>
          <w:p w14:paraId="41FC059C" w14:textId="77777777" w:rsidR="00A24325" w:rsidRPr="008C5AF6" w:rsidRDefault="00835385" w:rsidP="00A24325">
            <w:pPr>
              <w:spacing w:before="0"/>
              <w:ind w:left="0"/>
              <w:rPr>
                <w:rFonts w:ascii="Times New Roman" w:hAnsi="Times New Roman"/>
              </w:rPr>
            </w:pPr>
            <w:r>
              <w:rPr>
                <w:rFonts w:ascii="Times New Roman" w:hAnsi="Times New Roman"/>
              </w:rPr>
              <w:t>NA</w:t>
            </w:r>
          </w:p>
        </w:tc>
        <w:tc>
          <w:tcPr>
            <w:tcW w:w="293" w:type="pct"/>
            <w:shd w:val="clear" w:color="auto" w:fill="auto"/>
            <w:vAlign w:val="center"/>
          </w:tcPr>
          <w:p w14:paraId="7C70007E" w14:textId="77777777" w:rsidR="00A24325" w:rsidRPr="008C5AF6" w:rsidRDefault="00835385" w:rsidP="00A24325">
            <w:pPr>
              <w:spacing w:before="0"/>
              <w:ind w:left="0"/>
              <w:rPr>
                <w:rFonts w:ascii="Times New Roman" w:hAnsi="Times New Roman"/>
              </w:rPr>
            </w:pPr>
            <w:r>
              <w:rPr>
                <w:rFonts w:ascii="Times New Roman" w:hAnsi="Times New Roman"/>
              </w:rPr>
              <w:t>NA</w:t>
            </w:r>
          </w:p>
        </w:tc>
        <w:tc>
          <w:tcPr>
            <w:tcW w:w="293" w:type="pct"/>
            <w:tcBorders>
              <w:bottom w:val="single" w:sz="4" w:space="0" w:color="auto"/>
            </w:tcBorders>
            <w:shd w:val="clear" w:color="auto" w:fill="E7E6E6"/>
            <w:vAlign w:val="center"/>
          </w:tcPr>
          <w:p w14:paraId="6FCFE545" w14:textId="77777777" w:rsidR="00A24325" w:rsidRPr="008C5AF6" w:rsidRDefault="00A24325" w:rsidP="00A24325">
            <w:pPr>
              <w:spacing w:before="0"/>
              <w:ind w:left="0"/>
              <w:rPr>
                <w:rFonts w:ascii="Times New Roman" w:hAnsi="Times New Roman"/>
              </w:rPr>
            </w:pPr>
          </w:p>
        </w:tc>
        <w:tc>
          <w:tcPr>
            <w:tcW w:w="294" w:type="pct"/>
            <w:tcBorders>
              <w:bottom w:val="single" w:sz="4" w:space="0" w:color="auto"/>
            </w:tcBorders>
            <w:shd w:val="clear" w:color="auto" w:fill="E7E6E6"/>
            <w:vAlign w:val="center"/>
          </w:tcPr>
          <w:p w14:paraId="159B7FE1"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09859F4D" w14:textId="77777777" w:rsidR="00A24325" w:rsidRPr="008C5AF6" w:rsidRDefault="00835385" w:rsidP="00A24325">
            <w:pPr>
              <w:spacing w:before="0"/>
              <w:ind w:left="0"/>
              <w:jc w:val="left"/>
              <w:rPr>
                <w:rFonts w:ascii="Times New Roman" w:hAnsi="Times New Roman"/>
                <w:b/>
              </w:rPr>
            </w:pPr>
            <w:r>
              <w:rPr>
                <w:rFonts w:ascii="Times New Roman" w:hAnsi="Times New Roman"/>
                <w:b/>
              </w:rPr>
              <w:t>NA</w:t>
            </w:r>
          </w:p>
        </w:tc>
      </w:tr>
      <w:tr w:rsidR="00A24325" w:rsidRPr="008C5AF6" w14:paraId="35CC19CC" w14:textId="77777777" w:rsidTr="00835385">
        <w:trPr>
          <w:trHeight w:val="113"/>
        </w:trPr>
        <w:tc>
          <w:tcPr>
            <w:tcW w:w="410" w:type="pct"/>
            <w:shd w:val="clear" w:color="auto" w:fill="auto"/>
            <w:vAlign w:val="center"/>
            <w:hideMark/>
          </w:tcPr>
          <w:p w14:paraId="4E6F2021"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PI-8</w:t>
            </w:r>
          </w:p>
        </w:tc>
        <w:tc>
          <w:tcPr>
            <w:tcW w:w="2299" w:type="pct"/>
            <w:gridSpan w:val="2"/>
            <w:shd w:val="clear" w:color="auto" w:fill="auto"/>
            <w:vAlign w:val="bottom"/>
            <w:hideMark/>
          </w:tcPr>
          <w:p w14:paraId="183068E8"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Performance information for service delivery</w:t>
            </w:r>
          </w:p>
        </w:tc>
        <w:tc>
          <w:tcPr>
            <w:tcW w:w="532" w:type="pct"/>
            <w:gridSpan w:val="2"/>
            <w:shd w:val="clear" w:color="auto" w:fill="auto"/>
            <w:vAlign w:val="center"/>
            <w:hideMark/>
          </w:tcPr>
          <w:p w14:paraId="14355AB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292" w:type="pct"/>
            <w:gridSpan w:val="2"/>
            <w:shd w:val="clear" w:color="auto" w:fill="auto"/>
            <w:vAlign w:val="center"/>
          </w:tcPr>
          <w:p w14:paraId="5DE69897" w14:textId="77777777" w:rsidR="00A24325" w:rsidRPr="008C5AF6" w:rsidRDefault="00BE2557"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7278BED5" w14:textId="77777777" w:rsidR="00A24325" w:rsidRPr="008C5AF6" w:rsidRDefault="00BE2557" w:rsidP="00A24325">
            <w:pPr>
              <w:spacing w:before="0"/>
              <w:ind w:left="0"/>
              <w:rPr>
                <w:rFonts w:ascii="Times New Roman" w:hAnsi="Times New Roman"/>
              </w:rPr>
            </w:pPr>
            <w:r>
              <w:rPr>
                <w:rFonts w:ascii="Times New Roman" w:hAnsi="Times New Roman"/>
              </w:rPr>
              <w:t>C</w:t>
            </w:r>
          </w:p>
        </w:tc>
        <w:tc>
          <w:tcPr>
            <w:tcW w:w="293" w:type="pct"/>
            <w:shd w:val="clear" w:color="000000" w:fill="FFFFFF"/>
            <w:vAlign w:val="center"/>
          </w:tcPr>
          <w:p w14:paraId="1D3DD363"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294" w:type="pct"/>
            <w:shd w:val="clear" w:color="000000" w:fill="auto"/>
            <w:vAlign w:val="center"/>
          </w:tcPr>
          <w:p w14:paraId="67E346EB"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152489EE" w14:textId="77777777" w:rsidR="00A24325" w:rsidRPr="008C5AF6" w:rsidRDefault="00B224C6" w:rsidP="00A24325">
            <w:pPr>
              <w:spacing w:before="0"/>
              <w:ind w:left="0"/>
              <w:jc w:val="left"/>
              <w:rPr>
                <w:rFonts w:ascii="Times New Roman" w:hAnsi="Times New Roman"/>
                <w:b/>
              </w:rPr>
            </w:pPr>
            <w:r>
              <w:rPr>
                <w:rFonts w:ascii="Times New Roman" w:hAnsi="Times New Roman"/>
                <w:b/>
              </w:rPr>
              <w:t>D</w:t>
            </w:r>
            <w:r w:rsidR="00BE2557">
              <w:rPr>
                <w:rFonts w:ascii="Times New Roman" w:hAnsi="Times New Roman"/>
                <w:b/>
              </w:rPr>
              <w:t>+</w:t>
            </w:r>
          </w:p>
        </w:tc>
      </w:tr>
      <w:tr w:rsidR="00A24325" w:rsidRPr="008C5AF6" w14:paraId="789574FF" w14:textId="77777777" w:rsidTr="00835385">
        <w:trPr>
          <w:trHeight w:val="113"/>
        </w:trPr>
        <w:tc>
          <w:tcPr>
            <w:tcW w:w="410" w:type="pct"/>
            <w:tcBorders>
              <w:bottom w:val="single" w:sz="4" w:space="0" w:color="auto"/>
            </w:tcBorders>
            <w:shd w:val="clear" w:color="auto" w:fill="auto"/>
            <w:vAlign w:val="center"/>
            <w:hideMark/>
          </w:tcPr>
          <w:p w14:paraId="720672A2"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PI-9</w:t>
            </w:r>
          </w:p>
        </w:tc>
        <w:tc>
          <w:tcPr>
            <w:tcW w:w="2299" w:type="pct"/>
            <w:gridSpan w:val="2"/>
            <w:tcBorders>
              <w:bottom w:val="single" w:sz="4" w:space="0" w:color="auto"/>
            </w:tcBorders>
            <w:shd w:val="clear" w:color="auto" w:fill="auto"/>
            <w:vAlign w:val="bottom"/>
            <w:hideMark/>
          </w:tcPr>
          <w:p w14:paraId="7C68B4A6"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Public access to fiscal information</w:t>
            </w:r>
          </w:p>
        </w:tc>
        <w:tc>
          <w:tcPr>
            <w:tcW w:w="532" w:type="pct"/>
            <w:gridSpan w:val="2"/>
            <w:tcBorders>
              <w:bottom w:val="single" w:sz="4" w:space="0" w:color="auto"/>
            </w:tcBorders>
            <w:shd w:val="clear" w:color="auto" w:fill="auto"/>
            <w:vAlign w:val="center"/>
            <w:hideMark/>
          </w:tcPr>
          <w:p w14:paraId="57E731A0"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292" w:type="pct"/>
            <w:gridSpan w:val="2"/>
            <w:tcBorders>
              <w:bottom w:val="single" w:sz="4" w:space="0" w:color="auto"/>
            </w:tcBorders>
            <w:shd w:val="clear" w:color="auto" w:fill="auto"/>
            <w:vAlign w:val="center"/>
          </w:tcPr>
          <w:p w14:paraId="5B67A190" w14:textId="77777777" w:rsidR="00A24325" w:rsidRPr="008C5AF6" w:rsidRDefault="00B224C6" w:rsidP="00A24325">
            <w:pPr>
              <w:spacing w:before="0"/>
              <w:ind w:left="0"/>
              <w:rPr>
                <w:rFonts w:ascii="Times New Roman" w:hAnsi="Times New Roman"/>
              </w:rPr>
            </w:pPr>
            <w:r>
              <w:rPr>
                <w:rFonts w:ascii="Times New Roman" w:hAnsi="Times New Roman"/>
              </w:rPr>
              <w:t>D</w:t>
            </w:r>
          </w:p>
        </w:tc>
        <w:tc>
          <w:tcPr>
            <w:tcW w:w="293" w:type="pct"/>
            <w:tcBorders>
              <w:bottom w:val="single" w:sz="4" w:space="0" w:color="auto"/>
            </w:tcBorders>
            <w:shd w:val="clear" w:color="auto" w:fill="E7E6E6"/>
            <w:vAlign w:val="center"/>
          </w:tcPr>
          <w:p w14:paraId="31ADF45E" w14:textId="77777777" w:rsidR="00A24325" w:rsidRPr="008C5AF6" w:rsidRDefault="00A24325" w:rsidP="00A24325">
            <w:pPr>
              <w:spacing w:before="0"/>
              <w:ind w:left="0"/>
              <w:rPr>
                <w:rFonts w:ascii="Times New Roman" w:hAnsi="Times New Roman"/>
              </w:rPr>
            </w:pPr>
          </w:p>
        </w:tc>
        <w:tc>
          <w:tcPr>
            <w:tcW w:w="293" w:type="pct"/>
            <w:tcBorders>
              <w:bottom w:val="single" w:sz="4" w:space="0" w:color="auto"/>
            </w:tcBorders>
            <w:shd w:val="clear" w:color="auto" w:fill="E7E6E6"/>
            <w:vAlign w:val="center"/>
          </w:tcPr>
          <w:p w14:paraId="798498EE" w14:textId="77777777" w:rsidR="00A24325" w:rsidRPr="008C5AF6" w:rsidRDefault="00A24325" w:rsidP="00A24325">
            <w:pPr>
              <w:spacing w:before="0"/>
              <w:ind w:left="0"/>
              <w:rPr>
                <w:rFonts w:ascii="Times New Roman" w:hAnsi="Times New Roman"/>
              </w:rPr>
            </w:pPr>
          </w:p>
        </w:tc>
        <w:tc>
          <w:tcPr>
            <w:tcW w:w="294" w:type="pct"/>
            <w:tcBorders>
              <w:bottom w:val="single" w:sz="4" w:space="0" w:color="auto"/>
            </w:tcBorders>
            <w:shd w:val="clear" w:color="auto" w:fill="E7E6E6"/>
            <w:vAlign w:val="center"/>
          </w:tcPr>
          <w:p w14:paraId="6EEBDA0B" w14:textId="77777777" w:rsidR="00A24325" w:rsidRPr="008C5AF6" w:rsidRDefault="00A24325" w:rsidP="00A24325">
            <w:pPr>
              <w:spacing w:before="0"/>
              <w:ind w:left="0"/>
              <w:rPr>
                <w:rFonts w:ascii="Times New Roman" w:hAnsi="Times New Roman"/>
              </w:rPr>
            </w:pPr>
          </w:p>
        </w:tc>
        <w:tc>
          <w:tcPr>
            <w:tcW w:w="586" w:type="pct"/>
            <w:tcBorders>
              <w:bottom w:val="single" w:sz="4" w:space="0" w:color="auto"/>
            </w:tcBorders>
            <w:shd w:val="clear" w:color="auto" w:fill="auto"/>
            <w:vAlign w:val="center"/>
          </w:tcPr>
          <w:p w14:paraId="6918D44D" w14:textId="77777777" w:rsidR="00A24325" w:rsidRPr="008C5AF6" w:rsidRDefault="00B224C6" w:rsidP="00A24325">
            <w:pPr>
              <w:spacing w:before="0"/>
              <w:ind w:left="0"/>
              <w:jc w:val="left"/>
              <w:rPr>
                <w:rFonts w:ascii="Times New Roman" w:hAnsi="Times New Roman"/>
                <w:b/>
              </w:rPr>
            </w:pPr>
            <w:r>
              <w:rPr>
                <w:rFonts w:ascii="Times New Roman" w:hAnsi="Times New Roman"/>
                <w:b/>
              </w:rPr>
              <w:t>D</w:t>
            </w:r>
          </w:p>
        </w:tc>
      </w:tr>
      <w:tr w:rsidR="00A24325" w:rsidRPr="008C5AF6" w14:paraId="7F1FA616" w14:textId="77777777" w:rsidTr="00835385">
        <w:trPr>
          <w:trHeight w:val="113"/>
        </w:trPr>
        <w:tc>
          <w:tcPr>
            <w:tcW w:w="410" w:type="pct"/>
            <w:shd w:val="clear" w:color="auto" w:fill="FAB416"/>
            <w:vAlign w:val="bottom"/>
          </w:tcPr>
          <w:p w14:paraId="18B6517A" w14:textId="77777777" w:rsidR="00A24325" w:rsidRPr="008C5AF6" w:rsidRDefault="00A24325" w:rsidP="00A24325">
            <w:pPr>
              <w:spacing w:before="0"/>
              <w:ind w:left="0"/>
              <w:rPr>
                <w:rFonts w:ascii="Times New Roman" w:hAnsi="Times New Roman"/>
                <w:b/>
                <w:bCs/>
              </w:rPr>
            </w:pPr>
          </w:p>
        </w:tc>
        <w:tc>
          <w:tcPr>
            <w:tcW w:w="4590" w:type="pct"/>
            <w:gridSpan w:val="10"/>
            <w:shd w:val="clear" w:color="auto" w:fill="FAB416"/>
            <w:vAlign w:val="bottom"/>
          </w:tcPr>
          <w:p w14:paraId="25606C18" w14:textId="77777777" w:rsidR="00A24325" w:rsidRPr="006C4C00" w:rsidRDefault="00A24325" w:rsidP="00A24325">
            <w:pPr>
              <w:spacing w:before="0"/>
              <w:ind w:left="0"/>
              <w:jc w:val="left"/>
              <w:rPr>
                <w:rFonts w:ascii="Times New Roman" w:hAnsi="Times New Roman"/>
                <w:b/>
                <w:bCs/>
              </w:rPr>
            </w:pPr>
            <w:r w:rsidRPr="006C4C00">
              <w:rPr>
                <w:rFonts w:ascii="Times New Roman" w:hAnsi="Times New Roman"/>
                <w:b/>
                <w:bCs/>
                <w:szCs w:val="22"/>
              </w:rPr>
              <w:t>III. Management of assets and liabilities</w:t>
            </w:r>
          </w:p>
        </w:tc>
      </w:tr>
      <w:tr w:rsidR="00A24325" w:rsidRPr="008C5AF6" w14:paraId="44BFA3DB" w14:textId="77777777" w:rsidTr="00835385">
        <w:trPr>
          <w:trHeight w:val="113"/>
        </w:trPr>
        <w:tc>
          <w:tcPr>
            <w:tcW w:w="410" w:type="pct"/>
            <w:shd w:val="clear" w:color="auto" w:fill="auto"/>
            <w:vAlign w:val="center"/>
            <w:hideMark/>
          </w:tcPr>
          <w:p w14:paraId="7C33A43B"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PI-10</w:t>
            </w:r>
          </w:p>
        </w:tc>
        <w:tc>
          <w:tcPr>
            <w:tcW w:w="2299" w:type="pct"/>
            <w:gridSpan w:val="2"/>
            <w:shd w:val="clear" w:color="auto" w:fill="auto"/>
            <w:vAlign w:val="bottom"/>
          </w:tcPr>
          <w:p w14:paraId="64307094" w14:textId="77777777" w:rsidR="00A24325" w:rsidRPr="006C4C00" w:rsidRDefault="00A24325" w:rsidP="00A24325">
            <w:pPr>
              <w:spacing w:before="0"/>
              <w:ind w:left="0"/>
              <w:rPr>
                <w:rFonts w:ascii="Times New Roman" w:hAnsi="Times New Roman"/>
              </w:rPr>
            </w:pPr>
            <w:r w:rsidRPr="006C4C00">
              <w:rPr>
                <w:rFonts w:ascii="Times New Roman" w:hAnsi="Times New Roman"/>
                <w:szCs w:val="22"/>
              </w:rPr>
              <w:t>Fiscal risk reporting.</w:t>
            </w:r>
          </w:p>
        </w:tc>
        <w:tc>
          <w:tcPr>
            <w:tcW w:w="479" w:type="pct"/>
            <w:shd w:val="clear" w:color="auto" w:fill="auto"/>
            <w:vAlign w:val="center"/>
            <w:hideMark/>
          </w:tcPr>
          <w:p w14:paraId="315BD56D" w14:textId="77777777" w:rsidR="00A24325" w:rsidRPr="00C35ACC" w:rsidRDefault="00A24325" w:rsidP="00A24325">
            <w:pPr>
              <w:spacing w:before="0"/>
              <w:ind w:left="0"/>
              <w:rPr>
                <w:rFonts w:ascii="Times New Roman" w:hAnsi="Times New Roman"/>
              </w:rPr>
            </w:pPr>
            <w:r w:rsidRPr="00C35ACC">
              <w:rPr>
                <w:rFonts w:ascii="Times New Roman" w:hAnsi="Times New Roman"/>
                <w:szCs w:val="22"/>
              </w:rPr>
              <w:t>M2</w:t>
            </w:r>
          </w:p>
        </w:tc>
        <w:tc>
          <w:tcPr>
            <w:tcW w:w="345" w:type="pct"/>
            <w:gridSpan w:val="3"/>
            <w:shd w:val="clear" w:color="auto" w:fill="auto"/>
            <w:vAlign w:val="center"/>
          </w:tcPr>
          <w:p w14:paraId="2B179383" w14:textId="54F11401" w:rsidR="00A24325" w:rsidRPr="00D81E73" w:rsidRDefault="001747C3" w:rsidP="00A24325">
            <w:pPr>
              <w:spacing w:before="0"/>
              <w:ind w:left="0"/>
              <w:rPr>
                <w:rFonts w:ascii="Times New Roman" w:hAnsi="Times New Roman"/>
              </w:rPr>
            </w:pPr>
            <w:r w:rsidRPr="00D81E73">
              <w:rPr>
                <w:rFonts w:ascii="Times New Roman" w:hAnsi="Times New Roman"/>
              </w:rPr>
              <w:t>D</w:t>
            </w:r>
          </w:p>
        </w:tc>
        <w:tc>
          <w:tcPr>
            <w:tcW w:w="293" w:type="pct"/>
            <w:shd w:val="clear" w:color="auto" w:fill="auto"/>
            <w:vAlign w:val="center"/>
          </w:tcPr>
          <w:p w14:paraId="4282C50F" w14:textId="77777777" w:rsidR="00A24325" w:rsidRPr="006C4C00" w:rsidRDefault="00BE2557" w:rsidP="00A24325">
            <w:pPr>
              <w:spacing w:before="0"/>
              <w:ind w:left="0"/>
              <w:rPr>
                <w:rFonts w:ascii="Times New Roman" w:hAnsi="Times New Roman"/>
              </w:rPr>
            </w:pPr>
            <w:r w:rsidRPr="006C4C00">
              <w:rPr>
                <w:rFonts w:ascii="Times New Roman" w:hAnsi="Times New Roman"/>
              </w:rPr>
              <w:t>NA</w:t>
            </w:r>
          </w:p>
        </w:tc>
        <w:tc>
          <w:tcPr>
            <w:tcW w:w="293" w:type="pct"/>
            <w:shd w:val="clear" w:color="000000" w:fill="FFFFFF"/>
            <w:vAlign w:val="center"/>
          </w:tcPr>
          <w:p w14:paraId="2DCE9A54" w14:textId="77777777" w:rsidR="00A24325" w:rsidRPr="006C4C00" w:rsidRDefault="00C33509" w:rsidP="00A24325">
            <w:pPr>
              <w:spacing w:before="0"/>
              <w:ind w:left="0"/>
              <w:rPr>
                <w:rFonts w:ascii="Times New Roman" w:hAnsi="Times New Roman"/>
              </w:rPr>
            </w:pPr>
            <w:r w:rsidRPr="006C4C00">
              <w:rPr>
                <w:rFonts w:ascii="Times New Roman" w:hAnsi="Times New Roman"/>
              </w:rPr>
              <w:t>D</w:t>
            </w:r>
          </w:p>
        </w:tc>
        <w:tc>
          <w:tcPr>
            <w:tcW w:w="294" w:type="pct"/>
            <w:tcBorders>
              <w:bottom w:val="single" w:sz="4" w:space="0" w:color="auto"/>
            </w:tcBorders>
            <w:shd w:val="clear" w:color="auto" w:fill="E7E6E6"/>
            <w:vAlign w:val="center"/>
          </w:tcPr>
          <w:p w14:paraId="6A036619" w14:textId="77777777" w:rsidR="00A24325" w:rsidRPr="006C4C00" w:rsidRDefault="00A24325" w:rsidP="00A24325">
            <w:pPr>
              <w:spacing w:before="0"/>
              <w:ind w:left="0"/>
              <w:rPr>
                <w:rFonts w:ascii="Times New Roman" w:hAnsi="Times New Roman"/>
              </w:rPr>
            </w:pPr>
          </w:p>
        </w:tc>
        <w:tc>
          <w:tcPr>
            <w:tcW w:w="586" w:type="pct"/>
            <w:shd w:val="clear" w:color="auto" w:fill="auto"/>
            <w:vAlign w:val="center"/>
          </w:tcPr>
          <w:p w14:paraId="1F70C844" w14:textId="3F993CC9" w:rsidR="00A24325" w:rsidRPr="006C4C00" w:rsidRDefault="00C33509" w:rsidP="00A24325">
            <w:pPr>
              <w:spacing w:before="0"/>
              <w:ind w:left="0"/>
              <w:jc w:val="left"/>
              <w:rPr>
                <w:rFonts w:ascii="Times New Roman" w:hAnsi="Times New Roman"/>
                <w:b/>
              </w:rPr>
            </w:pPr>
            <w:r w:rsidRPr="006C4C00">
              <w:rPr>
                <w:rFonts w:ascii="Times New Roman" w:hAnsi="Times New Roman"/>
                <w:b/>
              </w:rPr>
              <w:t>D</w:t>
            </w:r>
          </w:p>
        </w:tc>
      </w:tr>
      <w:tr w:rsidR="00A24325" w:rsidRPr="008C5AF6" w14:paraId="2CFEC9DB" w14:textId="77777777" w:rsidTr="00835385">
        <w:trPr>
          <w:trHeight w:val="113"/>
        </w:trPr>
        <w:tc>
          <w:tcPr>
            <w:tcW w:w="410" w:type="pct"/>
            <w:shd w:val="clear" w:color="auto" w:fill="auto"/>
            <w:vAlign w:val="center"/>
            <w:hideMark/>
          </w:tcPr>
          <w:p w14:paraId="06FDE985"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PI-11</w:t>
            </w:r>
          </w:p>
        </w:tc>
        <w:tc>
          <w:tcPr>
            <w:tcW w:w="2299" w:type="pct"/>
            <w:gridSpan w:val="2"/>
            <w:shd w:val="clear" w:color="auto" w:fill="auto"/>
            <w:vAlign w:val="bottom"/>
          </w:tcPr>
          <w:p w14:paraId="55F44871"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Public investment management</w:t>
            </w:r>
          </w:p>
        </w:tc>
        <w:tc>
          <w:tcPr>
            <w:tcW w:w="479" w:type="pct"/>
            <w:shd w:val="clear" w:color="auto" w:fill="auto"/>
            <w:vAlign w:val="center"/>
            <w:hideMark/>
          </w:tcPr>
          <w:p w14:paraId="178BE89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6D661ADA"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01211A08"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tcBorders>
              <w:bottom w:val="single" w:sz="4" w:space="0" w:color="auto"/>
            </w:tcBorders>
            <w:shd w:val="clear" w:color="auto" w:fill="auto"/>
            <w:vAlign w:val="center"/>
          </w:tcPr>
          <w:p w14:paraId="6DF049B2"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shd w:val="clear" w:color="000000" w:fill="auto"/>
            <w:vAlign w:val="center"/>
          </w:tcPr>
          <w:p w14:paraId="364812A0" w14:textId="77777777" w:rsidR="00A24325" w:rsidRPr="008C5AF6" w:rsidRDefault="00C33509" w:rsidP="00A24325">
            <w:pPr>
              <w:spacing w:before="0"/>
              <w:ind w:left="0"/>
              <w:rPr>
                <w:rFonts w:ascii="Times New Roman" w:hAnsi="Times New Roman"/>
              </w:rPr>
            </w:pPr>
            <w:r>
              <w:rPr>
                <w:rFonts w:ascii="Times New Roman" w:hAnsi="Times New Roman"/>
              </w:rPr>
              <w:t>D</w:t>
            </w:r>
            <w:r w:rsidR="00CC194B">
              <w:rPr>
                <w:rFonts w:ascii="Times New Roman" w:hAnsi="Times New Roman"/>
              </w:rPr>
              <w:t>*</w:t>
            </w:r>
          </w:p>
        </w:tc>
        <w:tc>
          <w:tcPr>
            <w:tcW w:w="586" w:type="pct"/>
            <w:shd w:val="clear" w:color="auto" w:fill="auto"/>
            <w:vAlign w:val="center"/>
          </w:tcPr>
          <w:p w14:paraId="05FF44CB"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6C882340" w14:textId="77777777" w:rsidTr="00835385">
        <w:trPr>
          <w:trHeight w:val="113"/>
        </w:trPr>
        <w:tc>
          <w:tcPr>
            <w:tcW w:w="410" w:type="pct"/>
            <w:shd w:val="clear" w:color="auto" w:fill="auto"/>
            <w:vAlign w:val="center"/>
            <w:hideMark/>
          </w:tcPr>
          <w:p w14:paraId="4592B38B"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PI-12</w:t>
            </w:r>
          </w:p>
        </w:tc>
        <w:tc>
          <w:tcPr>
            <w:tcW w:w="2299" w:type="pct"/>
            <w:gridSpan w:val="2"/>
            <w:shd w:val="clear" w:color="auto" w:fill="auto"/>
            <w:vAlign w:val="bottom"/>
          </w:tcPr>
          <w:p w14:paraId="27FEC54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Public asset management</w:t>
            </w:r>
          </w:p>
        </w:tc>
        <w:tc>
          <w:tcPr>
            <w:tcW w:w="479" w:type="pct"/>
            <w:shd w:val="clear" w:color="auto" w:fill="auto"/>
            <w:vAlign w:val="center"/>
            <w:hideMark/>
          </w:tcPr>
          <w:p w14:paraId="73E3BA5D"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0271861D"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tcBorders>
              <w:bottom w:val="single" w:sz="4" w:space="0" w:color="auto"/>
            </w:tcBorders>
            <w:shd w:val="clear" w:color="auto" w:fill="auto"/>
            <w:vAlign w:val="center"/>
          </w:tcPr>
          <w:p w14:paraId="5832B19E" w14:textId="77777777" w:rsidR="00A24325" w:rsidRPr="008C5AF6" w:rsidRDefault="00F341F2" w:rsidP="00A24325">
            <w:pPr>
              <w:spacing w:before="0"/>
              <w:ind w:left="0"/>
              <w:rPr>
                <w:rFonts w:ascii="Times New Roman" w:hAnsi="Times New Roman"/>
              </w:rPr>
            </w:pPr>
            <w:r>
              <w:rPr>
                <w:rFonts w:ascii="Times New Roman" w:hAnsi="Times New Roman"/>
              </w:rPr>
              <w:t>D</w:t>
            </w:r>
          </w:p>
        </w:tc>
        <w:tc>
          <w:tcPr>
            <w:tcW w:w="293" w:type="pct"/>
            <w:tcBorders>
              <w:bottom w:val="single" w:sz="4" w:space="0" w:color="auto"/>
            </w:tcBorders>
            <w:shd w:val="clear" w:color="000000" w:fill="FFFFFF"/>
            <w:vAlign w:val="center"/>
          </w:tcPr>
          <w:p w14:paraId="2BD4E540" w14:textId="77777777" w:rsidR="00A24325" w:rsidRPr="008C5AF6" w:rsidRDefault="00F341F2" w:rsidP="00A24325">
            <w:pPr>
              <w:spacing w:before="0"/>
              <w:ind w:left="0"/>
              <w:rPr>
                <w:rFonts w:ascii="Times New Roman" w:hAnsi="Times New Roman"/>
              </w:rPr>
            </w:pPr>
            <w:r>
              <w:rPr>
                <w:rFonts w:ascii="Times New Roman" w:hAnsi="Times New Roman"/>
              </w:rPr>
              <w:t>D</w:t>
            </w:r>
          </w:p>
        </w:tc>
        <w:tc>
          <w:tcPr>
            <w:tcW w:w="294" w:type="pct"/>
            <w:tcBorders>
              <w:bottom w:val="single" w:sz="4" w:space="0" w:color="auto"/>
            </w:tcBorders>
            <w:shd w:val="clear" w:color="auto" w:fill="E7E6E6"/>
            <w:vAlign w:val="center"/>
          </w:tcPr>
          <w:p w14:paraId="216B937B"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705973F"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033781BC" w14:textId="77777777" w:rsidTr="00835385">
        <w:trPr>
          <w:trHeight w:val="113"/>
        </w:trPr>
        <w:tc>
          <w:tcPr>
            <w:tcW w:w="410" w:type="pct"/>
            <w:shd w:val="clear" w:color="auto" w:fill="auto"/>
            <w:vAlign w:val="center"/>
            <w:hideMark/>
          </w:tcPr>
          <w:p w14:paraId="3DBD468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PI-13</w:t>
            </w:r>
          </w:p>
        </w:tc>
        <w:tc>
          <w:tcPr>
            <w:tcW w:w="2299" w:type="pct"/>
            <w:gridSpan w:val="2"/>
            <w:shd w:val="clear" w:color="auto" w:fill="auto"/>
            <w:vAlign w:val="bottom"/>
          </w:tcPr>
          <w:p w14:paraId="2146D799"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 xml:space="preserve">Debt management </w:t>
            </w:r>
          </w:p>
        </w:tc>
        <w:tc>
          <w:tcPr>
            <w:tcW w:w="479" w:type="pct"/>
            <w:shd w:val="clear" w:color="auto" w:fill="auto"/>
            <w:vAlign w:val="center"/>
            <w:hideMark/>
          </w:tcPr>
          <w:p w14:paraId="35C9D16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1A739844"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000000" w:fill="FFFFFF"/>
            <w:vAlign w:val="center"/>
          </w:tcPr>
          <w:p w14:paraId="5FA52A7D" w14:textId="77777777" w:rsidR="00A24325" w:rsidRPr="008C5AF6" w:rsidRDefault="00255C63" w:rsidP="00A24325">
            <w:pPr>
              <w:spacing w:before="0"/>
              <w:ind w:left="0"/>
              <w:rPr>
                <w:rFonts w:ascii="Times New Roman" w:hAnsi="Times New Roman"/>
              </w:rPr>
            </w:pPr>
            <w:r>
              <w:rPr>
                <w:rFonts w:ascii="Times New Roman" w:hAnsi="Times New Roman"/>
              </w:rPr>
              <w:t>D</w:t>
            </w:r>
          </w:p>
        </w:tc>
        <w:tc>
          <w:tcPr>
            <w:tcW w:w="293" w:type="pct"/>
            <w:shd w:val="clear" w:color="000000" w:fill="FFFFFF"/>
            <w:vAlign w:val="center"/>
          </w:tcPr>
          <w:p w14:paraId="5E5BE9AE" w14:textId="77777777" w:rsidR="00A24325" w:rsidRPr="008C5AF6" w:rsidRDefault="00255C63" w:rsidP="00A24325">
            <w:pPr>
              <w:spacing w:before="0"/>
              <w:ind w:left="0"/>
              <w:rPr>
                <w:rFonts w:ascii="Times New Roman" w:hAnsi="Times New Roman"/>
              </w:rPr>
            </w:pPr>
            <w:r>
              <w:rPr>
                <w:rFonts w:ascii="Times New Roman" w:hAnsi="Times New Roman"/>
              </w:rPr>
              <w:t>D</w:t>
            </w:r>
          </w:p>
        </w:tc>
        <w:tc>
          <w:tcPr>
            <w:tcW w:w="294" w:type="pct"/>
            <w:shd w:val="clear" w:color="auto" w:fill="E7E6E6"/>
            <w:vAlign w:val="center"/>
          </w:tcPr>
          <w:p w14:paraId="0720A41D"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0A448F3B"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1BDFCA7D" w14:textId="77777777" w:rsidTr="00835385">
        <w:trPr>
          <w:trHeight w:val="113"/>
        </w:trPr>
        <w:tc>
          <w:tcPr>
            <w:tcW w:w="424" w:type="pct"/>
            <w:gridSpan w:val="2"/>
            <w:shd w:val="clear" w:color="auto" w:fill="F16423"/>
            <w:vAlign w:val="bottom"/>
          </w:tcPr>
          <w:p w14:paraId="0378BEBA" w14:textId="77777777" w:rsidR="00A24325" w:rsidRPr="008C5AF6" w:rsidRDefault="00A24325" w:rsidP="00A24325">
            <w:pPr>
              <w:spacing w:before="0"/>
              <w:ind w:left="0"/>
              <w:rPr>
                <w:rFonts w:ascii="Times New Roman" w:hAnsi="Times New Roman"/>
                <w:b/>
                <w:bCs/>
              </w:rPr>
            </w:pPr>
          </w:p>
        </w:tc>
        <w:tc>
          <w:tcPr>
            <w:tcW w:w="4576" w:type="pct"/>
            <w:gridSpan w:val="9"/>
            <w:shd w:val="clear" w:color="auto" w:fill="F16423"/>
            <w:vAlign w:val="bottom"/>
          </w:tcPr>
          <w:p w14:paraId="4A39863E"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IV. Policy-based fiscal strategy and budgeting</w:t>
            </w:r>
          </w:p>
        </w:tc>
      </w:tr>
      <w:tr w:rsidR="00A24325" w:rsidRPr="008C5AF6" w14:paraId="69AF5957" w14:textId="77777777" w:rsidTr="00835385">
        <w:trPr>
          <w:trHeight w:val="113"/>
        </w:trPr>
        <w:tc>
          <w:tcPr>
            <w:tcW w:w="410" w:type="pct"/>
            <w:shd w:val="clear" w:color="auto" w:fill="auto"/>
            <w:vAlign w:val="center"/>
            <w:hideMark/>
          </w:tcPr>
          <w:p w14:paraId="7367DD05"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PI-14</w:t>
            </w:r>
          </w:p>
        </w:tc>
        <w:tc>
          <w:tcPr>
            <w:tcW w:w="2299" w:type="pct"/>
            <w:gridSpan w:val="2"/>
            <w:shd w:val="clear" w:color="auto" w:fill="auto"/>
            <w:vAlign w:val="bottom"/>
            <w:hideMark/>
          </w:tcPr>
          <w:p w14:paraId="7297112F"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Macroeconomic and fiscal forecasting</w:t>
            </w:r>
          </w:p>
        </w:tc>
        <w:tc>
          <w:tcPr>
            <w:tcW w:w="479" w:type="pct"/>
            <w:shd w:val="clear" w:color="auto" w:fill="auto"/>
            <w:vAlign w:val="center"/>
            <w:hideMark/>
          </w:tcPr>
          <w:p w14:paraId="287B2865"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17C968F6" w14:textId="77777777" w:rsidR="00A24325" w:rsidRPr="008C5AF6" w:rsidRDefault="00EC4385"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24CC56AC" w14:textId="77777777" w:rsidR="00A24325" w:rsidRPr="008C5AF6" w:rsidRDefault="00EC4385"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4E25CBE4"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shd w:val="clear" w:color="auto" w:fill="E7E6E6"/>
            <w:vAlign w:val="center"/>
          </w:tcPr>
          <w:p w14:paraId="1B0BC7A4" w14:textId="77777777" w:rsidR="00A24325" w:rsidRPr="008C5AF6" w:rsidRDefault="00A24325" w:rsidP="00A24325">
            <w:pPr>
              <w:spacing w:before="0"/>
              <w:ind w:left="0"/>
              <w:rPr>
                <w:rFonts w:ascii="Times New Roman" w:hAnsi="Times New Roman"/>
                <w:color w:val="548DD4" w:themeColor="text2" w:themeTint="99"/>
              </w:rPr>
            </w:pPr>
          </w:p>
        </w:tc>
        <w:tc>
          <w:tcPr>
            <w:tcW w:w="586" w:type="pct"/>
            <w:shd w:val="clear" w:color="auto" w:fill="auto"/>
            <w:vAlign w:val="center"/>
          </w:tcPr>
          <w:p w14:paraId="2DF6A1F1"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5E0CB466" w14:textId="77777777" w:rsidTr="00835385">
        <w:trPr>
          <w:trHeight w:val="113"/>
        </w:trPr>
        <w:tc>
          <w:tcPr>
            <w:tcW w:w="410" w:type="pct"/>
            <w:shd w:val="clear" w:color="auto" w:fill="auto"/>
            <w:vAlign w:val="center"/>
            <w:hideMark/>
          </w:tcPr>
          <w:p w14:paraId="070340B1"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PI-15</w:t>
            </w:r>
          </w:p>
        </w:tc>
        <w:tc>
          <w:tcPr>
            <w:tcW w:w="2299" w:type="pct"/>
            <w:gridSpan w:val="2"/>
            <w:shd w:val="clear" w:color="auto" w:fill="auto"/>
            <w:vAlign w:val="bottom"/>
            <w:hideMark/>
          </w:tcPr>
          <w:p w14:paraId="22D570DD"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Fiscal strategy</w:t>
            </w:r>
          </w:p>
        </w:tc>
        <w:tc>
          <w:tcPr>
            <w:tcW w:w="479" w:type="pct"/>
            <w:shd w:val="clear" w:color="auto" w:fill="auto"/>
            <w:vAlign w:val="center"/>
            <w:hideMark/>
          </w:tcPr>
          <w:p w14:paraId="7157885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4616DC22"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7607CC81"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243D6DFF"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tcBorders>
              <w:bottom w:val="single" w:sz="4" w:space="0" w:color="auto"/>
            </w:tcBorders>
            <w:shd w:val="clear" w:color="auto" w:fill="E7E6E6"/>
            <w:vAlign w:val="center"/>
          </w:tcPr>
          <w:p w14:paraId="63B1904C" w14:textId="77777777" w:rsidR="00A24325" w:rsidRPr="008C5AF6" w:rsidRDefault="00A24325" w:rsidP="00A24325">
            <w:pPr>
              <w:spacing w:before="0"/>
              <w:ind w:left="0"/>
              <w:rPr>
                <w:rFonts w:ascii="Times New Roman" w:hAnsi="Times New Roman"/>
                <w:color w:val="548DD4" w:themeColor="text2" w:themeTint="99"/>
              </w:rPr>
            </w:pPr>
          </w:p>
        </w:tc>
        <w:tc>
          <w:tcPr>
            <w:tcW w:w="586" w:type="pct"/>
            <w:shd w:val="clear" w:color="auto" w:fill="auto"/>
            <w:vAlign w:val="center"/>
          </w:tcPr>
          <w:p w14:paraId="2DF9AA72"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0D2A0562" w14:textId="77777777" w:rsidTr="00835385">
        <w:trPr>
          <w:trHeight w:val="113"/>
        </w:trPr>
        <w:tc>
          <w:tcPr>
            <w:tcW w:w="410" w:type="pct"/>
            <w:shd w:val="clear" w:color="auto" w:fill="auto"/>
            <w:vAlign w:val="center"/>
          </w:tcPr>
          <w:p w14:paraId="287196DB"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PI-16</w:t>
            </w:r>
          </w:p>
        </w:tc>
        <w:tc>
          <w:tcPr>
            <w:tcW w:w="2299" w:type="pct"/>
            <w:gridSpan w:val="2"/>
            <w:shd w:val="clear" w:color="auto" w:fill="auto"/>
            <w:vAlign w:val="bottom"/>
          </w:tcPr>
          <w:p w14:paraId="28B51552" w14:textId="77777777" w:rsidR="00A24325" w:rsidRPr="008C5AF6" w:rsidRDefault="00A24325" w:rsidP="00CE5ED9">
            <w:pPr>
              <w:spacing w:before="0"/>
              <w:ind w:left="0"/>
              <w:jc w:val="left"/>
              <w:rPr>
                <w:rFonts w:ascii="Times New Roman" w:hAnsi="Times New Roman"/>
              </w:rPr>
            </w:pPr>
            <w:r w:rsidRPr="008C5AF6">
              <w:rPr>
                <w:rFonts w:ascii="Times New Roman" w:hAnsi="Times New Roman"/>
                <w:szCs w:val="22"/>
              </w:rPr>
              <w:t>Medium-term Perspective in expenditure Budgeting</w:t>
            </w:r>
          </w:p>
        </w:tc>
        <w:tc>
          <w:tcPr>
            <w:tcW w:w="479" w:type="pct"/>
            <w:shd w:val="clear" w:color="auto" w:fill="auto"/>
            <w:vAlign w:val="center"/>
          </w:tcPr>
          <w:p w14:paraId="45FFA26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7B058142" w14:textId="77777777" w:rsidR="00A24325" w:rsidRPr="008C5AF6" w:rsidRDefault="00F15491"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1D3CC441"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3F41AE15"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tcBorders>
              <w:bottom w:val="single" w:sz="4" w:space="0" w:color="auto"/>
            </w:tcBorders>
            <w:shd w:val="clear" w:color="auto" w:fill="auto"/>
            <w:vAlign w:val="center"/>
          </w:tcPr>
          <w:p w14:paraId="55C02582"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476BC9D0"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r w:rsidR="00F15491">
              <w:rPr>
                <w:rFonts w:ascii="Times New Roman" w:hAnsi="Times New Roman"/>
                <w:b/>
              </w:rPr>
              <w:t>+</w:t>
            </w:r>
          </w:p>
        </w:tc>
      </w:tr>
      <w:tr w:rsidR="00A24325" w:rsidRPr="008C5AF6" w14:paraId="5DF90D1D" w14:textId="77777777" w:rsidTr="00835385">
        <w:trPr>
          <w:trHeight w:val="113"/>
        </w:trPr>
        <w:tc>
          <w:tcPr>
            <w:tcW w:w="410" w:type="pct"/>
            <w:shd w:val="clear" w:color="auto" w:fill="auto"/>
            <w:vAlign w:val="center"/>
          </w:tcPr>
          <w:p w14:paraId="201D4BC2"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PI-17</w:t>
            </w:r>
          </w:p>
        </w:tc>
        <w:tc>
          <w:tcPr>
            <w:tcW w:w="2299" w:type="pct"/>
            <w:gridSpan w:val="2"/>
            <w:shd w:val="clear" w:color="auto" w:fill="auto"/>
            <w:vAlign w:val="bottom"/>
          </w:tcPr>
          <w:p w14:paraId="1EF00C1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Budget preparation process</w:t>
            </w:r>
          </w:p>
        </w:tc>
        <w:tc>
          <w:tcPr>
            <w:tcW w:w="479" w:type="pct"/>
            <w:shd w:val="clear" w:color="auto" w:fill="auto"/>
            <w:vAlign w:val="center"/>
          </w:tcPr>
          <w:p w14:paraId="7A0BEA06"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361DE011"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3329B7A1"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627671F4" w14:textId="77777777" w:rsidR="00A24325" w:rsidRPr="008C5AF6" w:rsidRDefault="00C33509" w:rsidP="00A24325">
            <w:pPr>
              <w:spacing w:before="0"/>
              <w:ind w:left="0"/>
              <w:rPr>
                <w:rFonts w:ascii="Times New Roman" w:hAnsi="Times New Roman"/>
              </w:rPr>
            </w:pPr>
            <w:r>
              <w:rPr>
                <w:rFonts w:ascii="Times New Roman" w:hAnsi="Times New Roman"/>
              </w:rPr>
              <w:t>A</w:t>
            </w:r>
          </w:p>
        </w:tc>
        <w:tc>
          <w:tcPr>
            <w:tcW w:w="294" w:type="pct"/>
            <w:shd w:val="clear" w:color="auto" w:fill="E7E6E6"/>
            <w:vAlign w:val="center"/>
          </w:tcPr>
          <w:p w14:paraId="74FE8F01"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64C112BF" w14:textId="77777777" w:rsidR="00A24325" w:rsidRPr="008C5AF6" w:rsidRDefault="00C33509" w:rsidP="00A24325">
            <w:pPr>
              <w:spacing w:before="0"/>
              <w:ind w:left="0"/>
              <w:jc w:val="left"/>
              <w:rPr>
                <w:rFonts w:ascii="Times New Roman" w:hAnsi="Times New Roman"/>
                <w:b/>
              </w:rPr>
            </w:pPr>
            <w:r>
              <w:rPr>
                <w:rFonts w:ascii="Times New Roman" w:hAnsi="Times New Roman"/>
                <w:b/>
              </w:rPr>
              <w:t>C+</w:t>
            </w:r>
          </w:p>
        </w:tc>
      </w:tr>
      <w:tr w:rsidR="00A24325" w:rsidRPr="008C5AF6" w14:paraId="4F3930A5" w14:textId="77777777" w:rsidTr="00835385">
        <w:trPr>
          <w:trHeight w:val="113"/>
        </w:trPr>
        <w:tc>
          <w:tcPr>
            <w:tcW w:w="410" w:type="pct"/>
            <w:shd w:val="clear" w:color="auto" w:fill="auto"/>
            <w:vAlign w:val="center"/>
          </w:tcPr>
          <w:p w14:paraId="367908A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PI-18</w:t>
            </w:r>
          </w:p>
        </w:tc>
        <w:tc>
          <w:tcPr>
            <w:tcW w:w="2299" w:type="pct"/>
            <w:gridSpan w:val="2"/>
            <w:shd w:val="clear" w:color="auto" w:fill="auto"/>
            <w:vAlign w:val="bottom"/>
          </w:tcPr>
          <w:p w14:paraId="5C4E80FB"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Legislative scrutiny of budgets</w:t>
            </w:r>
          </w:p>
        </w:tc>
        <w:tc>
          <w:tcPr>
            <w:tcW w:w="479" w:type="pct"/>
            <w:shd w:val="clear" w:color="auto" w:fill="auto"/>
            <w:vAlign w:val="center"/>
          </w:tcPr>
          <w:p w14:paraId="4AB6F67F"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681B53C1"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7B690959" w14:textId="77777777" w:rsidR="00A24325" w:rsidRPr="008C5AF6" w:rsidRDefault="00107AF7" w:rsidP="00A24325">
            <w:pPr>
              <w:spacing w:before="0"/>
              <w:ind w:left="0"/>
              <w:rPr>
                <w:rFonts w:ascii="Times New Roman" w:hAnsi="Times New Roman"/>
              </w:rPr>
            </w:pPr>
            <w:r>
              <w:rPr>
                <w:rFonts w:ascii="Times New Roman" w:hAnsi="Times New Roman"/>
              </w:rPr>
              <w:t>B</w:t>
            </w:r>
          </w:p>
        </w:tc>
        <w:tc>
          <w:tcPr>
            <w:tcW w:w="293" w:type="pct"/>
            <w:shd w:val="clear" w:color="auto" w:fill="auto"/>
            <w:vAlign w:val="center"/>
          </w:tcPr>
          <w:p w14:paraId="07988D4D" w14:textId="77777777" w:rsidR="00A24325" w:rsidRPr="008C5AF6" w:rsidRDefault="00C33509" w:rsidP="00A24325">
            <w:pPr>
              <w:spacing w:before="0"/>
              <w:ind w:left="0"/>
              <w:rPr>
                <w:rFonts w:ascii="Times New Roman" w:hAnsi="Times New Roman"/>
              </w:rPr>
            </w:pPr>
            <w:r>
              <w:rPr>
                <w:rFonts w:ascii="Times New Roman" w:hAnsi="Times New Roman"/>
              </w:rPr>
              <w:t>A</w:t>
            </w:r>
          </w:p>
        </w:tc>
        <w:tc>
          <w:tcPr>
            <w:tcW w:w="294" w:type="pct"/>
            <w:shd w:val="clear" w:color="auto" w:fill="auto"/>
            <w:vAlign w:val="center"/>
          </w:tcPr>
          <w:p w14:paraId="02718118" w14:textId="77777777" w:rsidR="00A24325" w:rsidRPr="008C5AF6" w:rsidRDefault="00C33509" w:rsidP="00A24325">
            <w:pPr>
              <w:spacing w:before="0"/>
              <w:ind w:left="0"/>
              <w:rPr>
                <w:rFonts w:ascii="Times New Roman" w:hAnsi="Times New Roman"/>
              </w:rPr>
            </w:pPr>
            <w:r>
              <w:rPr>
                <w:rFonts w:ascii="Times New Roman" w:hAnsi="Times New Roman"/>
              </w:rPr>
              <w:t>B</w:t>
            </w:r>
          </w:p>
        </w:tc>
        <w:tc>
          <w:tcPr>
            <w:tcW w:w="586" w:type="pct"/>
            <w:shd w:val="clear" w:color="auto" w:fill="auto"/>
            <w:vAlign w:val="center"/>
          </w:tcPr>
          <w:p w14:paraId="57721915" w14:textId="77777777" w:rsidR="00A24325" w:rsidRPr="008C5AF6" w:rsidRDefault="00107AF7" w:rsidP="00A24325">
            <w:pPr>
              <w:spacing w:before="0"/>
              <w:ind w:left="0"/>
              <w:jc w:val="left"/>
              <w:rPr>
                <w:rFonts w:ascii="Times New Roman" w:hAnsi="Times New Roman"/>
                <w:b/>
              </w:rPr>
            </w:pPr>
            <w:r>
              <w:rPr>
                <w:rFonts w:ascii="Times New Roman" w:hAnsi="Times New Roman"/>
                <w:b/>
              </w:rPr>
              <w:t>D</w:t>
            </w:r>
            <w:r w:rsidR="00C33509">
              <w:rPr>
                <w:rFonts w:ascii="Times New Roman" w:hAnsi="Times New Roman"/>
                <w:b/>
              </w:rPr>
              <w:t>+</w:t>
            </w:r>
          </w:p>
        </w:tc>
      </w:tr>
      <w:tr w:rsidR="00A24325" w:rsidRPr="008C5AF6" w14:paraId="0FB72A9F" w14:textId="77777777" w:rsidTr="00835385">
        <w:trPr>
          <w:trHeight w:val="113"/>
        </w:trPr>
        <w:tc>
          <w:tcPr>
            <w:tcW w:w="424" w:type="pct"/>
            <w:gridSpan w:val="2"/>
            <w:shd w:val="clear" w:color="auto" w:fill="84C346"/>
            <w:vAlign w:val="bottom"/>
          </w:tcPr>
          <w:p w14:paraId="600BF7A4" w14:textId="77777777" w:rsidR="00A24325" w:rsidRPr="008C5AF6" w:rsidRDefault="00A24325" w:rsidP="00A24325">
            <w:pPr>
              <w:spacing w:before="0"/>
              <w:ind w:left="0"/>
              <w:rPr>
                <w:rFonts w:ascii="Times New Roman" w:hAnsi="Times New Roman"/>
                <w:b/>
                <w:bCs/>
              </w:rPr>
            </w:pPr>
          </w:p>
        </w:tc>
        <w:tc>
          <w:tcPr>
            <w:tcW w:w="4576" w:type="pct"/>
            <w:gridSpan w:val="9"/>
            <w:shd w:val="clear" w:color="auto" w:fill="84C346"/>
            <w:vAlign w:val="bottom"/>
          </w:tcPr>
          <w:p w14:paraId="46283647"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V. Predictability and control in budget execution</w:t>
            </w:r>
          </w:p>
        </w:tc>
      </w:tr>
      <w:tr w:rsidR="00A24325" w:rsidRPr="008C5AF6" w14:paraId="573D9E6A" w14:textId="77777777" w:rsidTr="00835385">
        <w:trPr>
          <w:trHeight w:val="113"/>
        </w:trPr>
        <w:tc>
          <w:tcPr>
            <w:tcW w:w="410" w:type="pct"/>
            <w:shd w:val="clear" w:color="auto" w:fill="auto"/>
            <w:vAlign w:val="center"/>
            <w:hideMark/>
          </w:tcPr>
          <w:p w14:paraId="00EACDA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PI-19</w:t>
            </w:r>
          </w:p>
        </w:tc>
        <w:tc>
          <w:tcPr>
            <w:tcW w:w="2299" w:type="pct"/>
            <w:gridSpan w:val="2"/>
            <w:shd w:val="clear" w:color="auto" w:fill="auto"/>
            <w:vAlign w:val="bottom"/>
            <w:hideMark/>
          </w:tcPr>
          <w:p w14:paraId="4AE09334"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Revenue administration</w:t>
            </w:r>
          </w:p>
        </w:tc>
        <w:tc>
          <w:tcPr>
            <w:tcW w:w="479" w:type="pct"/>
            <w:shd w:val="clear" w:color="auto" w:fill="auto"/>
            <w:vAlign w:val="center"/>
            <w:hideMark/>
          </w:tcPr>
          <w:p w14:paraId="247BFE52"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43D85938"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5DE3937B" w14:textId="74BDBD5D" w:rsidR="00A24325" w:rsidRPr="008C5AF6" w:rsidRDefault="00CC194B"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7E9DC33A"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4" w:type="pct"/>
            <w:shd w:val="clear" w:color="000000" w:fill="auto"/>
            <w:vAlign w:val="center"/>
          </w:tcPr>
          <w:p w14:paraId="05577758"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078A1468" w14:textId="2E168A8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1228E715" w14:textId="77777777" w:rsidTr="00835385">
        <w:trPr>
          <w:trHeight w:val="113"/>
        </w:trPr>
        <w:tc>
          <w:tcPr>
            <w:tcW w:w="410" w:type="pct"/>
            <w:shd w:val="clear" w:color="auto" w:fill="auto"/>
            <w:vAlign w:val="center"/>
            <w:hideMark/>
          </w:tcPr>
          <w:p w14:paraId="71F33108"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PI-20</w:t>
            </w:r>
          </w:p>
        </w:tc>
        <w:tc>
          <w:tcPr>
            <w:tcW w:w="2299" w:type="pct"/>
            <w:gridSpan w:val="2"/>
            <w:shd w:val="clear" w:color="auto" w:fill="auto"/>
            <w:vAlign w:val="bottom"/>
            <w:hideMark/>
          </w:tcPr>
          <w:p w14:paraId="19ACE8A9"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Accounting for revenue</w:t>
            </w:r>
          </w:p>
        </w:tc>
        <w:tc>
          <w:tcPr>
            <w:tcW w:w="479" w:type="pct"/>
            <w:shd w:val="clear" w:color="auto" w:fill="auto"/>
            <w:vAlign w:val="center"/>
            <w:hideMark/>
          </w:tcPr>
          <w:p w14:paraId="19664C7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049096D3" w14:textId="77777777" w:rsidR="00A24325" w:rsidRPr="008C5AF6" w:rsidRDefault="00C33509" w:rsidP="00A24325">
            <w:pPr>
              <w:spacing w:before="0"/>
              <w:ind w:left="0"/>
              <w:rPr>
                <w:rFonts w:ascii="Times New Roman" w:hAnsi="Times New Roman"/>
              </w:rPr>
            </w:pPr>
            <w:r>
              <w:rPr>
                <w:rFonts w:ascii="Times New Roman" w:hAnsi="Times New Roman"/>
              </w:rPr>
              <w:t>B</w:t>
            </w:r>
          </w:p>
        </w:tc>
        <w:tc>
          <w:tcPr>
            <w:tcW w:w="293" w:type="pct"/>
            <w:shd w:val="clear" w:color="auto" w:fill="auto"/>
            <w:vAlign w:val="center"/>
          </w:tcPr>
          <w:p w14:paraId="39F6E077" w14:textId="31CD2CB1" w:rsidR="00A24325" w:rsidRPr="008C5AF6" w:rsidRDefault="00C801E0" w:rsidP="00A24325">
            <w:pPr>
              <w:spacing w:before="0"/>
              <w:ind w:left="0"/>
              <w:rPr>
                <w:rFonts w:ascii="Times New Roman" w:hAnsi="Times New Roman"/>
              </w:rPr>
            </w:pPr>
            <w:r>
              <w:rPr>
                <w:rFonts w:ascii="Times New Roman" w:hAnsi="Times New Roman"/>
              </w:rPr>
              <w:t>A</w:t>
            </w:r>
          </w:p>
        </w:tc>
        <w:tc>
          <w:tcPr>
            <w:tcW w:w="293" w:type="pct"/>
            <w:shd w:val="clear" w:color="auto" w:fill="auto"/>
            <w:vAlign w:val="center"/>
          </w:tcPr>
          <w:p w14:paraId="4F0DF777"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4" w:type="pct"/>
            <w:tcBorders>
              <w:bottom w:val="single" w:sz="4" w:space="0" w:color="auto"/>
            </w:tcBorders>
            <w:shd w:val="clear" w:color="auto" w:fill="E7E6E6"/>
            <w:vAlign w:val="center"/>
          </w:tcPr>
          <w:p w14:paraId="65DB7FF2"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0C86073" w14:textId="27385F5D" w:rsidR="00A24325" w:rsidRPr="008C5AF6" w:rsidRDefault="00C801E0" w:rsidP="00A24325">
            <w:pPr>
              <w:spacing w:before="0"/>
              <w:ind w:left="0"/>
              <w:jc w:val="left"/>
              <w:rPr>
                <w:rFonts w:ascii="Times New Roman" w:hAnsi="Times New Roman"/>
                <w:b/>
              </w:rPr>
            </w:pPr>
            <w:r>
              <w:rPr>
                <w:rFonts w:ascii="Times New Roman" w:hAnsi="Times New Roman"/>
                <w:b/>
              </w:rPr>
              <w:t>B</w:t>
            </w:r>
          </w:p>
        </w:tc>
      </w:tr>
      <w:tr w:rsidR="00A24325" w:rsidRPr="008C5AF6" w14:paraId="11F6685C" w14:textId="77777777" w:rsidTr="00835385">
        <w:trPr>
          <w:trHeight w:val="113"/>
        </w:trPr>
        <w:tc>
          <w:tcPr>
            <w:tcW w:w="410" w:type="pct"/>
            <w:shd w:val="clear" w:color="auto" w:fill="auto"/>
            <w:vAlign w:val="center"/>
            <w:hideMark/>
          </w:tcPr>
          <w:p w14:paraId="4635D929"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PI-21</w:t>
            </w:r>
          </w:p>
        </w:tc>
        <w:tc>
          <w:tcPr>
            <w:tcW w:w="2299" w:type="pct"/>
            <w:gridSpan w:val="2"/>
            <w:shd w:val="clear" w:color="auto" w:fill="auto"/>
            <w:vAlign w:val="center"/>
            <w:hideMark/>
          </w:tcPr>
          <w:p w14:paraId="1AD8CD24"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Predictability of in-year resource allocation</w:t>
            </w:r>
          </w:p>
        </w:tc>
        <w:tc>
          <w:tcPr>
            <w:tcW w:w="479" w:type="pct"/>
            <w:shd w:val="clear" w:color="auto" w:fill="auto"/>
            <w:vAlign w:val="center"/>
            <w:hideMark/>
          </w:tcPr>
          <w:p w14:paraId="0A42B05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3B74311B"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738CAC6D"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tcBorders>
              <w:bottom w:val="single" w:sz="4" w:space="0" w:color="auto"/>
            </w:tcBorders>
            <w:shd w:val="clear" w:color="auto" w:fill="auto"/>
            <w:vAlign w:val="center"/>
          </w:tcPr>
          <w:p w14:paraId="76BFC6B5"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tcBorders>
              <w:bottom w:val="single" w:sz="4" w:space="0" w:color="auto"/>
            </w:tcBorders>
            <w:shd w:val="clear" w:color="000000" w:fill="FFFFFF"/>
            <w:vAlign w:val="center"/>
          </w:tcPr>
          <w:p w14:paraId="36370A5C"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586" w:type="pct"/>
            <w:shd w:val="clear" w:color="auto" w:fill="auto"/>
            <w:vAlign w:val="center"/>
          </w:tcPr>
          <w:p w14:paraId="789547F5"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1083F6EA" w14:textId="77777777" w:rsidTr="00835385">
        <w:trPr>
          <w:trHeight w:val="113"/>
        </w:trPr>
        <w:tc>
          <w:tcPr>
            <w:tcW w:w="410" w:type="pct"/>
            <w:shd w:val="clear" w:color="auto" w:fill="auto"/>
            <w:vAlign w:val="center"/>
          </w:tcPr>
          <w:p w14:paraId="350E49B2"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PI-22</w:t>
            </w:r>
          </w:p>
        </w:tc>
        <w:tc>
          <w:tcPr>
            <w:tcW w:w="2299" w:type="pct"/>
            <w:gridSpan w:val="2"/>
            <w:shd w:val="clear" w:color="auto" w:fill="auto"/>
            <w:vAlign w:val="center"/>
          </w:tcPr>
          <w:p w14:paraId="002DF4F4"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Expenditure arrears</w:t>
            </w:r>
          </w:p>
        </w:tc>
        <w:tc>
          <w:tcPr>
            <w:tcW w:w="479" w:type="pct"/>
            <w:shd w:val="clear" w:color="auto" w:fill="auto"/>
            <w:vAlign w:val="center"/>
          </w:tcPr>
          <w:p w14:paraId="7E1AEC75"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69EE5112" w14:textId="77777777" w:rsidR="00A24325" w:rsidRPr="008C5AF6" w:rsidRDefault="00C33509" w:rsidP="00A24325">
            <w:pPr>
              <w:spacing w:before="0"/>
              <w:ind w:left="0"/>
              <w:rPr>
                <w:rFonts w:ascii="Times New Roman" w:hAnsi="Times New Roman"/>
              </w:rPr>
            </w:pPr>
            <w:r>
              <w:rPr>
                <w:rFonts w:ascii="Times New Roman" w:hAnsi="Times New Roman"/>
              </w:rPr>
              <w:t>D</w:t>
            </w:r>
            <w:r w:rsidR="00D23EDB">
              <w:rPr>
                <w:rFonts w:ascii="Times New Roman" w:hAnsi="Times New Roman"/>
              </w:rPr>
              <w:t>*</w:t>
            </w:r>
          </w:p>
        </w:tc>
        <w:tc>
          <w:tcPr>
            <w:tcW w:w="293" w:type="pct"/>
            <w:shd w:val="clear" w:color="auto" w:fill="auto"/>
            <w:vAlign w:val="center"/>
          </w:tcPr>
          <w:p w14:paraId="76A8FE78"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E7E6E6"/>
            <w:vAlign w:val="center"/>
          </w:tcPr>
          <w:p w14:paraId="4C37471E" w14:textId="77777777" w:rsidR="00A24325" w:rsidRPr="008C5AF6" w:rsidRDefault="00A24325" w:rsidP="00A24325">
            <w:pPr>
              <w:spacing w:before="0"/>
              <w:ind w:left="0"/>
              <w:rPr>
                <w:rFonts w:ascii="Times New Roman" w:hAnsi="Times New Roman"/>
              </w:rPr>
            </w:pPr>
          </w:p>
        </w:tc>
        <w:tc>
          <w:tcPr>
            <w:tcW w:w="294" w:type="pct"/>
            <w:tcBorders>
              <w:bottom w:val="single" w:sz="4" w:space="0" w:color="auto"/>
            </w:tcBorders>
            <w:shd w:val="clear" w:color="auto" w:fill="E7E6E6"/>
            <w:vAlign w:val="center"/>
          </w:tcPr>
          <w:p w14:paraId="7FB017BF"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218BF007"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4C2FA601" w14:textId="77777777" w:rsidTr="00835385">
        <w:trPr>
          <w:trHeight w:val="113"/>
        </w:trPr>
        <w:tc>
          <w:tcPr>
            <w:tcW w:w="410" w:type="pct"/>
            <w:shd w:val="clear" w:color="auto" w:fill="auto"/>
            <w:vAlign w:val="center"/>
            <w:hideMark/>
          </w:tcPr>
          <w:p w14:paraId="31A4359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PI-23</w:t>
            </w:r>
          </w:p>
        </w:tc>
        <w:tc>
          <w:tcPr>
            <w:tcW w:w="2299" w:type="pct"/>
            <w:gridSpan w:val="2"/>
            <w:shd w:val="clear" w:color="auto" w:fill="auto"/>
            <w:vAlign w:val="center"/>
            <w:hideMark/>
          </w:tcPr>
          <w:p w14:paraId="03A8BFBF"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Payroll controls</w:t>
            </w:r>
          </w:p>
        </w:tc>
        <w:tc>
          <w:tcPr>
            <w:tcW w:w="479" w:type="pct"/>
            <w:shd w:val="clear" w:color="auto" w:fill="auto"/>
            <w:vAlign w:val="center"/>
            <w:hideMark/>
          </w:tcPr>
          <w:p w14:paraId="7BD0A659"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0E8AABBB"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78EAE119"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65CA76D0"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tcBorders>
              <w:bottom w:val="single" w:sz="4" w:space="0" w:color="auto"/>
            </w:tcBorders>
            <w:shd w:val="clear" w:color="000000" w:fill="FFFFFF"/>
            <w:vAlign w:val="center"/>
          </w:tcPr>
          <w:p w14:paraId="233CF7C9"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74FA94E9"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3CC9AAA1" w14:textId="77777777" w:rsidTr="00835385">
        <w:trPr>
          <w:trHeight w:val="113"/>
        </w:trPr>
        <w:tc>
          <w:tcPr>
            <w:tcW w:w="410" w:type="pct"/>
            <w:shd w:val="clear" w:color="auto" w:fill="auto"/>
            <w:vAlign w:val="center"/>
            <w:hideMark/>
          </w:tcPr>
          <w:p w14:paraId="5B005BD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PI-24</w:t>
            </w:r>
          </w:p>
        </w:tc>
        <w:tc>
          <w:tcPr>
            <w:tcW w:w="2299" w:type="pct"/>
            <w:gridSpan w:val="2"/>
            <w:shd w:val="clear" w:color="auto" w:fill="auto"/>
            <w:vAlign w:val="bottom"/>
            <w:hideMark/>
          </w:tcPr>
          <w:p w14:paraId="37D01B0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Procurement management</w:t>
            </w:r>
          </w:p>
        </w:tc>
        <w:tc>
          <w:tcPr>
            <w:tcW w:w="479" w:type="pct"/>
            <w:shd w:val="clear" w:color="auto" w:fill="auto"/>
            <w:vAlign w:val="center"/>
            <w:hideMark/>
          </w:tcPr>
          <w:p w14:paraId="45A99FCD"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17646786"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01E43050" w14:textId="77777777" w:rsidR="00A24325" w:rsidRPr="008C5AF6" w:rsidRDefault="00C33509" w:rsidP="00A24325">
            <w:pPr>
              <w:spacing w:before="0"/>
              <w:ind w:left="0"/>
              <w:rPr>
                <w:rFonts w:ascii="Times New Roman" w:hAnsi="Times New Roman"/>
              </w:rPr>
            </w:pPr>
            <w:r>
              <w:rPr>
                <w:rFonts w:ascii="Times New Roman" w:hAnsi="Times New Roman"/>
              </w:rPr>
              <w:t>D</w:t>
            </w:r>
            <w:r w:rsidR="00167035">
              <w:rPr>
                <w:rFonts w:ascii="Times New Roman" w:hAnsi="Times New Roman"/>
              </w:rPr>
              <w:t>*</w:t>
            </w:r>
          </w:p>
        </w:tc>
        <w:tc>
          <w:tcPr>
            <w:tcW w:w="293" w:type="pct"/>
            <w:shd w:val="clear" w:color="auto" w:fill="auto"/>
            <w:vAlign w:val="center"/>
          </w:tcPr>
          <w:p w14:paraId="2A1E1C1E"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tcBorders>
              <w:bottom w:val="single" w:sz="4" w:space="0" w:color="auto"/>
            </w:tcBorders>
            <w:shd w:val="clear" w:color="000000" w:fill="FFFFFF"/>
            <w:vAlign w:val="center"/>
          </w:tcPr>
          <w:p w14:paraId="60298770"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343DAAAE"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107BB62E" w14:textId="77777777" w:rsidTr="00835385">
        <w:trPr>
          <w:trHeight w:val="113"/>
        </w:trPr>
        <w:tc>
          <w:tcPr>
            <w:tcW w:w="410" w:type="pct"/>
            <w:shd w:val="clear" w:color="auto" w:fill="auto"/>
            <w:vAlign w:val="center"/>
            <w:hideMark/>
          </w:tcPr>
          <w:p w14:paraId="1FA3BF0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PI-25</w:t>
            </w:r>
          </w:p>
        </w:tc>
        <w:tc>
          <w:tcPr>
            <w:tcW w:w="2299" w:type="pct"/>
            <w:gridSpan w:val="2"/>
            <w:shd w:val="clear" w:color="auto" w:fill="auto"/>
            <w:vAlign w:val="center"/>
          </w:tcPr>
          <w:p w14:paraId="67E42F88"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Internal controls on non-salary expenditure</w:t>
            </w:r>
          </w:p>
        </w:tc>
        <w:tc>
          <w:tcPr>
            <w:tcW w:w="479" w:type="pct"/>
            <w:shd w:val="clear" w:color="auto" w:fill="auto"/>
            <w:vAlign w:val="center"/>
            <w:hideMark/>
          </w:tcPr>
          <w:p w14:paraId="380052E4"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7F78D089"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58E5248F"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69B8677A" w14:textId="77777777" w:rsidR="00A24325" w:rsidRPr="008C5AF6" w:rsidRDefault="004603BA" w:rsidP="00A24325">
            <w:pPr>
              <w:spacing w:before="0"/>
              <w:ind w:left="0"/>
              <w:rPr>
                <w:rFonts w:ascii="Times New Roman" w:hAnsi="Times New Roman"/>
              </w:rPr>
            </w:pPr>
            <w:r>
              <w:rPr>
                <w:rFonts w:ascii="Times New Roman" w:hAnsi="Times New Roman"/>
              </w:rPr>
              <w:t>B</w:t>
            </w:r>
          </w:p>
        </w:tc>
        <w:tc>
          <w:tcPr>
            <w:tcW w:w="294" w:type="pct"/>
            <w:shd w:val="clear" w:color="auto" w:fill="E7E6E6"/>
            <w:vAlign w:val="center"/>
          </w:tcPr>
          <w:p w14:paraId="626691E1"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13F7476C" w14:textId="77777777" w:rsidR="00A24325" w:rsidRPr="008C5AF6" w:rsidRDefault="00C33509" w:rsidP="00A24325">
            <w:pPr>
              <w:spacing w:before="0"/>
              <w:ind w:left="0"/>
              <w:jc w:val="left"/>
              <w:rPr>
                <w:rFonts w:ascii="Times New Roman" w:hAnsi="Times New Roman"/>
                <w:b/>
              </w:rPr>
            </w:pPr>
            <w:r>
              <w:rPr>
                <w:rFonts w:ascii="Times New Roman" w:hAnsi="Times New Roman"/>
                <w:b/>
              </w:rPr>
              <w:t>C</w:t>
            </w:r>
            <w:r w:rsidR="004603BA">
              <w:rPr>
                <w:rFonts w:ascii="Times New Roman" w:hAnsi="Times New Roman"/>
                <w:b/>
              </w:rPr>
              <w:t>+</w:t>
            </w:r>
          </w:p>
        </w:tc>
      </w:tr>
      <w:tr w:rsidR="00A24325" w:rsidRPr="008C5AF6" w14:paraId="082E12DB" w14:textId="77777777" w:rsidTr="00835385">
        <w:trPr>
          <w:trHeight w:val="113"/>
        </w:trPr>
        <w:tc>
          <w:tcPr>
            <w:tcW w:w="410" w:type="pct"/>
            <w:shd w:val="clear" w:color="auto" w:fill="auto"/>
            <w:vAlign w:val="center"/>
            <w:hideMark/>
          </w:tcPr>
          <w:p w14:paraId="7508C22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PI-26</w:t>
            </w:r>
          </w:p>
        </w:tc>
        <w:tc>
          <w:tcPr>
            <w:tcW w:w="2299" w:type="pct"/>
            <w:gridSpan w:val="2"/>
            <w:shd w:val="clear" w:color="auto" w:fill="auto"/>
            <w:vAlign w:val="bottom"/>
          </w:tcPr>
          <w:p w14:paraId="6C0E0C6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Internal audit</w:t>
            </w:r>
          </w:p>
        </w:tc>
        <w:tc>
          <w:tcPr>
            <w:tcW w:w="479" w:type="pct"/>
            <w:shd w:val="clear" w:color="auto" w:fill="auto"/>
            <w:vAlign w:val="center"/>
            <w:hideMark/>
          </w:tcPr>
          <w:p w14:paraId="71FF373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66F62ACB"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0CD4AAA8"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55A39AA3"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shd w:val="clear" w:color="auto" w:fill="auto"/>
            <w:vAlign w:val="center"/>
          </w:tcPr>
          <w:p w14:paraId="0070547B"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7065B06C"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4B80D3C6" w14:textId="77777777" w:rsidTr="00835385">
        <w:trPr>
          <w:trHeight w:val="113"/>
        </w:trPr>
        <w:tc>
          <w:tcPr>
            <w:tcW w:w="424" w:type="pct"/>
            <w:gridSpan w:val="2"/>
            <w:shd w:val="clear" w:color="auto" w:fill="C2D840"/>
            <w:vAlign w:val="bottom"/>
          </w:tcPr>
          <w:p w14:paraId="6A95FEB3" w14:textId="77777777" w:rsidR="00A24325" w:rsidRPr="008C5AF6" w:rsidRDefault="00A24325" w:rsidP="00A24325">
            <w:pPr>
              <w:spacing w:before="0"/>
              <w:ind w:left="0"/>
              <w:rPr>
                <w:rFonts w:ascii="Times New Roman" w:hAnsi="Times New Roman"/>
                <w:b/>
                <w:bCs/>
              </w:rPr>
            </w:pPr>
          </w:p>
        </w:tc>
        <w:tc>
          <w:tcPr>
            <w:tcW w:w="4576" w:type="pct"/>
            <w:gridSpan w:val="9"/>
            <w:shd w:val="clear" w:color="auto" w:fill="C2D840"/>
            <w:vAlign w:val="bottom"/>
          </w:tcPr>
          <w:p w14:paraId="1758FA23"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VI. Accounting and reporting</w:t>
            </w:r>
          </w:p>
        </w:tc>
      </w:tr>
      <w:tr w:rsidR="00A24325" w:rsidRPr="008C5AF6" w14:paraId="0D32C562" w14:textId="77777777" w:rsidTr="00835385">
        <w:trPr>
          <w:trHeight w:val="113"/>
        </w:trPr>
        <w:tc>
          <w:tcPr>
            <w:tcW w:w="410" w:type="pct"/>
            <w:shd w:val="clear" w:color="auto" w:fill="auto"/>
            <w:vAlign w:val="center"/>
            <w:hideMark/>
          </w:tcPr>
          <w:p w14:paraId="2849429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PI-27</w:t>
            </w:r>
          </w:p>
        </w:tc>
        <w:tc>
          <w:tcPr>
            <w:tcW w:w="2299" w:type="pct"/>
            <w:gridSpan w:val="2"/>
            <w:shd w:val="clear" w:color="auto" w:fill="auto"/>
            <w:vAlign w:val="bottom"/>
            <w:hideMark/>
          </w:tcPr>
          <w:p w14:paraId="1D8BCD9B"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Financial data integrity</w:t>
            </w:r>
          </w:p>
        </w:tc>
        <w:tc>
          <w:tcPr>
            <w:tcW w:w="479" w:type="pct"/>
            <w:shd w:val="clear" w:color="auto" w:fill="auto"/>
            <w:vAlign w:val="center"/>
            <w:hideMark/>
          </w:tcPr>
          <w:p w14:paraId="175B82B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M2</w:t>
            </w:r>
          </w:p>
        </w:tc>
        <w:tc>
          <w:tcPr>
            <w:tcW w:w="345" w:type="pct"/>
            <w:gridSpan w:val="3"/>
            <w:shd w:val="clear" w:color="auto" w:fill="auto"/>
            <w:vAlign w:val="center"/>
          </w:tcPr>
          <w:p w14:paraId="2CB32E74" w14:textId="77777777" w:rsidR="00A24325" w:rsidRPr="008C5AF6" w:rsidRDefault="004603BA" w:rsidP="00A24325">
            <w:pPr>
              <w:spacing w:before="0"/>
              <w:ind w:left="0"/>
              <w:rPr>
                <w:rFonts w:ascii="Times New Roman" w:hAnsi="Times New Roman"/>
              </w:rPr>
            </w:pPr>
            <w:r>
              <w:rPr>
                <w:rFonts w:ascii="Times New Roman" w:hAnsi="Times New Roman"/>
              </w:rPr>
              <w:t>D</w:t>
            </w:r>
          </w:p>
        </w:tc>
        <w:tc>
          <w:tcPr>
            <w:tcW w:w="293" w:type="pct"/>
            <w:tcBorders>
              <w:bottom w:val="single" w:sz="4" w:space="0" w:color="auto"/>
            </w:tcBorders>
            <w:shd w:val="clear" w:color="auto" w:fill="auto"/>
            <w:vAlign w:val="center"/>
          </w:tcPr>
          <w:p w14:paraId="7109EEE8" w14:textId="77777777" w:rsidR="00A24325" w:rsidRPr="008C5AF6" w:rsidRDefault="00C33509" w:rsidP="00A24325">
            <w:pPr>
              <w:spacing w:before="0"/>
              <w:ind w:left="0"/>
              <w:rPr>
                <w:rFonts w:ascii="Times New Roman" w:hAnsi="Times New Roman"/>
              </w:rPr>
            </w:pPr>
            <w:r>
              <w:rPr>
                <w:rFonts w:ascii="Times New Roman" w:hAnsi="Times New Roman"/>
              </w:rPr>
              <w:t>B</w:t>
            </w:r>
          </w:p>
        </w:tc>
        <w:tc>
          <w:tcPr>
            <w:tcW w:w="293" w:type="pct"/>
            <w:tcBorders>
              <w:bottom w:val="single" w:sz="4" w:space="0" w:color="auto"/>
            </w:tcBorders>
            <w:shd w:val="clear" w:color="000000" w:fill="FFFFFF"/>
            <w:vAlign w:val="center"/>
          </w:tcPr>
          <w:p w14:paraId="251F2129" w14:textId="77777777" w:rsidR="00A24325" w:rsidRPr="008C5AF6" w:rsidRDefault="00C33509" w:rsidP="00A24325">
            <w:pPr>
              <w:spacing w:before="0"/>
              <w:ind w:left="0"/>
              <w:rPr>
                <w:rFonts w:ascii="Times New Roman" w:hAnsi="Times New Roman"/>
              </w:rPr>
            </w:pPr>
            <w:r>
              <w:rPr>
                <w:rFonts w:ascii="Times New Roman" w:hAnsi="Times New Roman"/>
              </w:rPr>
              <w:t>B</w:t>
            </w:r>
          </w:p>
        </w:tc>
        <w:tc>
          <w:tcPr>
            <w:tcW w:w="294" w:type="pct"/>
            <w:shd w:val="clear" w:color="000000" w:fill="FFFFFF"/>
            <w:vAlign w:val="center"/>
          </w:tcPr>
          <w:p w14:paraId="3647E482"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586" w:type="pct"/>
            <w:shd w:val="clear" w:color="auto" w:fill="auto"/>
            <w:vAlign w:val="center"/>
          </w:tcPr>
          <w:p w14:paraId="7F16150E" w14:textId="77777777" w:rsidR="00A24325" w:rsidRPr="008C5AF6" w:rsidRDefault="00C33509" w:rsidP="00A24325">
            <w:pPr>
              <w:spacing w:before="0"/>
              <w:ind w:left="0"/>
              <w:jc w:val="left"/>
              <w:rPr>
                <w:rFonts w:ascii="Times New Roman" w:hAnsi="Times New Roman"/>
                <w:b/>
              </w:rPr>
            </w:pPr>
            <w:r>
              <w:rPr>
                <w:rFonts w:ascii="Times New Roman" w:hAnsi="Times New Roman"/>
                <w:b/>
              </w:rPr>
              <w:t>C+</w:t>
            </w:r>
          </w:p>
        </w:tc>
      </w:tr>
      <w:tr w:rsidR="00A24325" w:rsidRPr="008C5AF6" w14:paraId="3AC5D747" w14:textId="77777777" w:rsidTr="00835385">
        <w:trPr>
          <w:trHeight w:val="113"/>
        </w:trPr>
        <w:tc>
          <w:tcPr>
            <w:tcW w:w="410" w:type="pct"/>
            <w:shd w:val="clear" w:color="auto" w:fill="auto"/>
            <w:vAlign w:val="center"/>
            <w:hideMark/>
          </w:tcPr>
          <w:p w14:paraId="6FCAE77D"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PI-28</w:t>
            </w:r>
          </w:p>
        </w:tc>
        <w:tc>
          <w:tcPr>
            <w:tcW w:w="2299" w:type="pct"/>
            <w:gridSpan w:val="2"/>
            <w:shd w:val="clear" w:color="auto" w:fill="auto"/>
            <w:vAlign w:val="bottom"/>
            <w:hideMark/>
          </w:tcPr>
          <w:p w14:paraId="561F8AA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In-year budget reports</w:t>
            </w:r>
          </w:p>
        </w:tc>
        <w:tc>
          <w:tcPr>
            <w:tcW w:w="479" w:type="pct"/>
            <w:shd w:val="clear" w:color="auto" w:fill="auto"/>
            <w:vAlign w:val="center"/>
            <w:hideMark/>
          </w:tcPr>
          <w:p w14:paraId="13177719"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0640BDAC"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000000" w:fill="auto"/>
            <w:vAlign w:val="center"/>
          </w:tcPr>
          <w:p w14:paraId="7CB91CD0" w14:textId="38AF3D31" w:rsidR="00A24325" w:rsidRPr="008C5AF6" w:rsidRDefault="008721BD" w:rsidP="00A24325">
            <w:pPr>
              <w:spacing w:before="0"/>
              <w:ind w:left="0"/>
              <w:rPr>
                <w:rFonts w:ascii="Times New Roman" w:hAnsi="Times New Roman"/>
              </w:rPr>
            </w:pPr>
            <w:r>
              <w:rPr>
                <w:rFonts w:ascii="Times New Roman" w:hAnsi="Times New Roman"/>
              </w:rPr>
              <w:t>B</w:t>
            </w:r>
          </w:p>
        </w:tc>
        <w:tc>
          <w:tcPr>
            <w:tcW w:w="293" w:type="pct"/>
            <w:shd w:val="clear" w:color="000000" w:fill="auto"/>
            <w:vAlign w:val="center"/>
          </w:tcPr>
          <w:p w14:paraId="649353A4"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shd w:val="clear" w:color="auto" w:fill="E7E6E6"/>
            <w:vAlign w:val="center"/>
          </w:tcPr>
          <w:p w14:paraId="02FCB2FE"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336B69C7"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r w:rsidR="00165BEE">
              <w:rPr>
                <w:rFonts w:ascii="Times New Roman" w:hAnsi="Times New Roman"/>
                <w:b/>
              </w:rPr>
              <w:t>+</w:t>
            </w:r>
          </w:p>
        </w:tc>
      </w:tr>
      <w:tr w:rsidR="00A24325" w:rsidRPr="008C5AF6" w14:paraId="4D3388FA" w14:textId="77777777" w:rsidTr="00835385">
        <w:trPr>
          <w:trHeight w:val="113"/>
        </w:trPr>
        <w:tc>
          <w:tcPr>
            <w:tcW w:w="410" w:type="pct"/>
            <w:shd w:val="clear" w:color="auto" w:fill="auto"/>
            <w:vAlign w:val="center"/>
            <w:hideMark/>
          </w:tcPr>
          <w:p w14:paraId="52E0A36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PI-29</w:t>
            </w:r>
          </w:p>
        </w:tc>
        <w:tc>
          <w:tcPr>
            <w:tcW w:w="2299" w:type="pct"/>
            <w:gridSpan w:val="2"/>
            <w:shd w:val="clear" w:color="auto" w:fill="auto"/>
            <w:vAlign w:val="bottom"/>
            <w:hideMark/>
          </w:tcPr>
          <w:p w14:paraId="0EEA3DE7"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Annual financial reports</w:t>
            </w:r>
          </w:p>
        </w:tc>
        <w:tc>
          <w:tcPr>
            <w:tcW w:w="479" w:type="pct"/>
            <w:shd w:val="clear" w:color="auto" w:fill="auto"/>
            <w:vAlign w:val="center"/>
            <w:hideMark/>
          </w:tcPr>
          <w:p w14:paraId="4B558E53"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2C41E3F7"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76D33E17"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3" w:type="pct"/>
            <w:shd w:val="clear" w:color="auto" w:fill="auto"/>
            <w:vAlign w:val="center"/>
          </w:tcPr>
          <w:p w14:paraId="2101DD83"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4" w:type="pct"/>
            <w:shd w:val="clear" w:color="auto" w:fill="E7E6E6"/>
            <w:vAlign w:val="center"/>
          </w:tcPr>
          <w:p w14:paraId="5F9BA675" w14:textId="77777777" w:rsidR="00A24325" w:rsidRPr="008C5AF6" w:rsidRDefault="00A24325" w:rsidP="00A24325">
            <w:pPr>
              <w:spacing w:before="0"/>
              <w:ind w:left="0"/>
              <w:rPr>
                <w:rFonts w:ascii="Times New Roman" w:hAnsi="Times New Roman"/>
              </w:rPr>
            </w:pPr>
          </w:p>
        </w:tc>
        <w:tc>
          <w:tcPr>
            <w:tcW w:w="586" w:type="pct"/>
            <w:shd w:val="clear" w:color="auto" w:fill="auto"/>
            <w:vAlign w:val="center"/>
          </w:tcPr>
          <w:p w14:paraId="714DB55C"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04137629" w14:textId="77777777" w:rsidTr="00835385">
        <w:trPr>
          <w:trHeight w:val="113"/>
        </w:trPr>
        <w:tc>
          <w:tcPr>
            <w:tcW w:w="424" w:type="pct"/>
            <w:gridSpan w:val="2"/>
            <w:shd w:val="clear" w:color="auto" w:fill="B34384"/>
            <w:vAlign w:val="bottom"/>
          </w:tcPr>
          <w:p w14:paraId="4D1AB0B7" w14:textId="77777777" w:rsidR="00A24325" w:rsidRPr="008C5AF6" w:rsidRDefault="00A24325" w:rsidP="00A24325">
            <w:pPr>
              <w:spacing w:before="0"/>
              <w:ind w:left="0"/>
              <w:rPr>
                <w:rFonts w:ascii="Times New Roman" w:hAnsi="Times New Roman"/>
                <w:b/>
                <w:bCs/>
              </w:rPr>
            </w:pPr>
          </w:p>
        </w:tc>
        <w:tc>
          <w:tcPr>
            <w:tcW w:w="4576" w:type="pct"/>
            <w:gridSpan w:val="9"/>
            <w:shd w:val="clear" w:color="auto" w:fill="B34384"/>
            <w:vAlign w:val="bottom"/>
          </w:tcPr>
          <w:p w14:paraId="13FA4AC7" w14:textId="77777777" w:rsidR="00A24325" w:rsidRPr="008C5AF6" w:rsidRDefault="00A24325" w:rsidP="00A24325">
            <w:pPr>
              <w:spacing w:before="0"/>
              <w:ind w:left="0"/>
              <w:jc w:val="left"/>
              <w:rPr>
                <w:rFonts w:ascii="Times New Roman" w:hAnsi="Times New Roman"/>
                <w:b/>
                <w:bCs/>
              </w:rPr>
            </w:pPr>
            <w:r w:rsidRPr="008C5AF6">
              <w:rPr>
                <w:rFonts w:ascii="Times New Roman" w:hAnsi="Times New Roman"/>
                <w:b/>
                <w:bCs/>
                <w:szCs w:val="22"/>
              </w:rPr>
              <w:t>VII. External scrutiny and audit</w:t>
            </w:r>
          </w:p>
        </w:tc>
      </w:tr>
      <w:tr w:rsidR="00A24325" w:rsidRPr="008C5AF6" w14:paraId="375A134D" w14:textId="77777777" w:rsidTr="00835385">
        <w:trPr>
          <w:trHeight w:val="113"/>
        </w:trPr>
        <w:tc>
          <w:tcPr>
            <w:tcW w:w="410" w:type="pct"/>
            <w:shd w:val="clear" w:color="auto" w:fill="auto"/>
            <w:vAlign w:val="center"/>
            <w:hideMark/>
          </w:tcPr>
          <w:p w14:paraId="79A8A968"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PI-30</w:t>
            </w:r>
          </w:p>
        </w:tc>
        <w:tc>
          <w:tcPr>
            <w:tcW w:w="2299" w:type="pct"/>
            <w:gridSpan w:val="2"/>
            <w:shd w:val="clear" w:color="auto" w:fill="auto"/>
            <w:vAlign w:val="bottom"/>
            <w:hideMark/>
          </w:tcPr>
          <w:p w14:paraId="5677E28E"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 xml:space="preserve">External audit </w:t>
            </w:r>
          </w:p>
        </w:tc>
        <w:tc>
          <w:tcPr>
            <w:tcW w:w="479" w:type="pct"/>
            <w:shd w:val="clear" w:color="auto" w:fill="auto"/>
            <w:vAlign w:val="center"/>
            <w:hideMark/>
          </w:tcPr>
          <w:p w14:paraId="503B5174"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M1</w:t>
            </w:r>
          </w:p>
        </w:tc>
        <w:tc>
          <w:tcPr>
            <w:tcW w:w="345" w:type="pct"/>
            <w:gridSpan w:val="3"/>
            <w:shd w:val="clear" w:color="auto" w:fill="auto"/>
            <w:vAlign w:val="center"/>
          </w:tcPr>
          <w:p w14:paraId="0EB0B040"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2B664A50"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0E3DA859"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4" w:type="pct"/>
            <w:shd w:val="clear" w:color="000000" w:fill="FFFFFF"/>
            <w:vAlign w:val="center"/>
          </w:tcPr>
          <w:p w14:paraId="6E70042B"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586" w:type="pct"/>
            <w:shd w:val="clear" w:color="auto" w:fill="auto"/>
            <w:vAlign w:val="center"/>
          </w:tcPr>
          <w:p w14:paraId="5A5CDB68" w14:textId="77777777" w:rsidR="00A24325" w:rsidRPr="008C5AF6" w:rsidRDefault="00C33509" w:rsidP="00A24325">
            <w:pPr>
              <w:spacing w:before="0"/>
              <w:ind w:left="0"/>
              <w:jc w:val="left"/>
              <w:rPr>
                <w:rFonts w:ascii="Times New Roman" w:hAnsi="Times New Roman"/>
                <w:b/>
              </w:rPr>
            </w:pPr>
            <w:r>
              <w:rPr>
                <w:rFonts w:ascii="Times New Roman" w:hAnsi="Times New Roman"/>
                <w:b/>
              </w:rPr>
              <w:t>D+</w:t>
            </w:r>
          </w:p>
        </w:tc>
      </w:tr>
      <w:tr w:rsidR="00A24325" w:rsidRPr="008C5AF6" w14:paraId="1C4B8387" w14:textId="77777777" w:rsidTr="00835385">
        <w:trPr>
          <w:trHeight w:val="113"/>
        </w:trPr>
        <w:tc>
          <w:tcPr>
            <w:tcW w:w="410" w:type="pct"/>
            <w:shd w:val="clear" w:color="auto" w:fill="auto"/>
            <w:vAlign w:val="center"/>
            <w:hideMark/>
          </w:tcPr>
          <w:p w14:paraId="15A347BE"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PI-31</w:t>
            </w:r>
          </w:p>
        </w:tc>
        <w:tc>
          <w:tcPr>
            <w:tcW w:w="2299" w:type="pct"/>
            <w:gridSpan w:val="2"/>
            <w:shd w:val="clear" w:color="auto" w:fill="auto"/>
            <w:vAlign w:val="bottom"/>
            <w:hideMark/>
          </w:tcPr>
          <w:p w14:paraId="3404048A"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Legislative scrutiny of audit reports</w:t>
            </w:r>
          </w:p>
        </w:tc>
        <w:tc>
          <w:tcPr>
            <w:tcW w:w="479" w:type="pct"/>
            <w:shd w:val="clear" w:color="auto" w:fill="auto"/>
            <w:vAlign w:val="center"/>
            <w:hideMark/>
          </w:tcPr>
          <w:p w14:paraId="192EE4AC" w14:textId="77777777" w:rsidR="00A24325" w:rsidRPr="008C5AF6" w:rsidRDefault="00A24325" w:rsidP="00A24325">
            <w:pPr>
              <w:spacing w:before="0"/>
              <w:ind w:left="0"/>
              <w:rPr>
                <w:rFonts w:ascii="Times New Roman" w:hAnsi="Times New Roman"/>
              </w:rPr>
            </w:pPr>
            <w:r w:rsidRPr="008C5AF6">
              <w:rPr>
                <w:rFonts w:ascii="Times New Roman" w:hAnsi="Times New Roman"/>
                <w:szCs w:val="22"/>
              </w:rPr>
              <w:t>M</w:t>
            </w:r>
            <w:r w:rsidR="00C33509">
              <w:rPr>
                <w:rFonts w:ascii="Times New Roman" w:hAnsi="Times New Roman"/>
                <w:szCs w:val="22"/>
              </w:rPr>
              <w:t>2</w:t>
            </w:r>
          </w:p>
        </w:tc>
        <w:tc>
          <w:tcPr>
            <w:tcW w:w="345" w:type="pct"/>
            <w:gridSpan w:val="3"/>
            <w:shd w:val="clear" w:color="auto" w:fill="auto"/>
            <w:vAlign w:val="center"/>
          </w:tcPr>
          <w:p w14:paraId="3707595A" w14:textId="77777777" w:rsidR="00A24325" w:rsidRPr="008C5AF6" w:rsidRDefault="00C33509" w:rsidP="00A24325">
            <w:pPr>
              <w:spacing w:before="0"/>
              <w:ind w:left="0"/>
              <w:rPr>
                <w:rFonts w:ascii="Times New Roman" w:hAnsi="Times New Roman"/>
              </w:rPr>
            </w:pPr>
            <w:r>
              <w:rPr>
                <w:rFonts w:ascii="Times New Roman" w:hAnsi="Times New Roman"/>
              </w:rPr>
              <w:t>A</w:t>
            </w:r>
          </w:p>
        </w:tc>
        <w:tc>
          <w:tcPr>
            <w:tcW w:w="293" w:type="pct"/>
            <w:shd w:val="clear" w:color="auto" w:fill="auto"/>
            <w:vAlign w:val="center"/>
          </w:tcPr>
          <w:p w14:paraId="2FFB9462" w14:textId="77777777" w:rsidR="00A24325" w:rsidRPr="008C5AF6" w:rsidRDefault="004603BA" w:rsidP="00A24325">
            <w:pPr>
              <w:spacing w:before="0"/>
              <w:ind w:left="0"/>
              <w:rPr>
                <w:rFonts w:ascii="Times New Roman" w:hAnsi="Times New Roman"/>
              </w:rPr>
            </w:pPr>
            <w:r>
              <w:rPr>
                <w:rFonts w:ascii="Times New Roman" w:hAnsi="Times New Roman"/>
              </w:rPr>
              <w:t>D</w:t>
            </w:r>
          </w:p>
        </w:tc>
        <w:tc>
          <w:tcPr>
            <w:tcW w:w="293" w:type="pct"/>
            <w:shd w:val="clear" w:color="auto" w:fill="auto"/>
            <w:vAlign w:val="center"/>
          </w:tcPr>
          <w:p w14:paraId="61784067" w14:textId="77777777" w:rsidR="00A24325" w:rsidRPr="008C5AF6" w:rsidRDefault="00C33509" w:rsidP="00A24325">
            <w:pPr>
              <w:spacing w:before="0"/>
              <w:ind w:left="0"/>
              <w:rPr>
                <w:rFonts w:ascii="Times New Roman" w:hAnsi="Times New Roman"/>
              </w:rPr>
            </w:pPr>
            <w:r>
              <w:rPr>
                <w:rFonts w:ascii="Times New Roman" w:hAnsi="Times New Roman"/>
              </w:rPr>
              <w:t>C</w:t>
            </w:r>
          </w:p>
        </w:tc>
        <w:tc>
          <w:tcPr>
            <w:tcW w:w="294" w:type="pct"/>
            <w:shd w:val="clear" w:color="000000" w:fill="FFFFFF"/>
            <w:vAlign w:val="center"/>
          </w:tcPr>
          <w:p w14:paraId="5D4B9039" w14:textId="77777777" w:rsidR="00A24325" w:rsidRPr="008C5AF6" w:rsidRDefault="00C33509" w:rsidP="00A24325">
            <w:pPr>
              <w:spacing w:before="0"/>
              <w:ind w:left="0"/>
              <w:rPr>
                <w:rFonts w:ascii="Times New Roman" w:hAnsi="Times New Roman"/>
              </w:rPr>
            </w:pPr>
            <w:r>
              <w:rPr>
                <w:rFonts w:ascii="Times New Roman" w:hAnsi="Times New Roman"/>
              </w:rPr>
              <w:t>D</w:t>
            </w:r>
          </w:p>
        </w:tc>
        <w:tc>
          <w:tcPr>
            <w:tcW w:w="586" w:type="pct"/>
            <w:shd w:val="clear" w:color="auto" w:fill="auto"/>
            <w:vAlign w:val="center"/>
          </w:tcPr>
          <w:p w14:paraId="36E8CE9F" w14:textId="77777777" w:rsidR="00A24325" w:rsidRPr="008C5AF6" w:rsidRDefault="00C33509" w:rsidP="00A24325">
            <w:pPr>
              <w:spacing w:before="0"/>
              <w:ind w:left="0"/>
              <w:jc w:val="left"/>
              <w:rPr>
                <w:rFonts w:ascii="Times New Roman" w:hAnsi="Times New Roman"/>
                <w:b/>
              </w:rPr>
            </w:pPr>
            <w:r>
              <w:rPr>
                <w:rFonts w:ascii="Times New Roman" w:hAnsi="Times New Roman"/>
                <w:b/>
              </w:rPr>
              <w:t>C</w:t>
            </w:r>
          </w:p>
        </w:tc>
      </w:tr>
    </w:tbl>
    <w:p w14:paraId="18019CC0" w14:textId="77777777" w:rsidR="007E2FD4" w:rsidRDefault="007E2FD4" w:rsidP="00A24325"/>
    <w:p w14:paraId="10E728E7" w14:textId="77777777" w:rsidR="007E2FD4" w:rsidRDefault="007E2FD4">
      <w:pPr>
        <w:spacing w:after="240" w:line="276" w:lineRule="auto"/>
      </w:pPr>
      <w:r>
        <w:br w:type="page"/>
      </w:r>
    </w:p>
    <w:p w14:paraId="0F18CD69" w14:textId="77777777" w:rsidR="007E2FD4" w:rsidRPr="00C001AC" w:rsidRDefault="007E2FD4" w:rsidP="007E2FD4">
      <w:pPr>
        <w:pStyle w:val="Heading1"/>
        <w:spacing w:line="276" w:lineRule="auto"/>
        <w:ind w:left="540"/>
        <w:rPr>
          <w:rFonts w:ascii="Times New Roman" w:hAnsi="Times New Roman"/>
        </w:rPr>
      </w:pPr>
      <w:bookmarkStart w:id="8" w:name="_Toc504974010"/>
      <w:bookmarkStart w:id="9" w:name="_Toc4148975"/>
      <w:r w:rsidRPr="00C001AC">
        <w:rPr>
          <w:rFonts w:ascii="Times New Roman" w:hAnsi="Times New Roman"/>
        </w:rPr>
        <w:lastRenderedPageBreak/>
        <w:t>1. Introduction</w:t>
      </w:r>
      <w:bookmarkEnd w:id="8"/>
      <w:bookmarkEnd w:id="9"/>
    </w:p>
    <w:p w14:paraId="458CDE0E" w14:textId="77777777" w:rsidR="007E2FD4" w:rsidRPr="005E1E56" w:rsidRDefault="007E2FD4" w:rsidP="007E2FD4">
      <w:pPr>
        <w:ind w:left="0"/>
        <w:rPr>
          <w:rFonts w:ascii="Times New Roman" w:hAnsi="Times New Roman"/>
          <w:b/>
          <w:sz w:val="24"/>
        </w:rPr>
      </w:pPr>
      <w:bookmarkStart w:id="10" w:name="_Toc504974011"/>
      <w:r w:rsidRPr="005E1E56">
        <w:rPr>
          <w:rFonts w:ascii="Times New Roman" w:hAnsi="Times New Roman"/>
          <w:b/>
          <w:sz w:val="24"/>
        </w:rPr>
        <w:t>1.1 Rationale and purpose</w:t>
      </w:r>
      <w:bookmarkEnd w:id="10"/>
    </w:p>
    <w:p w14:paraId="482F9FAB" w14:textId="77777777" w:rsidR="007E2FD4" w:rsidRPr="005E1E56" w:rsidRDefault="007E2FD4" w:rsidP="008037D9">
      <w:pPr>
        <w:pStyle w:val="ListParagraph"/>
        <w:numPr>
          <w:ilvl w:val="0"/>
          <w:numId w:val="32"/>
        </w:numPr>
        <w:spacing w:after="240"/>
        <w:ind w:left="0" w:firstLine="0"/>
        <w:contextualSpacing w:val="0"/>
        <w:rPr>
          <w:rFonts w:ascii="Times New Roman" w:hAnsi="Times New Roman"/>
          <w:color w:val="000000" w:themeColor="text1"/>
          <w:sz w:val="24"/>
          <w:lang w:val="en-GB"/>
        </w:rPr>
      </w:pPr>
      <w:r w:rsidRPr="00AC331F">
        <w:rPr>
          <w:rFonts w:ascii="Times New Roman" w:hAnsi="Times New Roman"/>
          <w:b/>
          <w:color w:val="000000" w:themeColor="text1"/>
          <w:sz w:val="24"/>
          <w:lang w:val="en-GB"/>
        </w:rPr>
        <w:t>Efficient utilization of overall resources through sound public financial management (PFM)</w:t>
      </w:r>
      <w:r w:rsidRPr="00AC331F">
        <w:rPr>
          <w:rFonts w:ascii="Times New Roman" w:hAnsi="Times New Roman"/>
          <w:color w:val="000000" w:themeColor="text1"/>
          <w:sz w:val="24"/>
          <w:lang w:val="en-GB"/>
        </w:rPr>
        <w:t xml:space="preserve">, good governance and oversight are priorities in the Lao PDR government’s reform agenda. </w:t>
      </w:r>
      <w:r>
        <w:rPr>
          <w:rFonts w:ascii="Times New Roman" w:hAnsi="Times New Roman"/>
          <w:color w:val="000000" w:themeColor="text1"/>
          <w:sz w:val="24"/>
          <w:lang w:val="en-GB"/>
        </w:rPr>
        <w:t xml:space="preserve"> The </w:t>
      </w:r>
      <w:r w:rsidRPr="00AC331F">
        <w:rPr>
          <w:rFonts w:ascii="Times New Roman" w:hAnsi="Times New Roman"/>
          <w:color w:val="000000" w:themeColor="text1"/>
          <w:sz w:val="24"/>
          <w:lang w:val="en-GB"/>
        </w:rPr>
        <w:t>strengthening</w:t>
      </w:r>
      <w:r w:rsidRPr="00AC331F">
        <w:rPr>
          <w:rFonts w:ascii="Times New Roman" w:eastAsiaTheme="minorHAnsi" w:hAnsi="Times New Roman"/>
          <w:sz w:val="24"/>
        </w:rPr>
        <w:t xml:space="preserve"> </w:t>
      </w:r>
      <w:r>
        <w:rPr>
          <w:rFonts w:ascii="Times New Roman" w:eastAsiaTheme="minorHAnsi" w:hAnsi="Times New Roman"/>
          <w:sz w:val="24"/>
        </w:rPr>
        <w:t xml:space="preserve">of </w:t>
      </w:r>
      <w:r w:rsidRPr="00AC331F">
        <w:rPr>
          <w:rFonts w:ascii="Times New Roman" w:eastAsiaTheme="minorHAnsi" w:hAnsi="Times New Roman"/>
          <w:sz w:val="24"/>
        </w:rPr>
        <w:t>PFM systems is fundamental to the successful development of Lao PDR and has been center</w:t>
      </w:r>
      <w:r>
        <w:rPr>
          <w:rFonts w:ascii="Times New Roman" w:eastAsiaTheme="minorHAnsi" w:hAnsi="Times New Roman"/>
          <w:sz w:val="24"/>
        </w:rPr>
        <w:t xml:space="preserve"> </w:t>
      </w:r>
      <w:r w:rsidRPr="00AC331F">
        <w:rPr>
          <w:rFonts w:ascii="Times New Roman" w:eastAsiaTheme="minorHAnsi" w:hAnsi="Times New Roman"/>
          <w:sz w:val="24"/>
        </w:rPr>
        <w:t>stage in the Government’s policy agenda</w:t>
      </w:r>
      <w:r>
        <w:rPr>
          <w:rFonts w:ascii="Times New Roman" w:eastAsiaTheme="minorHAnsi" w:hAnsi="Times New Roman"/>
          <w:sz w:val="24"/>
        </w:rPr>
        <w:t>.  There has been s</w:t>
      </w:r>
      <w:r w:rsidRPr="00AC331F">
        <w:rPr>
          <w:rFonts w:ascii="Times New Roman" w:eastAsiaTheme="minorHAnsi" w:hAnsi="Times New Roman"/>
          <w:sz w:val="24"/>
        </w:rPr>
        <w:t xml:space="preserve">low progress </w:t>
      </w:r>
      <w:r>
        <w:rPr>
          <w:rFonts w:ascii="Times New Roman" w:eastAsiaTheme="minorHAnsi" w:hAnsi="Times New Roman"/>
          <w:sz w:val="24"/>
        </w:rPr>
        <w:t xml:space="preserve">since </w:t>
      </w:r>
      <w:r w:rsidRPr="00AC331F">
        <w:rPr>
          <w:rFonts w:ascii="Times New Roman" w:eastAsiaTheme="minorHAnsi" w:hAnsi="Times New Roman"/>
          <w:sz w:val="24"/>
        </w:rPr>
        <w:t>2010 in strengthening the quality of PFM systems and processes</w:t>
      </w:r>
      <w:r>
        <w:rPr>
          <w:rFonts w:ascii="Times New Roman" w:eastAsiaTheme="minorHAnsi" w:hAnsi="Times New Roman"/>
          <w:sz w:val="24"/>
        </w:rPr>
        <w:t xml:space="preserve"> and there has also been a </w:t>
      </w:r>
      <w:r w:rsidRPr="00AC331F">
        <w:rPr>
          <w:rFonts w:ascii="Times New Roman" w:eastAsiaTheme="minorHAnsi" w:hAnsi="Times New Roman"/>
          <w:sz w:val="24"/>
        </w:rPr>
        <w:t>pause in the PFM reform agenda since 2013</w:t>
      </w:r>
      <w:r>
        <w:rPr>
          <w:rFonts w:ascii="Times New Roman" w:eastAsiaTheme="minorHAnsi" w:hAnsi="Times New Roman"/>
          <w:sz w:val="24"/>
        </w:rPr>
        <w:t>.</w:t>
      </w:r>
    </w:p>
    <w:p w14:paraId="660D4221"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17FAA">
        <w:rPr>
          <w:rFonts w:ascii="Times New Roman" w:hAnsi="Times New Roman"/>
          <w:b/>
          <w:color w:val="000000" w:themeColor="text1"/>
          <w:sz w:val="24"/>
          <w:lang w:val="en-GB"/>
        </w:rPr>
        <w:t xml:space="preserve">This </w:t>
      </w:r>
      <w:r w:rsidRPr="00F17FAA">
        <w:rPr>
          <w:rFonts w:ascii="Times New Roman" w:eastAsiaTheme="minorHAnsi" w:hAnsi="Times New Roman"/>
          <w:b/>
          <w:sz w:val="24"/>
        </w:rPr>
        <w:t xml:space="preserve">Public Expenditure and Financial Accountability (PEFA) Lao PDR 2018 is intended to </w:t>
      </w:r>
      <w:r>
        <w:rPr>
          <w:rFonts w:ascii="Times New Roman" w:eastAsiaTheme="minorHAnsi" w:hAnsi="Times New Roman"/>
          <w:b/>
          <w:sz w:val="24"/>
        </w:rPr>
        <w:t>assess</w:t>
      </w:r>
      <w:r w:rsidRPr="00F17FAA">
        <w:rPr>
          <w:rFonts w:ascii="Times New Roman" w:eastAsiaTheme="minorHAnsi" w:hAnsi="Times New Roman"/>
          <w:b/>
          <w:sz w:val="24"/>
        </w:rPr>
        <w:t xml:space="preserve"> the current state of PFM in Lao PDR</w:t>
      </w:r>
      <w:r w:rsidRPr="00F17FAA">
        <w:rPr>
          <w:rFonts w:ascii="Times New Roman" w:eastAsiaTheme="minorHAnsi" w:hAnsi="Times New Roman"/>
          <w:sz w:val="24"/>
        </w:rPr>
        <w:t xml:space="preserve">. This PEFA uses the upgraded 2016 methodology that has more demanding PFM standards with new calibration and scoring criteria.   While it is expected that the assessment generates relatively low scores and reveal severe PFM performance gaps.  The Government expects that the narrative will also highlight the area of ongoing or planned reform action </w:t>
      </w:r>
      <w:proofErr w:type="gramStart"/>
      <w:r w:rsidRPr="00F17FAA">
        <w:rPr>
          <w:rFonts w:ascii="Times New Roman" w:eastAsiaTheme="minorHAnsi" w:hAnsi="Times New Roman"/>
          <w:sz w:val="24"/>
        </w:rPr>
        <w:t>in order to</w:t>
      </w:r>
      <w:proofErr w:type="gramEnd"/>
      <w:r w:rsidRPr="00F17FAA">
        <w:rPr>
          <w:rFonts w:ascii="Times New Roman" w:eastAsiaTheme="minorHAnsi" w:hAnsi="Times New Roman"/>
          <w:sz w:val="24"/>
        </w:rPr>
        <w:t xml:space="preserve"> link the analysis to the existing areas of the new PFM reform agenda and to support the post-PEFA dialogue on the priorities and sequencing of the reform actions.</w:t>
      </w:r>
    </w:p>
    <w:p w14:paraId="25AED21E"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17FAA">
        <w:rPr>
          <w:rFonts w:ascii="Times New Roman" w:eastAsiaTheme="minorHAnsi" w:hAnsi="Times New Roman"/>
          <w:b/>
          <w:sz w:val="24"/>
        </w:rPr>
        <w:t xml:space="preserve">Two previous PEFA assessments have been carried out place: </w:t>
      </w:r>
      <w:r w:rsidRPr="00F17FAA">
        <w:rPr>
          <w:rFonts w:ascii="Times New Roman" w:eastAsiaTheme="minorHAnsi" w:hAnsi="Times New Roman"/>
          <w:sz w:val="24"/>
        </w:rPr>
        <w:t>in 2006 a partial assessment by external reviewers, and in 2010 a WB-led assessment using the 2005 PEFA framework and covering the 2004-2007 period. Results of the 2010 assessment reflected a picture of few strengths and major weaknesses in Lao PDR’s PFM systems. Key strengths pertained to budget credibility and comprehensiveness of budget documentation. Weaknesses, on the other hand, were identified across dimensions of budget execution such as financial reporting, weak recording of cash, payroll controls and internal audit, as well as high variation between budgets and outturns. Many indicators describe the reform efforts of key stakeholders of the budget process however, pointed at reforms remaining “work in progress”.</w:t>
      </w:r>
    </w:p>
    <w:p w14:paraId="3EBF927A"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17FAA">
        <w:rPr>
          <w:rFonts w:ascii="Times New Roman" w:eastAsiaTheme="minorHAnsi" w:hAnsi="Times New Roman"/>
          <w:b/>
          <w:sz w:val="24"/>
        </w:rPr>
        <w:t xml:space="preserve">There has not been further comprehensive PFM diagnostic conducted since the last PEFA assessment in 2010. </w:t>
      </w:r>
      <w:r w:rsidRPr="00F17FAA">
        <w:rPr>
          <w:rFonts w:ascii="Times New Roman" w:eastAsiaTheme="minorHAnsi" w:hAnsi="Times New Roman"/>
          <w:sz w:val="24"/>
        </w:rPr>
        <w:t>However, numerous analytical reviews in form of technical notes on specific components of the PFM system have been carried out as part of the WB’s engagement, including through the ongoing implementation of the EU-financed Public Finance Management Modernization Program (PFMMP). These analyses cover the past and ongoing technical support provided to MoF since 2016, mainly in the areas of budget formulation, tax policy and administration, debt management, procurement accounting, treasury and Financial Management Information System (FMIS), and wage bill.</w:t>
      </w:r>
    </w:p>
    <w:p w14:paraId="56633A65"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17FAA">
        <w:rPr>
          <w:rFonts w:ascii="Times New Roman" w:hAnsi="Times New Roman"/>
          <w:b/>
          <w:color w:val="000000" w:themeColor="text1"/>
          <w:sz w:val="24"/>
        </w:rPr>
        <w:t xml:space="preserve">Development partners have actively supported </w:t>
      </w:r>
      <w:r w:rsidRPr="00F17FAA">
        <w:rPr>
          <w:rFonts w:ascii="Times New Roman" w:hAnsi="Times New Roman"/>
          <w:b/>
          <w:sz w:val="24"/>
        </w:rPr>
        <w:t xml:space="preserve">those reforms through funding and technical assistance. </w:t>
      </w:r>
      <w:r w:rsidRPr="00F17FAA">
        <w:rPr>
          <w:rFonts w:ascii="Times New Roman" w:eastAsiaTheme="minorHAnsi" w:hAnsi="Times New Roman"/>
          <w:sz w:val="24"/>
        </w:rPr>
        <w:t xml:space="preserve">The WB will continue supporting this process through the ongoing Public Finance Management Modernization Program (PFMMP) funded by the EU. Other donors are also </w:t>
      </w:r>
      <w:proofErr w:type="gramStart"/>
      <w:r w:rsidRPr="00F17FAA">
        <w:rPr>
          <w:rFonts w:ascii="Times New Roman" w:eastAsiaTheme="minorHAnsi" w:hAnsi="Times New Roman"/>
          <w:sz w:val="24"/>
        </w:rPr>
        <w:t>providing assistance</w:t>
      </w:r>
      <w:proofErr w:type="gramEnd"/>
      <w:r w:rsidRPr="00F17FAA">
        <w:rPr>
          <w:rFonts w:ascii="Times New Roman" w:eastAsiaTheme="minorHAnsi" w:hAnsi="Times New Roman"/>
          <w:sz w:val="24"/>
        </w:rPr>
        <w:t xml:space="preserve"> in the PFM area. The IMF provides technical assistance on tax policy and fiscal reporting and were previously engaged in updating the chart of accounts. JICA finances two resident technical advisors, working with the tax department and the fiscal policy department respectively. JICA has also funded a series of technical assistance program on Public Investment Management (PIM) in the Ministry of Planning and Investment (MPI). With funding from the Korea Export-Import Bank (KEXIM), the MoF currently implements a tax administration IT system. The ADB, through its Governance and Capacity Development in </w:t>
      </w:r>
      <w:r w:rsidRPr="00F17FAA">
        <w:rPr>
          <w:rFonts w:ascii="Times New Roman" w:eastAsiaTheme="minorHAnsi" w:hAnsi="Times New Roman"/>
          <w:sz w:val="24"/>
        </w:rPr>
        <w:lastRenderedPageBreak/>
        <w:t xml:space="preserve">Public Sector Management Program supports MoF in the formulation of a </w:t>
      </w:r>
      <w:proofErr w:type="gramStart"/>
      <w:r w:rsidRPr="00F17FAA">
        <w:rPr>
          <w:rFonts w:ascii="Times New Roman" w:eastAsiaTheme="minorHAnsi" w:hAnsi="Times New Roman"/>
          <w:sz w:val="24"/>
        </w:rPr>
        <w:t>Medium Term</w:t>
      </w:r>
      <w:proofErr w:type="gramEnd"/>
      <w:r w:rsidRPr="00F17FAA">
        <w:rPr>
          <w:rFonts w:ascii="Times New Roman" w:eastAsiaTheme="minorHAnsi" w:hAnsi="Times New Roman"/>
          <w:sz w:val="24"/>
        </w:rPr>
        <w:t xml:space="preserve"> Fiscal Framework (MTFF). Finally, the GIZ and the Swiss Agency for Development Cooperation (SDC) with further EU funding is initiating a program to provide capacity building to the SAO, the NA and the Ministry of Justice (</w:t>
      </w:r>
      <w:proofErr w:type="spellStart"/>
      <w:r w:rsidRPr="00F17FAA">
        <w:rPr>
          <w:rFonts w:ascii="Times New Roman" w:eastAsiaTheme="minorHAnsi" w:hAnsi="Times New Roman"/>
          <w:sz w:val="24"/>
        </w:rPr>
        <w:t>MoJ</w:t>
      </w:r>
      <w:proofErr w:type="spellEnd"/>
      <w:r w:rsidRPr="00F17FAA">
        <w:rPr>
          <w:rFonts w:ascii="Times New Roman" w:eastAsiaTheme="minorHAnsi" w:hAnsi="Times New Roman"/>
          <w:sz w:val="24"/>
        </w:rPr>
        <w:t>).</w:t>
      </w:r>
    </w:p>
    <w:p w14:paraId="37C419FF" w14:textId="77777777" w:rsidR="007E2FD4" w:rsidRPr="00F17FAA"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76D74">
        <w:rPr>
          <w:rFonts w:ascii="Times New Roman" w:eastAsiaTheme="minorHAnsi" w:hAnsi="Times New Roman"/>
          <w:b/>
          <w:sz w:val="24"/>
        </w:rPr>
        <w:t>These reports and TA programs have been made available to the Lao PEFA Assessment Team</w:t>
      </w:r>
      <w:r w:rsidRPr="00F17FAA">
        <w:rPr>
          <w:rFonts w:ascii="Times New Roman" w:eastAsiaTheme="minorHAnsi" w:hAnsi="Times New Roman"/>
          <w:sz w:val="24"/>
        </w:rPr>
        <w:t>. Direct consultation</w:t>
      </w:r>
      <w:r w:rsidR="00CE5ED9">
        <w:rPr>
          <w:rFonts w:ascii="Times New Roman" w:eastAsiaTheme="minorHAnsi" w:hAnsi="Times New Roman"/>
          <w:sz w:val="24"/>
        </w:rPr>
        <w:t>s</w:t>
      </w:r>
      <w:r w:rsidRPr="00F17FAA">
        <w:rPr>
          <w:rFonts w:ascii="Times New Roman" w:eastAsiaTheme="minorHAnsi" w:hAnsi="Times New Roman"/>
          <w:sz w:val="24"/>
        </w:rPr>
        <w:t xml:space="preserve"> </w:t>
      </w:r>
      <w:r w:rsidR="004C5CF4">
        <w:rPr>
          <w:rFonts w:ascii="Times New Roman" w:eastAsiaTheme="minorHAnsi" w:hAnsi="Times New Roman"/>
          <w:sz w:val="24"/>
        </w:rPr>
        <w:t>we</w:t>
      </w:r>
      <w:r>
        <w:rPr>
          <w:rFonts w:ascii="Times New Roman" w:eastAsiaTheme="minorHAnsi" w:hAnsi="Times New Roman"/>
          <w:sz w:val="24"/>
        </w:rPr>
        <w:t>re</w:t>
      </w:r>
      <w:r w:rsidR="004C5CF4">
        <w:rPr>
          <w:rFonts w:ascii="Times New Roman" w:eastAsiaTheme="minorHAnsi" w:hAnsi="Times New Roman"/>
          <w:sz w:val="24"/>
        </w:rPr>
        <w:t xml:space="preserve"> </w:t>
      </w:r>
      <w:r w:rsidRPr="00F17FAA">
        <w:rPr>
          <w:rFonts w:ascii="Times New Roman" w:eastAsiaTheme="minorHAnsi" w:hAnsi="Times New Roman"/>
          <w:sz w:val="24"/>
        </w:rPr>
        <w:t xml:space="preserve">made by the Lao PEFA Assessment Team with the relevant experts </w:t>
      </w:r>
      <w:proofErr w:type="gramStart"/>
      <w:r w:rsidRPr="00F17FAA">
        <w:rPr>
          <w:rFonts w:ascii="Times New Roman" w:eastAsiaTheme="minorHAnsi" w:hAnsi="Times New Roman"/>
          <w:sz w:val="24"/>
        </w:rPr>
        <w:t>in order to</w:t>
      </w:r>
      <w:proofErr w:type="gramEnd"/>
      <w:r w:rsidRPr="00F17FAA">
        <w:rPr>
          <w:rFonts w:ascii="Times New Roman" w:eastAsiaTheme="minorHAnsi" w:hAnsi="Times New Roman"/>
          <w:sz w:val="24"/>
        </w:rPr>
        <w:t xml:space="preserve"> cross-reference the findings from the assessment, validate the technical narrative on performance and integrate the ongoing or planned activities within the report where relevant. The team also reach</w:t>
      </w:r>
      <w:r w:rsidR="00F04246">
        <w:rPr>
          <w:rFonts w:ascii="Times New Roman" w:eastAsiaTheme="minorHAnsi" w:hAnsi="Times New Roman"/>
          <w:sz w:val="24"/>
        </w:rPr>
        <w:t>ed</w:t>
      </w:r>
      <w:r w:rsidRPr="00F17FAA">
        <w:rPr>
          <w:rFonts w:ascii="Times New Roman" w:eastAsiaTheme="minorHAnsi" w:hAnsi="Times New Roman"/>
          <w:sz w:val="24"/>
        </w:rPr>
        <w:t xml:space="preserve"> out to other donors, through direct consultation or peer review, in the areas where additional work has been performed (IMF on fiscal policy, ADB on external audit and decentralization, JICA on public investment, GIZ on parliamentary scrutiny).</w:t>
      </w:r>
    </w:p>
    <w:p w14:paraId="7926154A" w14:textId="77777777" w:rsidR="007E2FD4" w:rsidRPr="00D216BB" w:rsidRDefault="007E2FD4" w:rsidP="007E2FD4">
      <w:pPr>
        <w:ind w:left="0"/>
        <w:rPr>
          <w:rFonts w:ascii="Times New Roman" w:hAnsi="Times New Roman"/>
          <w:b/>
          <w:sz w:val="24"/>
        </w:rPr>
      </w:pPr>
      <w:bookmarkStart w:id="11" w:name="_Toc504974012"/>
      <w:r w:rsidRPr="00D216BB">
        <w:rPr>
          <w:rFonts w:ascii="Times New Roman" w:hAnsi="Times New Roman"/>
          <w:b/>
          <w:sz w:val="24"/>
        </w:rPr>
        <w:t>Purpose of the Assessment</w:t>
      </w:r>
    </w:p>
    <w:p w14:paraId="450BA6ED" w14:textId="77777777" w:rsidR="007E2FD4" w:rsidRPr="00D216B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D216BB">
        <w:rPr>
          <w:rFonts w:ascii="Times New Roman" w:eastAsiaTheme="minorHAnsi" w:hAnsi="Times New Roman"/>
          <w:b/>
          <w:sz w:val="24"/>
        </w:rPr>
        <w:t>In this context, the GoL agreed at the end of 2016 to carry out a PEFA self-assessment managed by the WB and financed by the EU, to establish a diagnostic study of the PFM system using the PEFA 2016 methodology</w:t>
      </w:r>
      <w:r w:rsidRPr="00C001AC">
        <w:rPr>
          <w:rFonts w:ascii="Times New Roman" w:eastAsiaTheme="minorHAnsi" w:hAnsi="Times New Roman"/>
          <w:sz w:val="24"/>
          <w:vertAlign w:val="superscript"/>
        </w:rPr>
        <w:footnoteReference w:id="1"/>
      </w:r>
      <w:r w:rsidRPr="00D216BB">
        <w:rPr>
          <w:rFonts w:ascii="Times New Roman" w:eastAsiaTheme="minorHAnsi" w:hAnsi="Times New Roman"/>
          <w:b/>
          <w:sz w:val="24"/>
        </w:rPr>
        <w:t xml:space="preserve">. </w:t>
      </w:r>
      <w:r w:rsidRPr="00D216BB">
        <w:rPr>
          <w:rFonts w:ascii="Times New Roman" w:eastAsiaTheme="minorHAnsi" w:hAnsi="Times New Roman"/>
          <w:sz w:val="24"/>
        </w:rPr>
        <w:t xml:space="preserve">It is expected that the PEFA exercise gives further impetus to the momentum created by the launch of the PFM reform agenda, mobilizing the participating institutions on the subsequent dialogue on PFM reform policy decisions. </w:t>
      </w:r>
    </w:p>
    <w:p w14:paraId="6B0FB36D" w14:textId="77777777" w:rsidR="007E2FD4" w:rsidRPr="00D216BB" w:rsidRDefault="007E2FD4" w:rsidP="008037D9">
      <w:pPr>
        <w:pStyle w:val="ListParagraph"/>
        <w:widowControl w:val="0"/>
        <w:numPr>
          <w:ilvl w:val="0"/>
          <w:numId w:val="32"/>
        </w:numPr>
        <w:autoSpaceDE w:val="0"/>
        <w:autoSpaceDN w:val="0"/>
        <w:adjustRightInd w:val="0"/>
        <w:spacing w:after="120"/>
        <w:ind w:left="0" w:firstLine="0"/>
        <w:contextualSpacing w:val="0"/>
        <w:rPr>
          <w:rFonts w:ascii="Times New Roman" w:eastAsiaTheme="minorHAnsi" w:hAnsi="Times New Roman"/>
          <w:sz w:val="24"/>
        </w:rPr>
      </w:pPr>
      <w:r w:rsidRPr="00D216BB">
        <w:rPr>
          <w:rFonts w:ascii="Times New Roman" w:eastAsiaTheme="minorHAnsi" w:hAnsi="Times New Roman"/>
          <w:b/>
          <w:sz w:val="24"/>
        </w:rPr>
        <w:t>The overall objective of the PEFA assessment is to provide a baseline with an evidence-based PFM performance assessment to guide the Government’s PFM reform strategy and potential engagement with its development partners in further strengthening PFM in the country.</w:t>
      </w:r>
    </w:p>
    <w:p w14:paraId="54635AED" w14:textId="77777777" w:rsidR="007E2FD4" w:rsidRPr="00D216BB" w:rsidRDefault="007E2FD4" w:rsidP="008037D9">
      <w:pPr>
        <w:pStyle w:val="ListParagraph"/>
        <w:widowControl w:val="0"/>
        <w:numPr>
          <w:ilvl w:val="0"/>
          <w:numId w:val="32"/>
        </w:numPr>
        <w:autoSpaceDE w:val="0"/>
        <w:autoSpaceDN w:val="0"/>
        <w:adjustRightInd w:val="0"/>
        <w:spacing w:after="120"/>
        <w:ind w:left="0" w:firstLine="0"/>
        <w:contextualSpacing w:val="0"/>
        <w:rPr>
          <w:rFonts w:ascii="Times New Roman" w:eastAsiaTheme="minorHAnsi" w:hAnsi="Times New Roman"/>
          <w:sz w:val="24"/>
        </w:rPr>
      </w:pPr>
      <w:r w:rsidRPr="00D216BB">
        <w:rPr>
          <w:rFonts w:ascii="Times New Roman" w:eastAsiaTheme="minorHAnsi" w:hAnsi="Times New Roman"/>
          <w:b/>
          <w:sz w:val="24"/>
        </w:rPr>
        <w:t xml:space="preserve">The specific objectives of the 2018 PEFA assessment are:  </w:t>
      </w:r>
    </w:p>
    <w:p w14:paraId="02A41988" w14:textId="77777777" w:rsidR="007E2FD4" w:rsidRPr="000568EC" w:rsidRDefault="007E2FD4" w:rsidP="000568EC">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0568EC">
        <w:rPr>
          <w:rFonts w:ascii="Times New Roman" w:hAnsi="Times New Roman"/>
          <w:sz w:val="24"/>
        </w:rPr>
        <w:t>to help the Government prioritize its initiatives laid out in the Public Finance Development Strategy to 2025 focusing on the areas where basic foundations systems are required;</w:t>
      </w:r>
    </w:p>
    <w:p w14:paraId="6C742B4E" w14:textId="77777777" w:rsidR="007E2FD4" w:rsidRPr="000568EC" w:rsidRDefault="007E2FD4" w:rsidP="000568EC">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0568EC">
        <w:rPr>
          <w:rFonts w:ascii="Times New Roman" w:hAnsi="Times New Roman"/>
          <w:sz w:val="24"/>
        </w:rPr>
        <w:t>to build the capacity and understanding of Government technical staff of the underlying PFM systems and standards and practices to strengthen their ability to deliver on the PFM action plans;</w:t>
      </w:r>
    </w:p>
    <w:p w14:paraId="3FAE3252" w14:textId="77777777" w:rsidR="007E2FD4" w:rsidRPr="000568EC" w:rsidRDefault="007E2FD4" w:rsidP="000568EC">
      <w:pPr>
        <w:pStyle w:val="ListParagraph"/>
        <w:widowControl w:val="0"/>
        <w:numPr>
          <w:ilvl w:val="1"/>
          <w:numId w:val="4"/>
        </w:numPr>
        <w:autoSpaceDE w:val="0"/>
        <w:autoSpaceDN w:val="0"/>
        <w:adjustRightInd w:val="0"/>
        <w:spacing w:before="0" w:after="240"/>
        <w:ind w:left="720"/>
        <w:contextualSpacing w:val="0"/>
        <w:rPr>
          <w:rFonts w:ascii="Times New Roman" w:hAnsi="Times New Roman"/>
          <w:sz w:val="24"/>
        </w:rPr>
      </w:pPr>
      <w:r w:rsidRPr="000568EC">
        <w:rPr>
          <w:rFonts w:ascii="Times New Roman" w:hAnsi="Times New Roman"/>
          <w:sz w:val="24"/>
        </w:rPr>
        <w:t>to establish the Government’s platform for measuring PFM progress going forward and enable regular updates to the PFM reform program and subsequent monitoring.</w:t>
      </w:r>
    </w:p>
    <w:p w14:paraId="18CD3C3F" w14:textId="77777777" w:rsidR="007E2FD4" w:rsidRPr="0035135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D216BB">
        <w:rPr>
          <w:rFonts w:ascii="Times New Roman" w:eastAsiaTheme="minorHAnsi" w:hAnsi="Times New Roman"/>
          <w:b/>
          <w:sz w:val="24"/>
        </w:rPr>
        <w:t xml:space="preserve">For development partners, the PEFA Lao PDR 2018 is an opportunity to define a common diagnostic as a basis to dialogue with the Government on its future PFM reform needs, </w:t>
      </w:r>
      <w:r w:rsidRPr="00D216BB">
        <w:rPr>
          <w:rFonts w:ascii="Times New Roman" w:eastAsiaTheme="minorHAnsi" w:hAnsi="Times New Roman"/>
          <w:sz w:val="24"/>
        </w:rPr>
        <w:t xml:space="preserve">the priority areas for reform in the short to mid-term and to plan their program of support accordingly. For the WB and the EU, the report will provide an input to confirm the </w:t>
      </w:r>
      <w:r w:rsidRPr="00D216BB">
        <w:rPr>
          <w:rFonts w:ascii="Times New Roman" w:eastAsiaTheme="minorHAnsi" w:hAnsi="Times New Roman"/>
          <w:sz w:val="24"/>
        </w:rPr>
        <w:lastRenderedPageBreak/>
        <w:t xml:space="preserve">appropriateness of their ongoing budget support operations and their ongoing and future technical assistance program. For example, the EU’s planned Economic Governance Program in Lao PDR is aligned with supporting the implementation of reform recommendations following the PEFA; and uses the finalization of the PEFA assessment 2017-18, as well as </w:t>
      </w:r>
      <w:proofErr w:type="gramStart"/>
      <w:r w:rsidRPr="00D216BB">
        <w:rPr>
          <w:rFonts w:ascii="Times New Roman" w:eastAsiaTheme="minorHAnsi" w:hAnsi="Times New Roman"/>
          <w:sz w:val="24"/>
        </w:rPr>
        <w:t>a number of</w:t>
      </w:r>
      <w:proofErr w:type="gramEnd"/>
      <w:r w:rsidRPr="00D216BB">
        <w:rPr>
          <w:rFonts w:ascii="Times New Roman" w:eastAsiaTheme="minorHAnsi" w:hAnsi="Times New Roman"/>
          <w:sz w:val="24"/>
        </w:rPr>
        <w:t xml:space="preserve"> indicators to monitor the progress of this Program. The EU’s ongoing (2013-18) budget support operation in Lao PDR amounts to EUR14 million and a new budget support program for the education sector is planned for 2018 of EUR55 million.</w:t>
      </w:r>
    </w:p>
    <w:p w14:paraId="148D092B" w14:textId="77777777" w:rsidR="007E2FD4" w:rsidRPr="0035135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D216BB">
        <w:rPr>
          <w:rFonts w:ascii="Times New Roman" w:eastAsiaTheme="minorHAnsi" w:hAnsi="Times New Roman"/>
          <w:b/>
          <w:sz w:val="24"/>
        </w:rPr>
        <w:t>The PFMMP Single-Donor Trust Fund (SDTF) funded by EU and managed by the WB was established in January 2016 for a first phase until September 2018</w:t>
      </w:r>
      <w:r>
        <w:rPr>
          <w:rFonts w:ascii="Times New Roman" w:eastAsiaTheme="minorHAnsi" w:hAnsi="Times New Roman"/>
          <w:b/>
          <w:sz w:val="24"/>
        </w:rPr>
        <w:t xml:space="preserve">.  </w:t>
      </w:r>
      <w:r w:rsidRPr="00D216BB">
        <w:rPr>
          <w:rFonts w:ascii="Times New Roman" w:eastAsiaTheme="minorHAnsi" w:hAnsi="Times New Roman"/>
          <w:sz w:val="24"/>
        </w:rPr>
        <w:t>This supports the Government’s PFM reforms in general and the implementation of the Government financial management agenda.</w:t>
      </w:r>
      <w:r w:rsidRPr="00D216BB">
        <w:rPr>
          <w:rFonts w:ascii="Times New Roman" w:eastAsiaTheme="minorHAnsi" w:hAnsi="Times New Roman"/>
          <w:b/>
          <w:sz w:val="24"/>
        </w:rPr>
        <w:t xml:space="preserve"> </w:t>
      </w:r>
      <w:r w:rsidRPr="00D216BB">
        <w:rPr>
          <w:rFonts w:ascii="Times New Roman" w:eastAsiaTheme="minorHAnsi" w:hAnsi="Times New Roman"/>
          <w:sz w:val="24"/>
        </w:rPr>
        <w:t>It is expected that the recommendations of the PEFA report will support the definition of priorities for the GoL’s Public Finance reform agenda and contribute to the design of the Phase 2 of the Program, which is planned to run from October 2018 – September 2021.</w:t>
      </w:r>
    </w:p>
    <w:p w14:paraId="01A566A7" w14:textId="77777777" w:rsidR="007E2FD4" w:rsidRPr="006C568F" w:rsidRDefault="007E2FD4" w:rsidP="007E2FD4">
      <w:pPr>
        <w:spacing w:after="240"/>
        <w:ind w:left="0"/>
        <w:rPr>
          <w:rFonts w:ascii="Times New Roman" w:hAnsi="Times New Roman"/>
          <w:b/>
          <w:sz w:val="24"/>
        </w:rPr>
      </w:pPr>
      <w:r w:rsidRPr="006C568F">
        <w:rPr>
          <w:rFonts w:ascii="Times New Roman" w:hAnsi="Times New Roman"/>
          <w:b/>
          <w:sz w:val="24"/>
        </w:rPr>
        <w:t>1.2 Assessment management and quality assurance</w:t>
      </w:r>
      <w:bookmarkEnd w:id="11"/>
    </w:p>
    <w:p w14:paraId="415FD8B4" w14:textId="77777777" w:rsidR="007E2FD4" w:rsidRPr="006C568F"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6C568F">
        <w:rPr>
          <w:rFonts w:ascii="Times New Roman" w:eastAsiaTheme="minorHAnsi" w:hAnsi="Times New Roman"/>
          <w:b/>
          <w:sz w:val="24"/>
        </w:rPr>
        <w:t xml:space="preserve">The PEFA assessment has been carried out </w:t>
      </w:r>
      <w:r w:rsidR="00F04246">
        <w:rPr>
          <w:rFonts w:ascii="Times New Roman" w:eastAsiaTheme="minorHAnsi" w:hAnsi="Times New Roman"/>
          <w:b/>
          <w:sz w:val="24"/>
        </w:rPr>
        <w:t xml:space="preserve">jointly by the </w:t>
      </w:r>
      <w:r w:rsidRPr="006C568F">
        <w:rPr>
          <w:rFonts w:ascii="Times New Roman" w:eastAsiaTheme="minorHAnsi" w:hAnsi="Times New Roman"/>
          <w:b/>
          <w:sz w:val="24"/>
        </w:rPr>
        <w:t xml:space="preserve">GoL the WB team and consultants. </w:t>
      </w:r>
    </w:p>
    <w:p w14:paraId="15094889" w14:textId="77777777"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6C568F">
        <w:rPr>
          <w:rFonts w:ascii="Times New Roman" w:eastAsiaTheme="minorHAnsi" w:hAnsi="Times New Roman"/>
          <w:b/>
          <w:sz w:val="24"/>
        </w:rPr>
        <w:t xml:space="preserve">The Government set up the PEFA assessment governance structure as per recommended structure of the PEFA methodology. </w:t>
      </w:r>
      <w:r w:rsidRPr="006C568F">
        <w:rPr>
          <w:rFonts w:ascii="Times New Roman" w:eastAsiaTheme="minorHAnsi" w:hAnsi="Times New Roman"/>
          <w:sz w:val="24"/>
        </w:rPr>
        <w:t>This included the PEFA Steering Committee (Oversight Team), the PEFA Assessment Technical Working Group (Assessment Team) and the Secretariat for the PEFA Assessment Technical Working Group through a Minister of Finance / Deputy Prime Minister’s decision dated July 25, 2017.</w:t>
      </w:r>
      <w:r w:rsidRPr="006C568F">
        <w:rPr>
          <w:rFonts w:ascii="Times New Roman" w:eastAsiaTheme="minorHAnsi" w:hAnsi="Times New Roman"/>
          <w:b/>
          <w:sz w:val="24"/>
        </w:rPr>
        <w:t xml:space="preserve"> </w:t>
      </w:r>
      <w:r w:rsidRPr="006C568F">
        <w:rPr>
          <w:rFonts w:ascii="Times New Roman" w:eastAsiaTheme="minorHAnsi" w:hAnsi="Times New Roman"/>
          <w:sz w:val="24"/>
        </w:rPr>
        <w:t xml:space="preserve">While the MoF is the main Government liaison office through its representation on the Lao PEFA Assessment Steering Committee, other institutions, such as MPI, </w:t>
      </w:r>
      <w:proofErr w:type="spellStart"/>
      <w:r w:rsidRPr="006C568F">
        <w:rPr>
          <w:rFonts w:ascii="Times New Roman" w:eastAsiaTheme="minorHAnsi" w:hAnsi="Times New Roman"/>
          <w:sz w:val="24"/>
        </w:rPr>
        <w:t>MoH</w:t>
      </w:r>
      <w:proofErr w:type="spellEnd"/>
      <w:r w:rsidRPr="006C568F">
        <w:rPr>
          <w:rFonts w:ascii="Times New Roman" w:eastAsiaTheme="minorHAnsi" w:hAnsi="Times New Roman"/>
          <w:sz w:val="24"/>
        </w:rPr>
        <w:t xml:space="preserve">, </w:t>
      </w:r>
      <w:proofErr w:type="spellStart"/>
      <w:r w:rsidRPr="006C568F">
        <w:rPr>
          <w:rFonts w:ascii="Times New Roman" w:eastAsiaTheme="minorHAnsi" w:hAnsi="Times New Roman"/>
          <w:sz w:val="24"/>
        </w:rPr>
        <w:t>MoES</w:t>
      </w:r>
      <w:proofErr w:type="spellEnd"/>
      <w:r w:rsidRPr="006C568F">
        <w:rPr>
          <w:rFonts w:ascii="Times New Roman" w:eastAsiaTheme="minorHAnsi" w:hAnsi="Times New Roman"/>
          <w:sz w:val="24"/>
        </w:rPr>
        <w:t xml:space="preserve">, SAO and the NA contributed to the PEFA assessment through their representation on the Lao PEFA Assessment Team. Similarly, organizations and officials not represented on the Lao PEFA Assessment Team but involved in budget formulation, budget execution, procurement, internal audit, control and accounting and reporting will be contacted to ensure the correct data is used for the scoring of indicators (see Annex 3 B). Additionally, some major line ministries have been involved to triangulate information obtained from the MoF directorate and assess performance of decentralized systems applying a sampling approach (PI-8, PI-24, PI-26). The main revenue collecting extra-budgetary Funds have been covered as well as one province (Luang Prabang), as representative of the provincial government. </w:t>
      </w:r>
    </w:p>
    <w:p w14:paraId="2030783A" w14:textId="77777777" w:rsidR="007E2FD4" w:rsidRPr="006C568F" w:rsidRDefault="007E2FD4" w:rsidP="00CE5E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6C568F">
        <w:rPr>
          <w:rFonts w:ascii="Times New Roman" w:eastAsiaTheme="minorHAnsi" w:hAnsi="Times New Roman"/>
          <w:b/>
          <w:sz w:val="24"/>
        </w:rPr>
        <w:t>The WB country team provided continuous support to the self-assessment with technical guidance and quality assurance throughout the assessment process</w:t>
      </w:r>
      <w:r w:rsidRPr="006C568F">
        <w:rPr>
          <w:rFonts w:ascii="Times New Roman" w:eastAsiaTheme="minorHAnsi" w:hAnsi="Times New Roman"/>
          <w:sz w:val="24"/>
        </w:rPr>
        <w:t>. Two PEFA and PFM specialists, Ms. Sylvie Zaitra (Lead) and Mr. Brandon Lundberg were contracted by the WB to support the Lao PEFA Assessment Team through technical inputs, dissemination of scoring methodology and evidence requirements. This assistance include</w:t>
      </w:r>
      <w:r w:rsidR="005E5582">
        <w:rPr>
          <w:rFonts w:ascii="Times New Roman" w:eastAsiaTheme="minorHAnsi" w:hAnsi="Times New Roman"/>
          <w:sz w:val="24"/>
        </w:rPr>
        <w:t>d</w:t>
      </w:r>
      <w:r w:rsidRPr="006C568F">
        <w:rPr>
          <w:rFonts w:ascii="Times New Roman" w:eastAsiaTheme="minorHAnsi" w:hAnsi="Times New Roman"/>
          <w:sz w:val="24"/>
        </w:rPr>
        <w:t xml:space="preserve"> the drafting of the report for discussion and validation. While the consultants support</w:t>
      </w:r>
      <w:r w:rsidR="005E5582">
        <w:rPr>
          <w:rFonts w:ascii="Times New Roman" w:eastAsiaTheme="minorHAnsi" w:hAnsi="Times New Roman"/>
          <w:sz w:val="24"/>
        </w:rPr>
        <w:t>ed</w:t>
      </w:r>
      <w:r w:rsidRPr="006C568F">
        <w:rPr>
          <w:rFonts w:ascii="Times New Roman" w:eastAsiaTheme="minorHAnsi" w:hAnsi="Times New Roman"/>
          <w:sz w:val="24"/>
        </w:rPr>
        <w:t xml:space="preserve"> the government in all PEFA inputs and outputs the WB team has been closely involved and responsible for the overall dialogue with the GoL counterparts throughout the assessment process, providing technical guidance and mobilizing WB expertise to ensure the quality of the report and supporting the MoF PEFA Secretariat in the mission planning and coordination, follow up on information and data collection and translation between and during consultants’ missions to facilitate the assessment process.</w:t>
      </w:r>
      <w:r w:rsidRPr="006C568F">
        <w:rPr>
          <w:rFonts w:ascii="Times New Roman" w:hAnsi="Times New Roman"/>
        </w:rPr>
        <w:t xml:space="preserve"> </w:t>
      </w:r>
      <w:r w:rsidRPr="006C568F">
        <w:rPr>
          <w:rFonts w:ascii="Times New Roman" w:eastAsiaTheme="minorHAnsi" w:hAnsi="Times New Roman"/>
          <w:sz w:val="24"/>
        </w:rPr>
        <w:t xml:space="preserve">Data collection, assessment, draft of the write-ups and report and scoring </w:t>
      </w:r>
      <w:r w:rsidRPr="006C568F">
        <w:rPr>
          <w:rFonts w:ascii="Times New Roman" w:eastAsiaTheme="minorHAnsi" w:hAnsi="Times New Roman"/>
          <w:sz w:val="24"/>
        </w:rPr>
        <w:lastRenderedPageBreak/>
        <w:t>have been carried out by the Lao PEFA Assessment Team’s Lead expert and submitted to the Steering Committee’s review and endorsement prior to the peer review process.</w:t>
      </w:r>
    </w:p>
    <w:p w14:paraId="7E811558" w14:textId="77777777" w:rsidR="007E2FD4" w:rsidRPr="006C568F"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6C568F">
        <w:rPr>
          <w:rFonts w:ascii="Times New Roman" w:hAnsi="Times New Roman"/>
          <w:b/>
          <w:sz w:val="24"/>
        </w:rPr>
        <w:t>Internal and external peer reviewers were involved</w:t>
      </w:r>
      <w:r w:rsidRPr="006C568F">
        <w:rPr>
          <w:rFonts w:ascii="Times New Roman" w:hAnsi="Times New Roman"/>
          <w:sz w:val="24"/>
        </w:rPr>
        <w:t xml:space="preserve"> in the review of the concept note and the final report. </w:t>
      </w:r>
      <w:r w:rsidR="00C22754">
        <w:rPr>
          <w:rFonts w:ascii="Times New Roman" w:hAnsi="Times New Roman"/>
          <w:sz w:val="24"/>
        </w:rPr>
        <w:t>There was a validation process that included a retreat in August 2018</w:t>
      </w:r>
      <w:r w:rsidR="00EF0FF0">
        <w:rPr>
          <w:rFonts w:ascii="Times New Roman" w:hAnsi="Times New Roman"/>
          <w:sz w:val="24"/>
        </w:rPr>
        <w:t xml:space="preserve"> with technical </w:t>
      </w:r>
      <w:r w:rsidR="009B299C">
        <w:rPr>
          <w:rFonts w:ascii="Times New Roman" w:hAnsi="Times New Roman"/>
          <w:sz w:val="24"/>
        </w:rPr>
        <w:t xml:space="preserve">and political </w:t>
      </w:r>
      <w:r w:rsidR="00EF0FF0">
        <w:rPr>
          <w:rFonts w:ascii="Times New Roman" w:hAnsi="Times New Roman"/>
          <w:sz w:val="24"/>
        </w:rPr>
        <w:t xml:space="preserve">counterparts </w:t>
      </w:r>
      <w:r w:rsidR="009B299C">
        <w:rPr>
          <w:rFonts w:ascii="Times New Roman" w:hAnsi="Times New Roman"/>
          <w:sz w:val="24"/>
        </w:rPr>
        <w:t>of</w:t>
      </w:r>
      <w:r w:rsidR="008B1459">
        <w:rPr>
          <w:rFonts w:ascii="Times New Roman" w:hAnsi="Times New Roman"/>
          <w:sz w:val="24"/>
        </w:rPr>
        <w:t xml:space="preserve"> </w:t>
      </w:r>
      <w:r w:rsidR="00C22754">
        <w:rPr>
          <w:rFonts w:ascii="Times New Roman" w:hAnsi="Times New Roman"/>
          <w:sz w:val="24"/>
        </w:rPr>
        <w:t xml:space="preserve">the </w:t>
      </w:r>
      <w:r w:rsidR="00187E70">
        <w:rPr>
          <w:rFonts w:ascii="Times New Roman" w:hAnsi="Times New Roman"/>
          <w:sz w:val="24"/>
        </w:rPr>
        <w:t xml:space="preserve">Government’s team to comment on the results which provided endorsement of the PEFA and commitment to the process.  </w:t>
      </w:r>
      <w:r w:rsidRPr="006C568F">
        <w:rPr>
          <w:rFonts w:ascii="Times New Roman" w:hAnsi="Times New Roman"/>
          <w:sz w:val="24"/>
        </w:rPr>
        <w:t>External peer reviewers include the GOL, the PEFA Secretariat, donor representatives of the PFM MDTF program, and other development partner</w:t>
      </w:r>
      <w:r>
        <w:rPr>
          <w:rFonts w:ascii="Times New Roman" w:hAnsi="Times New Roman"/>
          <w:sz w:val="24"/>
        </w:rPr>
        <w:t>s</w:t>
      </w:r>
      <w:r w:rsidRPr="006C568F">
        <w:rPr>
          <w:rFonts w:ascii="Times New Roman" w:hAnsi="Times New Roman"/>
          <w:sz w:val="24"/>
        </w:rPr>
        <w:t xml:space="preserve">. </w:t>
      </w:r>
    </w:p>
    <w:p w14:paraId="391CCDBA" w14:textId="77777777" w:rsidR="007E2FD4" w:rsidRPr="00112B86" w:rsidRDefault="00916760"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Pr>
          <w:rFonts w:ascii="Times New Roman" w:eastAsiaTheme="minorHAnsi" w:hAnsi="Times New Roman"/>
          <w:sz w:val="24"/>
        </w:rPr>
        <w:t>A</w:t>
      </w:r>
      <w:r w:rsidR="007E2FD4" w:rsidRPr="00112B86">
        <w:rPr>
          <w:rFonts w:ascii="Times New Roman" w:eastAsiaTheme="minorHAnsi" w:hAnsi="Times New Roman"/>
          <w:sz w:val="24"/>
        </w:rPr>
        <w:t>ll stakeholders worked together to ensure a quality assessment report is produced.  Decisions on final ratings have been made in consultation with the WB.</w:t>
      </w:r>
    </w:p>
    <w:p w14:paraId="210D1CAF" w14:textId="77777777" w:rsidR="007E2FD4" w:rsidRPr="00112B86"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016CCD">
        <w:rPr>
          <w:rFonts w:ascii="Times New Roman" w:hAnsi="Times New Roman"/>
          <w:b/>
          <w:sz w:val="24"/>
          <w:lang w:val="en-ID"/>
        </w:rPr>
        <w:t>The assessment management and quality assurance arrangements,</w:t>
      </w:r>
      <w:r w:rsidRPr="00112B86">
        <w:rPr>
          <w:rFonts w:ascii="Times New Roman" w:hAnsi="Times New Roman"/>
          <w:sz w:val="24"/>
          <w:lang w:val="en-ID"/>
        </w:rPr>
        <w:t xml:space="preserve"> with the names of all individuals who participated in the different stages of the assessment process, are presented in the Box</w:t>
      </w:r>
      <w:r>
        <w:rPr>
          <w:rFonts w:ascii="Times New Roman" w:hAnsi="Times New Roman"/>
          <w:sz w:val="24"/>
          <w:lang w:val="en-ID"/>
        </w:rPr>
        <w:t xml:space="preserve"> 1.</w:t>
      </w:r>
    </w:p>
    <w:p w14:paraId="0F121D53" w14:textId="77777777" w:rsidR="007E2FD4" w:rsidRPr="006C568F" w:rsidRDefault="007E2FD4" w:rsidP="007E2FD4">
      <w:pPr>
        <w:rPr>
          <w:rFonts w:ascii="Times New Roman" w:hAnsi="Times New Roman"/>
          <w:b/>
          <w:sz w:val="24"/>
        </w:rPr>
      </w:pPr>
      <w:bookmarkStart w:id="12" w:name="_Toc495306354"/>
      <w:r w:rsidRPr="006C568F">
        <w:rPr>
          <w:rFonts w:ascii="Times New Roman" w:hAnsi="Times New Roman"/>
          <w:b/>
          <w:sz w:val="24"/>
        </w:rPr>
        <w:t>Box</w:t>
      </w:r>
      <w:r>
        <w:rPr>
          <w:rFonts w:ascii="Times New Roman" w:hAnsi="Times New Roman"/>
          <w:b/>
          <w:sz w:val="24"/>
        </w:rPr>
        <w:t xml:space="preserve"> 1</w:t>
      </w:r>
      <w:r w:rsidRPr="006C568F">
        <w:rPr>
          <w:rFonts w:ascii="Times New Roman" w:hAnsi="Times New Roman"/>
          <w:b/>
          <w:sz w:val="24"/>
        </w:rPr>
        <w:t>: Assessment Management and Quality Assurance Arrangements</w:t>
      </w:r>
      <w:bookmarkEnd w:id="12"/>
    </w:p>
    <w:tbl>
      <w:tblPr>
        <w:tblStyle w:val="TableGrid"/>
        <w:tblW w:w="900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03"/>
      </w:tblGrid>
      <w:tr w:rsidR="007E2FD4" w:rsidRPr="00C001AC" w14:paraId="4601B5EB" w14:textId="77777777" w:rsidTr="00CE5ED9">
        <w:tc>
          <w:tcPr>
            <w:tcW w:w="9003" w:type="dxa"/>
            <w:shd w:val="clear" w:color="auto" w:fill="F2F2F2" w:themeFill="background1" w:themeFillShade="F2"/>
          </w:tcPr>
          <w:p w14:paraId="44FBB206" w14:textId="77777777" w:rsidR="007E2FD4" w:rsidRPr="00C001AC" w:rsidRDefault="007E2FD4" w:rsidP="007604FD">
            <w:pPr>
              <w:spacing w:before="0"/>
              <w:ind w:left="0"/>
              <w:jc w:val="center"/>
              <w:rPr>
                <w:b/>
                <w:sz w:val="22"/>
                <w:szCs w:val="22"/>
              </w:rPr>
            </w:pPr>
            <w:r w:rsidRPr="00C001AC">
              <w:rPr>
                <w:b/>
                <w:sz w:val="22"/>
                <w:szCs w:val="22"/>
              </w:rPr>
              <w:t>PEFA assessment management organization</w:t>
            </w:r>
          </w:p>
          <w:p w14:paraId="06E964DA" w14:textId="77777777" w:rsidR="007E2FD4" w:rsidRPr="00C001AC" w:rsidRDefault="007E2FD4" w:rsidP="007604FD">
            <w:pPr>
              <w:spacing w:before="0"/>
              <w:ind w:left="0"/>
              <w:rPr>
                <w:b/>
                <w:sz w:val="22"/>
                <w:szCs w:val="22"/>
              </w:rPr>
            </w:pPr>
            <w:r w:rsidRPr="00C001AC">
              <w:rPr>
                <w:b/>
                <w:sz w:val="22"/>
                <w:szCs w:val="22"/>
              </w:rPr>
              <w:t>Oversight Team/Steering Committee</w:t>
            </w:r>
          </w:p>
          <w:p w14:paraId="42CEBC69" w14:textId="77777777" w:rsidR="007E2FD4" w:rsidRPr="00C001AC" w:rsidRDefault="007E2FD4" w:rsidP="007604FD">
            <w:pPr>
              <w:spacing w:before="0"/>
              <w:ind w:left="0"/>
              <w:rPr>
                <w:b/>
                <w:sz w:val="22"/>
                <w:szCs w:val="22"/>
              </w:rPr>
            </w:pPr>
            <w:r w:rsidRPr="00C001AC">
              <w:rPr>
                <w:b/>
                <w:sz w:val="22"/>
                <w:szCs w:val="22"/>
              </w:rPr>
              <w:t>Chair and Members:</w:t>
            </w:r>
          </w:p>
          <w:p w14:paraId="101EF159"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Mr. </w:t>
            </w:r>
            <w:proofErr w:type="spellStart"/>
            <w:r w:rsidRPr="00C001AC">
              <w:rPr>
                <w:sz w:val="22"/>
                <w:szCs w:val="22"/>
              </w:rPr>
              <w:t>Atsaphangthong</w:t>
            </w:r>
            <w:proofErr w:type="spellEnd"/>
            <w:r w:rsidRPr="00C001AC">
              <w:rPr>
                <w:sz w:val="22"/>
                <w:szCs w:val="22"/>
              </w:rPr>
              <w:t xml:space="preserve"> </w:t>
            </w:r>
            <w:proofErr w:type="spellStart"/>
            <w:r w:rsidRPr="00C001AC">
              <w:rPr>
                <w:sz w:val="22"/>
                <w:szCs w:val="22"/>
              </w:rPr>
              <w:t>Siphandone</w:t>
            </w:r>
            <w:proofErr w:type="spellEnd"/>
            <w:r w:rsidRPr="00C001AC">
              <w:rPr>
                <w:sz w:val="22"/>
                <w:szCs w:val="22"/>
              </w:rPr>
              <w:t>, Deputy Minister of Finance Ministry of Finance (Head)</w:t>
            </w:r>
          </w:p>
          <w:p w14:paraId="0E1D97B6" w14:textId="77777777" w:rsidR="007E2FD4" w:rsidRPr="00C001AC" w:rsidRDefault="007E2FD4" w:rsidP="00CE5ED9">
            <w:pPr>
              <w:pStyle w:val="ListParagraph"/>
              <w:numPr>
                <w:ilvl w:val="0"/>
                <w:numId w:val="8"/>
              </w:numPr>
              <w:spacing w:before="0"/>
              <w:ind w:left="342" w:hanging="270"/>
              <w:contextualSpacing w:val="0"/>
              <w:jc w:val="left"/>
              <w:rPr>
                <w:sz w:val="22"/>
                <w:szCs w:val="22"/>
              </w:rPr>
            </w:pPr>
            <w:proofErr w:type="spellStart"/>
            <w:proofErr w:type="gramStart"/>
            <w:r w:rsidRPr="00C001AC">
              <w:rPr>
                <w:sz w:val="22"/>
                <w:szCs w:val="22"/>
              </w:rPr>
              <w:t>Dr.Bounleua</w:t>
            </w:r>
            <w:proofErr w:type="spellEnd"/>
            <w:proofErr w:type="gramEnd"/>
            <w:r w:rsidRPr="00C001AC">
              <w:rPr>
                <w:sz w:val="22"/>
                <w:szCs w:val="22"/>
              </w:rPr>
              <w:t xml:space="preserve"> </w:t>
            </w:r>
            <w:proofErr w:type="spellStart"/>
            <w:r w:rsidRPr="00C001AC">
              <w:rPr>
                <w:sz w:val="22"/>
                <w:szCs w:val="22"/>
              </w:rPr>
              <w:t>Sinxayvoravong</w:t>
            </w:r>
            <w:proofErr w:type="spellEnd"/>
            <w:r w:rsidRPr="00C001AC">
              <w:rPr>
                <w:sz w:val="22"/>
                <w:szCs w:val="22"/>
              </w:rPr>
              <w:t>, Director General Fiscal Policy Department (Deputy Head)</w:t>
            </w:r>
          </w:p>
          <w:p w14:paraId="2051D352"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Madame </w:t>
            </w:r>
            <w:proofErr w:type="spellStart"/>
            <w:r w:rsidRPr="00C001AC">
              <w:rPr>
                <w:sz w:val="22"/>
                <w:szCs w:val="22"/>
              </w:rPr>
              <w:t>Yord</w:t>
            </w:r>
            <w:proofErr w:type="spellEnd"/>
            <w:r w:rsidRPr="00C001AC">
              <w:rPr>
                <w:sz w:val="22"/>
                <w:szCs w:val="22"/>
              </w:rPr>
              <w:t xml:space="preserve"> </w:t>
            </w:r>
            <w:proofErr w:type="spellStart"/>
            <w:r w:rsidRPr="00C001AC">
              <w:rPr>
                <w:sz w:val="22"/>
                <w:szCs w:val="22"/>
              </w:rPr>
              <w:t>Phengsombath</w:t>
            </w:r>
            <w:proofErr w:type="spellEnd"/>
            <w:r w:rsidRPr="00C001AC">
              <w:rPr>
                <w:sz w:val="22"/>
                <w:szCs w:val="22"/>
              </w:rPr>
              <w:t>, Deputy Director General, National Treasury</w:t>
            </w:r>
          </w:p>
          <w:p w14:paraId="7E24BF16"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Madame </w:t>
            </w:r>
            <w:proofErr w:type="spellStart"/>
            <w:r w:rsidRPr="00C001AC">
              <w:rPr>
                <w:sz w:val="22"/>
                <w:szCs w:val="22"/>
              </w:rPr>
              <w:t>Khonemany</w:t>
            </w:r>
            <w:proofErr w:type="spellEnd"/>
            <w:r w:rsidRPr="00C001AC">
              <w:rPr>
                <w:sz w:val="22"/>
                <w:szCs w:val="22"/>
              </w:rPr>
              <w:t xml:space="preserve"> </w:t>
            </w:r>
            <w:proofErr w:type="spellStart"/>
            <w:r w:rsidRPr="00C001AC">
              <w:rPr>
                <w:sz w:val="22"/>
                <w:szCs w:val="22"/>
              </w:rPr>
              <w:t>Phimmasack</w:t>
            </w:r>
            <w:proofErr w:type="spellEnd"/>
            <w:r w:rsidRPr="00C001AC">
              <w:rPr>
                <w:sz w:val="22"/>
                <w:szCs w:val="22"/>
              </w:rPr>
              <w:t>, Deputy Director General Tax Department</w:t>
            </w:r>
          </w:p>
          <w:p w14:paraId="62C3A813"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Mr. </w:t>
            </w:r>
            <w:proofErr w:type="spellStart"/>
            <w:r w:rsidRPr="00C001AC">
              <w:rPr>
                <w:sz w:val="22"/>
                <w:szCs w:val="22"/>
              </w:rPr>
              <w:t>Angkhansada</w:t>
            </w:r>
            <w:proofErr w:type="spellEnd"/>
            <w:r w:rsidRPr="00C001AC">
              <w:rPr>
                <w:sz w:val="22"/>
                <w:szCs w:val="22"/>
              </w:rPr>
              <w:t xml:space="preserve"> </w:t>
            </w:r>
            <w:proofErr w:type="spellStart"/>
            <w:r w:rsidRPr="00C001AC">
              <w:rPr>
                <w:sz w:val="22"/>
                <w:szCs w:val="22"/>
              </w:rPr>
              <w:t>Muangkham</w:t>
            </w:r>
            <w:proofErr w:type="spellEnd"/>
            <w:r w:rsidRPr="00C001AC">
              <w:rPr>
                <w:sz w:val="22"/>
                <w:szCs w:val="22"/>
              </w:rPr>
              <w:t>, Deputy Director General, External Finance Department</w:t>
            </w:r>
          </w:p>
          <w:p w14:paraId="0713CF20" w14:textId="77777777" w:rsidR="007E2FD4" w:rsidRPr="00C001AC" w:rsidRDefault="007E2FD4" w:rsidP="00CE5ED9">
            <w:pPr>
              <w:pStyle w:val="ListParagraph"/>
              <w:spacing w:before="0"/>
              <w:ind w:left="342" w:hanging="270"/>
              <w:contextualSpacing w:val="0"/>
              <w:rPr>
                <w:sz w:val="22"/>
                <w:szCs w:val="22"/>
              </w:rPr>
            </w:pPr>
          </w:p>
          <w:p w14:paraId="1DFDB985" w14:textId="77777777" w:rsidR="007E2FD4" w:rsidRPr="00C001AC" w:rsidRDefault="007E2FD4" w:rsidP="007604FD">
            <w:pPr>
              <w:spacing w:before="0"/>
              <w:ind w:left="0"/>
              <w:rPr>
                <w:b/>
                <w:sz w:val="22"/>
                <w:szCs w:val="22"/>
              </w:rPr>
            </w:pPr>
            <w:r w:rsidRPr="00C001AC">
              <w:rPr>
                <w:b/>
                <w:sz w:val="22"/>
                <w:szCs w:val="22"/>
              </w:rPr>
              <w:t xml:space="preserve">Assessment Team Leader and Team Members/ Assessment Manager:  </w:t>
            </w:r>
          </w:p>
          <w:p w14:paraId="29C2F451"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Team Leader/ Head:  Dr. </w:t>
            </w:r>
            <w:proofErr w:type="spellStart"/>
            <w:r w:rsidRPr="00C001AC">
              <w:rPr>
                <w:sz w:val="22"/>
                <w:szCs w:val="22"/>
              </w:rPr>
              <w:t>Bounleua</w:t>
            </w:r>
            <w:proofErr w:type="spellEnd"/>
            <w:r w:rsidRPr="00C001AC">
              <w:rPr>
                <w:sz w:val="22"/>
                <w:szCs w:val="22"/>
              </w:rPr>
              <w:t xml:space="preserve"> </w:t>
            </w:r>
            <w:proofErr w:type="spellStart"/>
            <w:r w:rsidRPr="00C001AC">
              <w:rPr>
                <w:sz w:val="22"/>
                <w:szCs w:val="22"/>
              </w:rPr>
              <w:t>Sinxayvoravong</w:t>
            </w:r>
            <w:proofErr w:type="spellEnd"/>
            <w:r w:rsidRPr="00C001AC">
              <w:rPr>
                <w:sz w:val="22"/>
                <w:szCs w:val="22"/>
              </w:rPr>
              <w:t xml:space="preserve">, Ministry of Finance, Director General Fiscal Policy and Law Department </w:t>
            </w:r>
          </w:p>
          <w:p w14:paraId="37238877"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Deputy Head: Mr. Soulivath Souvannachoumkham, Ministry of Finance, Deputy Director General Budget Department</w:t>
            </w:r>
          </w:p>
          <w:p w14:paraId="69370A2E"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Manager: </w:t>
            </w:r>
            <w:proofErr w:type="spellStart"/>
            <w:r w:rsidRPr="00C001AC">
              <w:rPr>
                <w:sz w:val="22"/>
                <w:szCs w:val="22"/>
              </w:rPr>
              <w:t>Ms</w:t>
            </w:r>
            <w:proofErr w:type="spellEnd"/>
            <w:r w:rsidRPr="00C001AC">
              <w:rPr>
                <w:sz w:val="22"/>
                <w:szCs w:val="22"/>
              </w:rPr>
              <w:t xml:space="preserve"> Sifong Oumavong, Ministry of Finance, Director of Economics and Fiscal Policy Division, Fiscal Policy and Law Department</w:t>
            </w:r>
          </w:p>
          <w:p w14:paraId="7F8E7574"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Dr. </w:t>
            </w:r>
            <w:proofErr w:type="spellStart"/>
            <w:r w:rsidRPr="00CE5ED9">
              <w:rPr>
                <w:sz w:val="22"/>
                <w:szCs w:val="22"/>
              </w:rPr>
              <w:t>Vilaithong</w:t>
            </w:r>
            <w:proofErr w:type="spellEnd"/>
            <w:r w:rsidRPr="00CE5ED9">
              <w:rPr>
                <w:sz w:val="22"/>
                <w:szCs w:val="22"/>
              </w:rPr>
              <w:t xml:space="preserve"> Southavilay, Ministry of Finance, Deputy Director General of the FITC</w:t>
            </w:r>
          </w:p>
          <w:p w14:paraId="173CCED1"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Bounthong</w:t>
            </w:r>
            <w:proofErr w:type="spellEnd"/>
            <w:r w:rsidRPr="00CE5ED9">
              <w:rPr>
                <w:sz w:val="22"/>
                <w:szCs w:val="22"/>
              </w:rPr>
              <w:t xml:space="preserve"> </w:t>
            </w:r>
            <w:proofErr w:type="spellStart"/>
            <w:r w:rsidRPr="00CE5ED9">
              <w:rPr>
                <w:sz w:val="22"/>
                <w:szCs w:val="22"/>
              </w:rPr>
              <w:t>Munanong</w:t>
            </w:r>
            <w:proofErr w:type="spellEnd"/>
            <w:r w:rsidRPr="00CE5ED9">
              <w:rPr>
                <w:sz w:val="22"/>
                <w:szCs w:val="22"/>
              </w:rPr>
              <w:t>, Ministry of Finance, Deputy Director General</w:t>
            </w:r>
          </w:p>
          <w:p w14:paraId="12D6DC27"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Dr. </w:t>
            </w:r>
            <w:proofErr w:type="spellStart"/>
            <w:r w:rsidRPr="00CE5ED9">
              <w:rPr>
                <w:sz w:val="22"/>
                <w:szCs w:val="22"/>
              </w:rPr>
              <w:t>Kotxaythoun</w:t>
            </w:r>
            <w:proofErr w:type="spellEnd"/>
            <w:r w:rsidRPr="00CE5ED9">
              <w:rPr>
                <w:sz w:val="22"/>
                <w:szCs w:val="22"/>
              </w:rPr>
              <w:t xml:space="preserve"> </w:t>
            </w:r>
            <w:proofErr w:type="spellStart"/>
            <w:r w:rsidRPr="00CE5ED9">
              <w:rPr>
                <w:sz w:val="22"/>
                <w:szCs w:val="22"/>
              </w:rPr>
              <w:t>Phimmasone</w:t>
            </w:r>
            <w:proofErr w:type="spellEnd"/>
            <w:r w:rsidRPr="00CE5ED9">
              <w:rPr>
                <w:sz w:val="22"/>
                <w:szCs w:val="22"/>
              </w:rPr>
              <w:t>, Ministry of Health, Deputy Director General</w:t>
            </w:r>
          </w:p>
          <w:p w14:paraId="57C88ECC"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M</w:t>
            </w:r>
            <w:r w:rsidR="00177ADB">
              <w:rPr>
                <w:sz w:val="22"/>
                <w:szCs w:val="22"/>
              </w:rPr>
              <w:t>r</w:t>
            </w:r>
            <w:r w:rsidRPr="00CE5ED9">
              <w:rPr>
                <w:sz w:val="22"/>
                <w:szCs w:val="22"/>
              </w:rPr>
              <w:t xml:space="preserve">s. Dara </w:t>
            </w:r>
            <w:proofErr w:type="spellStart"/>
            <w:r w:rsidRPr="00CE5ED9">
              <w:rPr>
                <w:sz w:val="22"/>
                <w:szCs w:val="22"/>
              </w:rPr>
              <w:t>Phrakonekham</w:t>
            </w:r>
            <w:proofErr w:type="spellEnd"/>
            <w:r w:rsidRPr="00CE5ED9">
              <w:rPr>
                <w:sz w:val="22"/>
                <w:szCs w:val="22"/>
              </w:rPr>
              <w:t>, Ministry of Education and Sports, Deputy Director General</w:t>
            </w:r>
          </w:p>
          <w:p w14:paraId="441AFEA7"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Oula</w:t>
            </w:r>
            <w:proofErr w:type="spellEnd"/>
            <w:r w:rsidRPr="00CE5ED9">
              <w:rPr>
                <w:sz w:val="22"/>
                <w:szCs w:val="22"/>
              </w:rPr>
              <w:t xml:space="preserve"> </w:t>
            </w:r>
            <w:proofErr w:type="spellStart"/>
            <w:r w:rsidRPr="00CE5ED9">
              <w:rPr>
                <w:sz w:val="22"/>
                <w:szCs w:val="22"/>
              </w:rPr>
              <w:t>Somchanhmavong</w:t>
            </w:r>
            <w:proofErr w:type="spellEnd"/>
            <w:r w:rsidRPr="00CE5ED9">
              <w:rPr>
                <w:sz w:val="22"/>
                <w:szCs w:val="22"/>
              </w:rPr>
              <w:t>, Ministry of Planning and Investment, Deputy Director General</w:t>
            </w:r>
          </w:p>
          <w:p w14:paraId="5AA81EA3"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Xayoh</w:t>
            </w:r>
            <w:proofErr w:type="spellEnd"/>
            <w:r w:rsidRPr="00CE5ED9">
              <w:rPr>
                <w:sz w:val="22"/>
                <w:szCs w:val="22"/>
              </w:rPr>
              <w:t xml:space="preserve"> </w:t>
            </w:r>
            <w:proofErr w:type="spellStart"/>
            <w:r w:rsidRPr="00CE5ED9">
              <w:rPr>
                <w:sz w:val="22"/>
                <w:szCs w:val="22"/>
              </w:rPr>
              <w:t>Huerngnimit</w:t>
            </w:r>
            <w:proofErr w:type="spellEnd"/>
            <w:r w:rsidRPr="00CE5ED9">
              <w:rPr>
                <w:sz w:val="22"/>
                <w:szCs w:val="22"/>
              </w:rPr>
              <w:t>, State Audit Organization, Deputy Director General</w:t>
            </w:r>
          </w:p>
          <w:p w14:paraId="7EAC4879"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Ms. </w:t>
            </w:r>
            <w:proofErr w:type="spellStart"/>
            <w:r w:rsidRPr="00CE5ED9">
              <w:rPr>
                <w:sz w:val="22"/>
                <w:szCs w:val="22"/>
              </w:rPr>
              <w:t>Choummaly</w:t>
            </w:r>
            <w:proofErr w:type="spellEnd"/>
            <w:r w:rsidRPr="00CE5ED9">
              <w:rPr>
                <w:sz w:val="22"/>
                <w:szCs w:val="22"/>
              </w:rPr>
              <w:t xml:space="preserve"> </w:t>
            </w:r>
            <w:proofErr w:type="spellStart"/>
            <w:r w:rsidRPr="00CE5ED9">
              <w:rPr>
                <w:sz w:val="22"/>
                <w:szCs w:val="22"/>
              </w:rPr>
              <w:t>Khammounty</w:t>
            </w:r>
            <w:proofErr w:type="spellEnd"/>
            <w:r w:rsidRPr="00CE5ED9">
              <w:rPr>
                <w:sz w:val="22"/>
                <w:szCs w:val="22"/>
              </w:rPr>
              <w:t>, Ministry of Finance, Division Director</w:t>
            </w:r>
          </w:p>
          <w:p w14:paraId="3265546D"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Chanmina</w:t>
            </w:r>
            <w:proofErr w:type="spellEnd"/>
            <w:r w:rsidRPr="00CE5ED9">
              <w:rPr>
                <w:sz w:val="22"/>
                <w:szCs w:val="22"/>
              </w:rPr>
              <w:t xml:space="preserve"> </w:t>
            </w:r>
            <w:proofErr w:type="spellStart"/>
            <w:r w:rsidRPr="00CE5ED9">
              <w:rPr>
                <w:sz w:val="22"/>
                <w:szCs w:val="22"/>
              </w:rPr>
              <w:t>Pamanivong</w:t>
            </w:r>
            <w:proofErr w:type="spellEnd"/>
            <w:r w:rsidRPr="00CE5ED9">
              <w:rPr>
                <w:sz w:val="22"/>
                <w:szCs w:val="22"/>
              </w:rPr>
              <w:t>, Ministry of Finance, Division Director</w:t>
            </w:r>
          </w:p>
          <w:p w14:paraId="7464A6D9"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M</w:t>
            </w:r>
            <w:r w:rsidR="00177ADB">
              <w:rPr>
                <w:sz w:val="22"/>
                <w:szCs w:val="22"/>
              </w:rPr>
              <w:t>r</w:t>
            </w:r>
            <w:r w:rsidRPr="00CE5ED9">
              <w:rPr>
                <w:sz w:val="22"/>
                <w:szCs w:val="22"/>
              </w:rPr>
              <w:t xml:space="preserve">s. </w:t>
            </w:r>
            <w:proofErr w:type="spellStart"/>
            <w:r w:rsidRPr="00CE5ED9">
              <w:rPr>
                <w:sz w:val="22"/>
                <w:szCs w:val="22"/>
              </w:rPr>
              <w:t>Souksakhone</w:t>
            </w:r>
            <w:proofErr w:type="spellEnd"/>
            <w:r w:rsidRPr="00CE5ED9">
              <w:rPr>
                <w:sz w:val="22"/>
                <w:szCs w:val="22"/>
              </w:rPr>
              <w:t xml:space="preserve"> </w:t>
            </w:r>
            <w:proofErr w:type="spellStart"/>
            <w:r w:rsidRPr="00CE5ED9">
              <w:rPr>
                <w:sz w:val="22"/>
                <w:szCs w:val="22"/>
              </w:rPr>
              <w:t>Sithitbandith</w:t>
            </w:r>
            <w:proofErr w:type="spellEnd"/>
            <w:r w:rsidRPr="00CE5ED9">
              <w:rPr>
                <w:sz w:val="22"/>
                <w:szCs w:val="22"/>
              </w:rPr>
              <w:t>, National Assembly, Acting Director</w:t>
            </w:r>
          </w:p>
          <w:p w14:paraId="5461B716"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Bounmi</w:t>
            </w:r>
            <w:proofErr w:type="spellEnd"/>
            <w:r w:rsidRPr="00CE5ED9">
              <w:rPr>
                <w:sz w:val="22"/>
                <w:szCs w:val="22"/>
              </w:rPr>
              <w:t xml:space="preserve"> </w:t>
            </w:r>
            <w:proofErr w:type="spellStart"/>
            <w:r w:rsidRPr="00CE5ED9">
              <w:rPr>
                <w:sz w:val="22"/>
                <w:szCs w:val="22"/>
              </w:rPr>
              <w:t>Sibounhuerng</w:t>
            </w:r>
            <w:proofErr w:type="spellEnd"/>
            <w:r w:rsidRPr="00CE5ED9">
              <w:rPr>
                <w:sz w:val="22"/>
                <w:szCs w:val="22"/>
              </w:rPr>
              <w:t>, Ministry of Health, Deputy Director</w:t>
            </w:r>
          </w:p>
          <w:p w14:paraId="43B9A254"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Duangchai</w:t>
            </w:r>
            <w:proofErr w:type="spellEnd"/>
            <w:r w:rsidRPr="00CE5ED9">
              <w:rPr>
                <w:sz w:val="22"/>
                <w:szCs w:val="22"/>
              </w:rPr>
              <w:t xml:space="preserve"> </w:t>
            </w:r>
            <w:proofErr w:type="spellStart"/>
            <w:r w:rsidRPr="00CE5ED9">
              <w:rPr>
                <w:sz w:val="22"/>
                <w:szCs w:val="22"/>
              </w:rPr>
              <w:t>Keomixay</w:t>
            </w:r>
            <w:proofErr w:type="spellEnd"/>
            <w:r w:rsidRPr="00CE5ED9">
              <w:rPr>
                <w:sz w:val="22"/>
                <w:szCs w:val="22"/>
              </w:rPr>
              <w:t>, Ministry of Finance, Deputy Director</w:t>
            </w:r>
          </w:p>
          <w:p w14:paraId="43955A77"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Souphavanh</w:t>
            </w:r>
            <w:proofErr w:type="spellEnd"/>
            <w:r w:rsidRPr="00CE5ED9">
              <w:rPr>
                <w:sz w:val="22"/>
                <w:szCs w:val="22"/>
              </w:rPr>
              <w:t xml:space="preserve"> </w:t>
            </w:r>
            <w:proofErr w:type="spellStart"/>
            <w:r w:rsidRPr="00CE5ED9">
              <w:rPr>
                <w:sz w:val="22"/>
                <w:szCs w:val="22"/>
              </w:rPr>
              <w:t>Phanthavyxay</w:t>
            </w:r>
            <w:proofErr w:type="spellEnd"/>
            <w:r w:rsidRPr="00CE5ED9">
              <w:rPr>
                <w:sz w:val="22"/>
                <w:szCs w:val="22"/>
              </w:rPr>
              <w:t>, Ministry of Finance, Deputy Director</w:t>
            </w:r>
          </w:p>
          <w:p w14:paraId="53BC5AED"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Souksavath</w:t>
            </w:r>
            <w:proofErr w:type="spellEnd"/>
            <w:r w:rsidRPr="00CE5ED9">
              <w:rPr>
                <w:sz w:val="22"/>
                <w:szCs w:val="22"/>
              </w:rPr>
              <w:t xml:space="preserve"> </w:t>
            </w:r>
            <w:proofErr w:type="spellStart"/>
            <w:r w:rsidRPr="00CE5ED9">
              <w:rPr>
                <w:sz w:val="22"/>
                <w:szCs w:val="22"/>
              </w:rPr>
              <w:t>Manachit</w:t>
            </w:r>
            <w:proofErr w:type="spellEnd"/>
            <w:r w:rsidRPr="00CE5ED9">
              <w:rPr>
                <w:sz w:val="22"/>
                <w:szCs w:val="22"/>
              </w:rPr>
              <w:t>, State Audit Organization, Deputy Director</w:t>
            </w:r>
          </w:p>
          <w:p w14:paraId="7BF90BD0"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E5ED9">
              <w:rPr>
                <w:sz w:val="22"/>
                <w:szCs w:val="22"/>
              </w:rPr>
              <w:t>M</w:t>
            </w:r>
            <w:r w:rsidR="00177ADB">
              <w:rPr>
                <w:sz w:val="22"/>
                <w:szCs w:val="22"/>
              </w:rPr>
              <w:t>r</w:t>
            </w:r>
            <w:r w:rsidRPr="00CE5ED9">
              <w:rPr>
                <w:sz w:val="22"/>
                <w:szCs w:val="22"/>
              </w:rPr>
              <w:t xml:space="preserve">s. </w:t>
            </w:r>
            <w:proofErr w:type="spellStart"/>
            <w:r w:rsidRPr="00CE5ED9">
              <w:rPr>
                <w:sz w:val="22"/>
                <w:szCs w:val="22"/>
              </w:rPr>
              <w:t>Bouphavanh</w:t>
            </w:r>
            <w:proofErr w:type="spellEnd"/>
            <w:r w:rsidRPr="00CE5ED9">
              <w:rPr>
                <w:sz w:val="22"/>
                <w:szCs w:val="22"/>
              </w:rPr>
              <w:t xml:space="preserve"> </w:t>
            </w:r>
            <w:proofErr w:type="spellStart"/>
            <w:r w:rsidRPr="00CE5ED9">
              <w:rPr>
                <w:sz w:val="22"/>
                <w:szCs w:val="22"/>
              </w:rPr>
              <w:t>Keomixay</w:t>
            </w:r>
            <w:proofErr w:type="spellEnd"/>
            <w:r w:rsidRPr="00CE5ED9">
              <w:rPr>
                <w:sz w:val="22"/>
                <w:szCs w:val="22"/>
              </w:rPr>
              <w:t>, Ministry of Planning and Investment</w:t>
            </w:r>
          </w:p>
          <w:p w14:paraId="1C4722FA" w14:textId="77777777" w:rsidR="007E2FD4" w:rsidRPr="00CE5ED9" w:rsidRDefault="007E2FD4" w:rsidP="00CE5ED9">
            <w:pPr>
              <w:pStyle w:val="ListParagraph"/>
              <w:numPr>
                <w:ilvl w:val="0"/>
                <w:numId w:val="8"/>
              </w:numPr>
              <w:spacing w:before="0"/>
              <w:ind w:left="342" w:hanging="270"/>
              <w:contextualSpacing w:val="0"/>
              <w:rPr>
                <w:sz w:val="22"/>
                <w:szCs w:val="22"/>
              </w:rPr>
            </w:pPr>
          </w:p>
          <w:p w14:paraId="70158066" w14:textId="77777777" w:rsidR="007E2FD4" w:rsidRPr="00C001AC" w:rsidRDefault="007E2FD4" w:rsidP="007604FD">
            <w:pPr>
              <w:autoSpaceDE w:val="0"/>
              <w:autoSpaceDN w:val="0"/>
              <w:adjustRightInd w:val="0"/>
              <w:spacing w:before="0"/>
              <w:ind w:left="0"/>
              <w:jc w:val="left"/>
              <w:rPr>
                <w:b/>
                <w:sz w:val="22"/>
                <w:szCs w:val="22"/>
              </w:rPr>
            </w:pPr>
            <w:r>
              <w:rPr>
                <w:b/>
                <w:sz w:val="22"/>
                <w:szCs w:val="22"/>
              </w:rPr>
              <w:t>PEFA S</w:t>
            </w:r>
            <w:r w:rsidRPr="00C001AC">
              <w:rPr>
                <w:b/>
                <w:sz w:val="22"/>
                <w:szCs w:val="22"/>
              </w:rPr>
              <w:t>ecretariat, MOF</w:t>
            </w:r>
          </w:p>
          <w:p w14:paraId="03EBB003"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001AC">
              <w:rPr>
                <w:sz w:val="22"/>
                <w:szCs w:val="22"/>
              </w:rPr>
              <w:t>M</w:t>
            </w:r>
            <w:r w:rsidR="00177ADB">
              <w:rPr>
                <w:sz w:val="22"/>
                <w:szCs w:val="22"/>
              </w:rPr>
              <w:t>r</w:t>
            </w:r>
            <w:r w:rsidRPr="00C001AC">
              <w:rPr>
                <w:sz w:val="22"/>
                <w:szCs w:val="22"/>
              </w:rPr>
              <w:t>s Sifong Oumavong, Head</w:t>
            </w:r>
          </w:p>
          <w:p w14:paraId="03CC0663"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lastRenderedPageBreak/>
              <w:t>M</w:t>
            </w:r>
            <w:r w:rsidR="00177ADB">
              <w:rPr>
                <w:sz w:val="22"/>
                <w:szCs w:val="22"/>
              </w:rPr>
              <w:t>r</w:t>
            </w:r>
            <w:r w:rsidRPr="00CE5ED9">
              <w:rPr>
                <w:sz w:val="22"/>
                <w:szCs w:val="22"/>
              </w:rPr>
              <w:t xml:space="preserve">s. </w:t>
            </w:r>
            <w:proofErr w:type="spellStart"/>
            <w:r w:rsidRPr="00CE5ED9">
              <w:rPr>
                <w:sz w:val="22"/>
                <w:szCs w:val="22"/>
              </w:rPr>
              <w:t>Soulitha</w:t>
            </w:r>
            <w:proofErr w:type="spellEnd"/>
            <w:r w:rsidRPr="00CE5ED9">
              <w:rPr>
                <w:sz w:val="22"/>
                <w:szCs w:val="22"/>
              </w:rPr>
              <w:t xml:space="preserve"> </w:t>
            </w:r>
            <w:proofErr w:type="spellStart"/>
            <w:r w:rsidRPr="00CE5ED9">
              <w:rPr>
                <w:sz w:val="22"/>
                <w:szCs w:val="22"/>
              </w:rPr>
              <w:t>Keopaseuth</w:t>
            </w:r>
            <w:proofErr w:type="spellEnd"/>
            <w:r w:rsidRPr="00CE5ED9">
              <w:rPr>
                <w:sz w:val="22"/>
                <w:szCs w:val="22"/>
              </w:rPr>
              <w:t>, Deputy Director, Deputy Head</w:t>
            </w:r>
          </w:p>
          <w:p w14:paraId="451DA648"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Keoaloun</w:t>
            </w:r>
            <w:proofErr w:type="spellEnd"/>
            <w:r w:rsidRPr="00CE5ED9">
              <w:rPr>
                <w:sz w:val="22"/>
                <w:szCs w:val="22"/>
              </w:rPr>
              <w:t xml:space="preserve"> </w:t>
            </w:r>
            <w:proofErr w:type="spellStart"/>
            <w:r w:rsidRPr="00CE5ED9">
              <w:rPr>
                <w:sz w:val="22"/>
                <w:szCs w:val="22"/>
              </w:rPr>
              <w:t>Duangphachanh</w:t>
            </w:r>
            <w:proofErr w:type="spellEnd"/>
            <w:r w:rsidRPr="00CE5ED9">
              <w:rPr>
                <w:sz w:val="22"/>
                <w:szCs w:val="22"/>
              </w:rPr>
              <w:t>, Deputy Director</w:t>
            </w:r>
          </w:p>
          <w:p w14:paraId="1D80F957"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Chintanakone</w:t>
            </w:r>
            <w:proofErr w:type="spellEnd"/>
            <w:r w:rsidRPr="00CE5ED9">
              <w:rPr>
                <w:sz w:val="22"/>
                <w:szCs w:val="22"/>
              </w:rPr>
              <w:t xml:space="preserve"> </w:t>
            </w:r>
            <w:proofErr w:type="spellStart"/>
            <w:r w:rsidRPr="00CE5ED9">
              <w:rPr>
                <w:sz w:val="22"/>
                <w:szCs w:val="22"/>
              </w:rPr>
              <w:t>Soisithattha</w:t>
            </w:r>
            <w:proofErr w:type="spellEnd"/>
            <w:r w:rsidRPr="00CE5ED9">
              <w:rPr>
                <w:sz w:val="22"/>
                <w:szCs w:val="22"/>
              </w:rPr>
              <w:t>, Sector Head</w:t>
            </w:r>
          </w:p>
          <w:p w14:paraId="77EA48A2"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w:t>
            </w:r>
            <w:proofErr w:type="spellStart"/>
            <w:r w:rsidRPr="00CE5ED9">
              <w:rPr>
                <w:sz w:val="22"/>
                <w:szCs w:val="22"/>
              </w:rPr>
              <w:t>Anulack</w:t>
            </w:r>
            <w:proofErr w:type="spellEnd"/>
            <w:r w:rsidRPr="00CE5ED9">
              <w:rPr>
                <w:sz w:val="22"/>
                <w:szCs w:val="22"/>
              </w:rPr>
              <w:t xml:space="preserve"> </w:t>
            </w:r>
            <w:proofErr w:type="spellStart"/>
            <w:r w:rsidRPr="00CE5ED9">
              <w:rPr>
                <w:sz w:val="22"/>
                <w:szCs w:val="22"/>
              </w:rPr>
              <w:t>Onkhamtay</w:t>
            </w:r>
            <w:proofErr w:type="spellEnd"/>
            <w:r w:rsidRPr="00CE5ED9">
              <w:rPr>
                <w:sz w:val="22"/>
                <w:szCs w:val="22"/>
              </w:rPr>
              <w:t>, Sector Head</w:t>
            </w:r>
          </w:p>
          <w:p w14:paraId="71F15A5F"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 xml:space="preserve">Mr. Vithanom </w:t>
            </w:r>
            <w:proofErr w:type="spellStart"/>
            <w:r w:rsidRPr="00CE5ED9">
              <w:rPr>
                <w:sz w:val="22"/>
                <w:szCs w:val="22"/>
              </w:rPr>
              <w:t>Keokhounsi</w:t>
            </w:r>
            <w:proofErr w:type="spellEnd"/>
            <w:r w:rsidRPr="00CE5ED9">
              <w:rPr>
                <w:sz w:val="22"/>
                <w:szCs w:val="22"/>
              </w:rPr>
              <w:t>, Technical Staff</w:t>
            </w:r>
          </w:p>
          <w:p w14:paraId="5324E187" w14:textId="77777777" w:rsidR="007E2FD4" w:rsidRPr="00C001AC" w:rsidRDefault="007E2FD4" w:rsidP="007604FD">
            <w:pPr>
              <w:autoSpaceDE w:val="0"/>
              <w:autoSpaceDN w:val="0"/>
              <w:adjustRightInd w:val="0"/>
              <w:spacing w:before="0"/>
              <w:ind w:left="0"/>
              <w:jc w:val="left"/>
              <w:rPr>
                <w:sz w:val="22"/>
                <w:szCs w:val="22"/>
              </w:rPr>
            </w:pPr>
          </w:p>
          <w:p w14:paraId="48ECCAFD" w14:textId="77777777" w:rsidR="007E2FD4" w:rsidRPr="00C001AC" w:rsidRDefault="007E2FD4" w:rsidP="007604FD">
            <w:pPr>
              <w:spacing w:before="0"/>
              <w:ind w:left="0"/>
              <w:rPr>
                <w:b/>
                <w:sz w:val="22"/>
                <w:szCs w:val="22"/>
              </w:rPr>
            </w:pPr>
            <w:r w:rsidRPr="00C001AC">
              <w:rPr>
                <w:b/>
                <w:sz w:val="22"/>
                <w:szCs w:val="22"/>
              </w:rPr>
              <w:t>The World Bank:</w:t>
            </w:r>
          </w:p>
          <w:p w14:paraId="3F3428AC" w14:textId="77777777" w:rsidR="007E2FD4" w:rsidRDefault="007E2FD4" w:rsidP="00CE5ED9">
            <w:pPr>
              <w:pStyle w:val="ListParagraph"/>
              <w:numPr>
                <w:ilvl w:val="0"/>
                <w:numId w:val="8"/>
              </w:numPr>
              <w:spacing w:before="0"/>
              <w:ind w:left="342" w:hanging="270"/>
              <w:contextualSpacing w:val="0"/>
              <w:rPr>
                <w:sz w:val="22"/>
                <w:szCs w:val="22"/>
              </w:rPr>
            </w:pPr>
            <w:r w:rsidRPr="00C001AC">
              <w:rPr>
                <w:sz w:val="22"/>
                <w:szCs w:val="22"/>
              </w:rPr>
              <w:t xml:space="preserve">Mr. Fily </w:t>
            </w:r>
            <w:r w:rsidR="00DC5687">
              <w:rPr>
                <w:sz w:val="22"/>
                <w:szCs w:val="22"/>
              </w:rPr>
              <w:t>Sissoko, Practice Manager</w:t>
            </w:r>
          </w:p>
          <w:p w14:paraId="4F092361" w14:textId="77777777" w:rsidR="0087733F" w:rsidRPr="00C001AC" w:rsidRDefault="00DC5687" w:rsidP="00CE5ED9">
            <w:pPr>
              <w:pStyle w:val="ListParagraph"/>
              <w:numPr>
                <w:ilvl w:val="0"/>
                <w:numId w:val="8"/>
              </w:numPr>
              <w:spacing w:before="0"/>
              <w:ind w:left="342" w:hanging="270"/>
              <w:contextualSpacing w:val="0"/>
              <w:rPr>
                <w:sz w:val="22"/>
                <w:szCs w:val="22"/>
              </w:rPr>
            </w:pPr>
            <w:r>
              <w:rPr>
                <w:sz w:val="22"/>
                <w:szCs w:val="22"/>
              </w:rPr>
              <w:t xml:space="preserve">Mr. Maxwell Bruku Dapaah, </w:t>
            </w:r>
            <w:r w:rsidR="0087733F">
              <w:rPr>
                <w:sz w:val="22"/>
                <w:szCs w:val="22"/>
              </w:rPr>
              <w:t>Senior Financial Manage</w:t>
            </w:r>
            <w:r>
              <w:rPr>
                <w:sz w:val="22"/>
                <w:szCs w:val="22"/>
              </w:rPr>
              <w:t>ment Specialist and Team Leader</w:t>
            </w:r>
            <w:r w:rsidR="009B299C">
              <w:rPr>
                <w:sz w:val="22"/>
                <w:szCs w:val="22"/>
              </w:rPr>
              <w:t xml:space="preserve"> (since November 2018)</w:t>
            </w:r>
          </w:p>
          <w:p w14:paraId="2C9F125C" w14:textId="77777777" w:rsidR="007E2FD4" w:rsidRPr="00C001AC" w:rsidRDefault="00DC5687" w:rsidP="00CE5ED9">
            <w:pPr>
              <w:pStyle w:val="ListParagraph"/>
              <w:numPr>
                <w:ilvl w:val="0"/>
                <w:numId w:val="8"/>
              </w:numPr>
              <w:spacing w:before="0"/>
              <w:ind w:left="342" w:hanging="270"/>
              <w:contextualSpacing w:val="0"/>
              <w:rPr>
                <w:sz w:val="22"/>
                <w:szCs w:val="22"/>
              </w:rPr>
            </w:pPr>
            <w:r>
              <w:rPr>
                <w:sz w:val="22"/>
                <w:szCs w:val="22"/>
              </w:rPr>
              <w:t xml:space="preserve">Mr. Saysanith Vongviengkham, </w:t>
            </w:r>
            <w:r w:rsidR="007E2FD4" w:rsidRPr="00CE5ED9">
              <w:rPr>
                <w:sz w:val="22"/>
                <w:szCs w:val="22"/>
              </w:rPr>
              <w:t xml:space="preserve">Public Sector Specialist and </w:t>
            </w:r>
            <w:r w:rsidR="0087733F" w:rsidRPr="00CE5ED9">
              <w:rPr>
                <w:sz w:val="22"/>
                <w:szCs w:val="22"/>
              </w:rPr>
              <w:t>Co-</w:t>
            </w:r>
            <w:r>
              <w:rPr>
                <w:sz w:val="22"/>
                <w:szCs w:val="22"/>
              </w:rPr>
              <w:t>Team Leader</w:t>
            </w:r>
            <w:r w:rsidR="009B299C">
              <w:rPr>
                <w:sz w:val="22"/>
                <w:szCs w:val="22"/>
              </w:rPr>
              <w:t xml:space="preserve"> (until December 2018)</w:t>
            </w:r>
          </w:p>
          <w:p w14:paraId="6D903041"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M</w:t>
            </w:r>
            <w:r w:rsidR="00177ADB">
              <w:rPr>
                <w:sz w:val="22"/>
                <w:szCs w:val="22"/>
              </w:rPr>
              <w:t>r</w:t>
            </w:r>
            <w:r w:rsidR="00DC5687">
              <w:rPr>
                <w:sz w:val="22"/>
                <w:szCs w:val="22"/>
              </w:rPr>
              <w:t xml:space="preserve">s. Fanny Weiner, </w:t>
            </w:r>
            <w:r w:rsidRPr="00CE5ED9">
              <w:rPr>
                <w:sz w:val="22"/>
                <w:szCs w:val="22"/>
              </w:rPr>
              <w:t xml:space="preserve">Senior Public Sector Management Specialist and </w:t>
            </w:r>
            <w:r w:rsidR="0087733F" w:rsidRPr="00CE5ED9">
              <w:rPr>
                <w:sz w:val="22"/>
                <w:szCs w:val="22"/>
              </w:rPr>
              <w:t>Co-</w:t>
            </w:r>
            <w:r w:rsidR="00DC5687">
              <w:rPr>
                <w:sz w:val="22"/>
                <w:szCs w:val="22"/>
              </w:rPr>
              <w:t>Task Team Leader</w:t>
            </w:r>
          </w:p>
          <w:p w14:paraId="4F982FD7"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M</w:t>
            </w:r>
            <w:r w:rsidR="00177ADB">
              <w:rPr>
                <w:sz w:val="22"/>
                <w:szCs w:val="22"/>
              </w:rPr>
              <w:t>r</w:t>
            </w:r>
            <w:r w:rsidR="00DC5687">
              <w:rPr>
                <w:sz w:val="22"/>
                <w:szCs w:val="22"/>
              </w:rPr>
              <w:t xml:space="preserve">s. Siriphone </w:t>
            </w:r>
            <w:proofErr w:type="spellStart"/>
            <w:r w:rsidR="00DC5687">
              <w:rPr>
                <w:sz w:val="22"/>
                <w:szCs w:val="22"/>
              </w:rPr>
              <w:t>Vanithsaveth</w:t>
            </w:r>
            <w:proofErr w:type="spellEnd"/>
            <w:r w:rsidR="00DC5687">
              <w:rPr>
                <w:sz w:val="22"/>
                <w:szCs w:val="22"/>
              </w:rPr>
              <w:t xml:space="preserve">, </w:t>
            </w:r>
            <w:r w:rsidRPr="00CE5ED9">
              <w:rPr>
                <w:sz w:val="22"/>
                <w:szCs w:val="22"/>
              </w:rPr>
              <w:t xml:space="preserve">Senior </w:t>
            </w:r>
            <w:r w:rsidR="00DC5687">
              <w:rPr>
                <w:sz w:val="22"/>
                <w:szCs w:val="22"/>
              </w:rPr>
              <w:t>Financial Management Specialist</w:t>
            </w:r>
            <w:r w:rsidRPr="00CE5ED9">
              <w:rPr>
                <w:sz w:val="22"/>
                <w:szCs w:val="22"/>
              </w:rPr>
              <w:t>,</w:t>
            </w:r>
          </w:p>
          <w:p w14:paraId="1C701942" w14:textId="77777777" w:rsidR="007E2FD4" w:rsidRPr="00C001AC" w:rsidRDefault="00DC5687" w:rsidP="00177ADB">
            <w:pPr>
              <w:pStyle w:val="ListParagraph"/>
              <w:numPr>
                <w:ilvl w:val="0"/>
                <w:numId w:val="8"/>
              </w:numPr>
              <w:spacing w:before="0"/>
              <w:ind w:left="342" w:hanging="270"/>
              <w:contextualSpacing w:val="0"/>
              <w:jc w:val="left"/>
              <w:rPr>
                <w:sz w:val="22"/>
                <w:szCs w:val="22"/>
              </w:rPr>
            </w:pPr>
            <w:r>
              <w:rPr>
                <w:sz w:val="22"/>
                <w:szCs w:val="22"/>
              </w:rPr>
              <w:t xml:space="preserve">Mrs. Viengmala Phomsengsavanh, </w:t>
            </w:r>
            <w:r w:rsidR="007E2FD4" w:rsidRPr="00CE5ED9">
              <w:rPr>
                <w:sz w:val="22"/>
                <w:szCs w:val="22"/>
              </w:rPr>
              <w:t xml:space="preserve">Technical Consultant to the </w:t>
            </w:r>
            <w:r>
              <w:rPr>
                <w:sz w:val="22"/>
                <w:szCs w:val="22"/>
              </w:rPr>
              <w:t>Lao PEFA Assessment Secretariat</w:t>
            </w:r>
          </w:p>
          <w:p w14:paraId="1385BDC4" w14:textId="77777777" w:rsidR="007E2FD4" w:rsidRPr="00112B86" w:rsidRDefault="00DC5687" w:rsidP="00CE5ED9">
            <w:pPr>
              <w:pStyle w:val="ListParagraph"/>
              <w:numPr>
                <w:ilvl w:val="0"/>
                <w:numId w:val="8"/>
              </w:numPr>
              <w:spacing w:before="0"/>
              <w:ind w:left="342" w:hanging="270"/>
              <w:contextualSpacing w:val="0"/>
              <w:rPr>
                <w:sz w:val="22"/>
                <w:szCs w:val="22"/>
              </w:rPr>
            </w:pPr>
            <w:r>
              <w:rPr>
                <w:sz w:val="22"/>
                <w:szCs w:val="22"/>
              </w:rPr>
              <w:t>Mr. Duangpanya Volavong, Tax Consultant</w:t>
            </w:r>
          </w:p>
          <w:p w14:paraId="0CCDB1F1"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001AC">
              <w:rPr>
                <w:sz w:val="22"/>
                <w:szCs w:val="22"/>
              </w:rPr>
              <w:t>Mr</w:t>
            </w:r>
            <w:r w:rsidR="00DC5687">
              <w:rPr>
                <w:sz w:val="22"/>
                <w:szCs w:val="22"/>
              </w:rPr>
              <w:t xml:space="preserve">. Hari Purnomo, </w:t>
            </w:r>
            <w:r w:rsidRPr="00C001AC">
              <w:rPr>
                <w:sz w:val="22"/>
                <w:szCs w:val="22"/>
              </w:rPr>
              <w:t>Senior Public Sector Specialist</w:t>
            </w:r>
          </w:p>
          <w:p w14:paraId="4A3024B2" w14:textId="77777777" w:rsidR="007E2FD4" w:rsidRPr="00C001AC" w:rsidRDefault="007E2FD4" w:rsidP="00CE5ED9">
            <w:pPr>
              <w:pStyle w:val="ListParagraph"/>
              <w:numPr>
                <w:ilvl w:val="0"/>
                <w:numId w:val="8"/>
              </w:numPr>
              <w:spacing w:before="0"/>
              <w:ind w:left="342" w:hanging="270"/>
              <w:contextualSpacing w:val="0"/>
              <w:rPr>
                <w:sz w:val="22"/>
                <w:szCs w:val="22"/>
              </w:rPr>
            </w:pPr>
            <w:r w:rsidRPr="00CE5ED9">
              <w:rPr>
                <w:sz w:val="22"/>
                <w:szCs w:val="22"/>
              </w:rPr>
              <w:t>M</w:t>
            </w:r>
            <w:r w:rsidR="00177ADB">
              <w:rPr>
                <w:sz w:val="22"/>
                <w:szCs w:val="22"/>
              </w:rPr>
              <w:t>r</w:t>
            </w:r>
            <w:r w:rsidR="00DC5687">
              <w:rPr>
                <w:sz w:val="22"/>
                <w:szCs w:val="22"/>
              </w:rPr>
              <w:t>s. Sourignahak Sakonhninhom, Program Assistant</w:t>
            </w:r>
          </w:p>
          <w:p w14:paraId="33FC98B5" w14:textId="77777777" w:rsidR="007E2FD4" w:rsidRPr="00C001AC" w:rsidRDefault="007E2FD4" w:rsidP="007604FD">
            <w:pPr>
              <w:spacing w:before="0"/>
              <w:ind w:left="0"/>
              <w:rPr>
                <w:sz w:val="22"/>
                <w:szCs w:val="22"/>
              </w:rPr>
            </w:pPr>
          </w:p>
          <w:p w14:paraId="7C7B1BA3" w14:textId="77777777" w:rsidR="007E2FD4" w:rsidRPr="00C001AC" w:rsidRDefault="007E2FD4" w:rsidP="007604FD">
            <w:pPr>
              <w:spacing w:before="0"/>
              <w:ind w:left="0"/>
              <w:rPr>
                <w:b/>
                <w:sz w:val="22"/>
                <w:szCs w:val="22"/>
              </w:rPr>
            </w:pPr>
            <w:r w:rsidRPr="00C001AC">
              <w:rPr>
                <w:b/>
                <w:sz w:val="22"/>
                <w:szCs w:val="22"/>
              </w:rPr>
              <w:t>Technical Assistance</w:t>
            </w:r>
          </w:p>
          <w:p w14:paraId="19E02BC9" w14:textId="77777777" w:rsidR="007E2FD4" w:rsidRPr="00CE5ED9" w:rsidRDefault="007E2FD4" w:rsidP="00CE5ED9">
            <w:pPr>
              <w:pStyle w:val="ListParagraph"/>
              <w:numPr>
                <w:ilvl w:val="0"/>
                <w:numId w:val="8"/>
              </w:numPr>
              <w:spacing w:before="0"/>
              <w:ind w:left="342" w:hanging="270"/>
              <w:contextualSpacing w:val="0"/>
              <w:rPr>
                <w:sz w:val="22"/>
                <w:szCs w:val="22"/>
              </w:rPr>
            </w:pPr>
            <w:r w:rsidRPr="00C001AC">
              <w:rPr>
                <w:sz w:val="22"/>
                <w:szCs w:val="22"/>
                <w:lang w:val="fr-FR"/>
              </w:rPr>
              <w:t>M</w:t>
            </w:r>
            <w:r w:rsidR="00177ADB">
              <w:rPr>
                <w:sz w:val="22"/>
                <w:szCs w:val="22"/>
                <w:lang w:val="fr-FR"/>
              </w:rPr>
              <w:t>r</w:t>
            </w:r>
            <w:r w:rsidRPr="00C001AC">
              <w:rPr>
                <w:sz w:val="22"/>
                <w:szCs w:val="22"/>
                <w:lang w:val="fr-FR"/>
              </w:rPr>
              <w:t>s</w:t>
            </w:r>
            <w:r w:rsidRPr="00CE5ED9">
              <w:rPr>
                <w:sz w:val="22"/>
                <w:szCs w:val="22"/>
              </w:rPr>
              <w:t>. Sylvie Zaitra, (Lead)</w:t>
            </w:r>
            <w:r w:rsidR="00177ADB">
              <w:rPr>
                <w:sz w:val="22"/>
                <w:szCs w:val="22"/>
              </w:rPr>
              <w:t>,</w:t>
            </w:r>
            <w:r w:rsidRPr="00CE5ED9">
              <w:rPr>
                <w:sz w:val="22"/>
                <w:szCs w:val="22"/>
              </w:rPr>
              <w:t xml:space="preserve"> PFM consultant</w:t>
            </w:r>
          </w:p>
          <w:p w14:paraId="47FC8354" w14:textId="77777777" w:rsidR="007E2FD4" w:rsidRDefault="007E2FD4" w:rsidP="00CE5ED9">
            <w:pPr>
              <w:pStyle w:val="ListParagraph"/>
              <w:numPr>
                <w:ilvl w:val="0"/>
                <w:numId w:val="8"/>
              </w:numPr>
              <w:spacing w:before="0"/>
              <w:ind w:left="342" w:hanging="270"/>
              <w:contextualSpacing w:val="0"/>
              <w:rPr>
                <w:sz w:val="22"/>
                <w:szCs w:val="22"/>
              </w:rPr>
            </w:pPr>
            <w:r w:rsidRPr="00C001AC">
              <w:rPr>
                <w:sz w:val="22"/>
                <w:szCs w:val="22"/>
              </w:rPr>
              <w:t>Mr. Brandon Lundberg, PFM consultant</w:t>
            </w:r>
            <w:r w:rsidR="009B299C">
              <w:rPr>
                <w:sz w:val="22"/>
                <w:szCs w:val="22"/>
              </w:rPr>
              <w:t xml:space="preserve"> (until December 2017)</w:t>
            </w:r>
          </w:p>
          <w:p w14:paraId="3D470808" w14:textId="77777777" w:rsidR="00177ADB" w:rsidRDefault="00F66BE4" w:rsidP="00177ADB">
            <w:pPr>
              <w:pStyle w:val="ListParagraph"/>
              <w:numPr>
                <w:ilvl w:val="0"/>
                <w:numId w:val="8"/>
              </w:numPr>
              <w:spacing w:before="0"/>
              <w:ind w:left="342" w:hanging="270"/>
              <w:contextualSpacing w:val="0"/>
              <w:rPr>
                <w:sz w:val="22"/>
                <w:szCs w:val="22"/>
              </w:rPr>
            </w:pPr>
            <w:r>
              <w:rPr>
                <w:sz w:val="22"/>
                <w:szCs w:val="22"/>
              </w:rPr>
              <w:t>Mr. John Short</w:t>
            </w:r>
            <w:r w:rsidR="00177ADB">
              <w:rPr>
                <w:sz w:val="22"/>
                <w:szCs w:val="22"/>
              </w:rPr>
              <w:t xml:space="preserve">, </w:t>
            </w:r>
            <w:r w:rsidR="00177ADB" w:rsidRPr="00C001AC">
              <w:rPr>
                <w:sz w:val="22"/>
                <w:szCs w:val="22"/>
              </w:rPr>
              <w:t>PFM consultant</w:t>
            </w:r>
            <w:r w:rsidR="009B299C">
              <w:rPr>
                <w:sz w:val="22"/>
                <w:szCs w:val="22"/>
              </w:rPr>
              <w:t xml:space="preserve"> (quality assurance)</w:t>
            </w:r>
          </w:p>
          <w:p w14:paraId="690BDE90" w14:textId="77777777" w:rsidR="007E2FD4" w:rsidRPr="00C001AC" w:rsidRDefault="007E2FD4" w:rsidP="007604FD">
            <w:pPr>
              <w:spacing w:before="0"/>
              <w:ind w:left="0"/>
              <w:rPr>
                <w:b/>
                <w:sz w:val="22"/>
                <w:szCs w:val="22"/>
              </w:rPr>
            </w:pPr>
          </w:p>
          <w:p w14:paraId="07663B58" w14:textId="77777777" w:rsidR="007E2FD4" w:rsidRPr="00C001AC" w:rsidRDefault="007E2FD4" w:rsidP="007604FD">
            <w:pPr>
              <w:spacing w:before="0"/>
              <w:ind w:left="0"/>
              <w:rPr>
                <w:b/>
                <w:sz w:val="22"/>
                <w:szCs w:val="22"/>
              </w:rPr>
            </w:pPr>
            <w:r w:rsidRPr="00C001AC">
              <w:rPr>
                <w:b/>
                <w:sz w:val="22"/>
                <w:szCs w:val="22"/>
              </w:rPr>
              <w:t>Review of concept note and/or terms of reference</w:t>
            </w:r>
          </w:p>
          <w:p w14:paraId="77FF4A33" w14:textId="77777777" w:rsidR="007E2FD4" w:rsidRPr="00C001AC" w:rsidRDefault="007E2FD4" w:rsidP="007604FD">
            <w:pPr>
              <w:spacing w:before="0"/>
              <w:ind w:left="0"/>
              <w:rPr>
                <w:sz w:val="22"/>
                <w:szCs w:val="22"/>
              </w:rPr>
            </w:pPr>
            <w:r w:rsidRPr="00C001AC">
              <w:rPr>
                <w:sz w:val="22"/>
                <w:szCs w:val="22"/>
              </w:rPr>
              <w:t>Date of reviewed draft concept note</w:t>
            </w:r>
            <w:r w:rsidRPr="00565978">
              <w:rPr>
                <w:sz w:val="22"/>
                <w:szCs w:val="22"/>
              </w:rPr>
              <w:t xml:space="preserve">: </w:t>
            </w:r>
            <w:r w:rsidR="00DC5687">
              <w:rPr>
                <w:sz w:val="22"/>
                <w:szCs w:val="22"/>
              </w:rPr>
              <w:t>November 9</w:t>
            </w:r>
            <w:r w:rsidR="00565978" w:rsidRPr="00565978">
              <w:rPr>
                <w:sz w:val="22"/>
                <w:szCs w:val="22"/>
              </w:rPr>
              <w:t>, 201</w:t>
            </w:r>
            <w:r w:rsidR="00DC5687">
              <w:rPr>
                <w:sz w:val="22"/>
                <w:szCs w:val="22"/>
              </w:rPr>
              <w:t>7</w:t>
            </w:r>
          </w:p>
          <w:p w14:paraId="17CE7F51" w14:textId="77777777" w:rsidR="007E2FD4" w:rsidRPr="00C001AC" w:rsidRDefault="007E2FD4" w:rsidP="007604FD">
            <w:pPr>
              <w:spacing w:before="0"/>
              <w:ind w:left="0"/>
              <w:rPr>
                <w:sz w:val="22"/>
                <w:szCs w:val="22"/>
              </w:rPr>
            </w:pPr>
            <w:r w:rsidRPr="00C001AC">
              <w:rPr>
                <w:sz w:val="22"/>
                <w:szCs w:val="22"/>
              </w:rPr>
              <w:t xml:space="preserve">Invited reviewers and Reviewers who provided comments: </w:t>
            </w:r>
          </w:p>
          <w:p w14:paraId="67F6F268" w14:textId="77777777" w:rsidR="007E2FD4" w:rsidRPr="00565978" w:rsidRDefault="007E2FD4" w:rsidP="00565978">
            <w:pPr>
              <w:spacing w:before="0"/>
              <w:ind w:left="0"/>
              <w:rPr>
                <w:sz w:val="22"/>
                <w:szCs w:val="22"/>
              </w:rPr>
            </w:pPr>
            <w:proofErr w:type="spellStart"/>
            <w:r w:rsidRPr="00565978">
              <w:rPr>
                <w:sz w:val="22"/>
                <w:szCs w:val="22"/>
              </w:rPr>
              <w:t>Ms</w:t>
            </w:r>
            <w:proofErr w:type="spellEnd"/>
            <w:r w:rsidRPr="00565978">
              <w:rPr>
                <w:sz w:val="22"/>
                <w:szCs w:val="22"/>
              </w:rPr>
              <w:t xml:space="preserve"> Sifong</w:t>
            </w:r>
            <w:r w:rsidR="00565978">
              <w:rPr>
                <w:sz w:val="22"/>
                <w:szCs w:val="22"/>
              </w:rPr>
              <w:t xml:space="preserve"> </w:t>
            </w:r>
            <w:r w:rsidR="00565978" w:rsidRPr="00C001AC">
              <w:rPr>
                <w:sz w:val="22"/>
                <w:szCs w:val="22"/>
              </w:rPr>
              <w:t>Oumavong</w:t>
            </w:r>
            <w:r w:rsidR="00565978">
              <w:rPr>
                <w:sz w:val="22"/>
                <w:szCs w:val="22"/>
              </w:rPr>
              <w:t>, Ministry of Finance</w:t>
            </w:r>
            <w:r w:rsidRPr="00565978">
              <w:rPr>
                <w:sz w:val="22"/>
                <w:szCs w:val="22"/>
              </w:rPr>
              <w:t xml:space="preserve"> GoL</w:t>
            </w:r>
          </w:p>
          <w:p w14:paraId="07BE7187" w14:textId="77777777" w:rsidR="007E2FD4" w:rsidRPr="00565978" w:rsidRDefault="007E2FD4" w:rsidP="00565978">
            <w:pPr>
              <w:spacing w:before="0"/>
              <w:ind w:left="0"/>
              <w:rPr>
                <w:sz w:val="22"/>
                <w:szCs w:val="22"/>
              </w:rPr>
            </w:pPr>
            <w:r w:rsidRPr="00565978">
              <w:rPr>
                <w:sz w:val="22"/>
                <w:szCs w:val="22"/>
              </w:rPr>
              <w:t xml:space="preserve">Mr. </w:t>
            </w:r>
            <w:r w:rsidR="00565978" w:rsidRPr="00565978">
              <w:rPr>
                <w:sz w:val="22"/>
                <w:szCs w:val="22"/>
              </w:rPr>
              <w:t xml:space="preserve">Eric </w:t>
            </w:r>
            <w:proofErr w:type="spellStart"/>
            <w:r w:rsidR="00565978" w:rsidRPr="00565978">
              <w:rPr>
                <w:sz w:val="22"/>
                <w:szCs w:val="22"/>
              </w:rPr>
              <w:t>Deschoenmaeker</w:t>
            </w:r>
            <w:proofErr w:type="spellEnd"/>
            <w:r w:rsidRPr="00565978">
              <w:rPr>
                <w:sz w:val="22"/>
                <w:szCs w:val="22"/>
              </w:rPr>
              <w:t>, the EU</w:t>
            </w:r>
          </w:p>
          <w:p w14:paraId="3015F12E" w14:textId="77777777" w:rsidR="007E2FD4" w:rsidRPr="00565978" w:rsidRDefault="00565978" w:rsidP="00565978">
            <w:pPr>
              <w:spacing w:before="0"/>
              <w:ind w:left="0"/>
              <w:rPr>
                <w:sz w:val="22"/>
                <w:szCs w:val="22"/>
              </w:rPr>
            </w:pPr>
            <w:r>
              <w:rPr>
                <w:sz w:val="22"/>
                <w:szCs w:val="22"/>
              </w:rPr>
              <w:t>Mr.</w:t>
            </w:r>
            <w:r w:rsidR="007E2FD4" w:rsidRPr="00565978">
              <w:rPr>
                <w:sz w:val="22"/>
                <w:szCs w:val="22"/>
              </w:rPr>
              <w:t xml:space="preserve"> Guillaume Brule, PEFA Secretariat</w:t>
            </w:r>
          </w:p>
          <w:p w14:paraId="54D240D6" w14:textId="77777777" w:rsidR="007E2FD4" w:rsidRPr="00565978" w:rsidRDefault="007E2FD4" w:rsidP="00565978">
            <w:pPr>
              <w:spacing w:before="0"/>
              <w:ind w:left="0"/>
              <w:rPr>
                <w:sz w:val="22"/>
                <w:szCs w:val="22"/>
              </w:rPr>
            </w:pPr>
            <w:r w:rsidRPr="00565978">
              <w:rPr>
                <w:sz w:val="22"/>
                <w:szCs w:val="22"/>
              </w:rPr>
              <w:t>Mr.</w:t>
            </w:r>
            <w:r w:rsidR="00565978">
              <w:rPr>
                <w:sz w:val="22"/>
                <w:szCs w:val="22"/>
              </w:rPr>
              <w:t xml:space="preserve"> Pierre Messali</w:t>
            </w:r>
            <w:r w:rsidRPr="00565978">
              <w:rPr>
                <w:sz w:val="22"/>
                <w:szCs w:val="22"/>
              </w:rPr>
              <w:t>, the World Bank</w:t>
            </w:r>
          </w:p>
          <w:p w14:paraId="210E2464" w14:textId="77777777" w:rsidR="00CE5ED9" w:rsidRDefault="00CE5ED9" w:rsidP="007604FD">
            <w:pPr>
              <w:spacing w:before="0"/>
              <w:ind w:left="0"/>
              <w:rPr>
                <w:sz w:val="22"/>
                <w:szCs w:val="22"/>
              </w:rPr>
            </w:pPr>
          </w:p>
          <w:p w14:paraId="3696D138" w14:textId="77777777" w:rsidR="007E2FD4" w:rsidRPr="00C001AC" w:rsidRDefault="007E2FD4" w:rsidP="007604FD">
            <w:pPr>
              <w:spacing w:before="0"/>
              <w:ind w:left="0"/>
              <w:rPr>
                <w:sz w:val="22"/>
                <w:szCs w:val="22"/>
              </w:rPr>
            </w:pPr>
            <w:r w:rsidRPr="00C001AC">
              <w:rPr>
                <w:sz w:val="22"/>
                <w:szCs w:val="22"/>
              </w:rPr>
              <w:t xml:space="preserve">Date(s) of final concept note: </w:t>
            </w:r>
            <w:r w:rsidR="00DC5687" w:rsidRPr="00565978">
              <w:rPr>
                <w:sz w:val="22"/>
                <w:szCs w:val="22"/>
              </w:rPr>
              <w:t>January 23, 2018</w:t>
            </w:r>
          </w:p>
          <w:p w14:paraId="52E5105C" w14:textId="77777777" w:rsidR="00DC5687" w:rsidRDefault="00DC5687" w:rsidP="007604FD">
            <w:pPr>
              <w:spacing w:before="0"/>
              <w:ind w:left="0"/>
              <w:rPr>
                <w:b/>
                <w:sz w:val="22"/>
                <w:szCs w:val="22"/>
              </w:rPr>
            </w:pPr>
          </w:p>
          <w:p w14:paraId="38B16A0C" w14:textId="77777777" w:rsidR="007E2FD4" w:rsidRPr="00C001AC" w:rsidRDefault="007E2FD4" w:rsidP="007604FD">
            <w:pPr>
              <w:spacing w:before="0"/>
              <w:ind w:left="0"/>
              <w:rPr>
                <w:b/>
                <w:sz w:val="22"/>
                <w:szCs w:val="22"/>
              </w:rPr>
            </w:pPr>
            <w:r w:rsidRPr="00C001AC">
              <w:rPr>
                <w:b/>
                <w:sz w:val="22"/>
                <w:szCs w:val="22"/>
              </w:rPr>
              <w:t>Review of the assessment report</w:t>
            </w:r>
          </w:p>
          <w:p w14:paraId="093E12EC" w14:textId="77777777" w:rsidR="007E2FD4" w:rsidRPr="00C001AC" w:rsidRDefault="007E2FD4" w:rsidP="007604FD">
            <w:pPr>
              <w:spacing w:before="0"/>
              <w:ind w:left="0"/>
              <w:rPr>
                <w:sz w:val="22"/>
                <w:szCs w:val="22"/>
              </w:rPr>
            </w:pPr>
            <w:r w:rsidRPr="00C001AC">
              <w:rPr>
                <w:sz w:val="22"/>
                <w:szCs w:val="22"/>
              </w:rPr>
              <w:t>Dates of reviewed draft reports:  tbc</w:t>
            </w:r>
          </w:p>
          <w:p w14:paraId="2D68A2EE" w14:textId="77777777" w:rsidR="007E2FD4" w:rsidRPr="00C001AC" w:rsidRDefault="007E2FD4" w:rsidP="007604FD">
            <w:pPr>
              <w:spacing w:before="0"/>
              <w:ind w:left="0"/>
              <w:rPr>
                <w:sz w:val="22"/>
                <w:szCs w:val="22"/>
              </w:rPr>
            </w:pPr>
            <w:r w:rsidRPr="00C001AC">
              <w:rPr>
                <w:sz w:val="22"/>
                <w:szCs w:val="22"/>
              </w:rPr>
              <w:t xml:space="preserve">Invited reviewers and Reviewers who provided comments: </w:t>
            </w:r>
          </w:p>
          <w:p w14:paraId="223F4AF8" w14:textId="77777777" w:rsidR="007E2FD4" w:rsidRPr="00DC5687" w:rsidRDefault="007E2FD4" w:rsidP="00DC5687">
            <w:pPr>
              <w:spacing w:before="0"/>
              <w:ind w:left="0"/>
              <w:rPr>
                <w:sz w:val="22"/>
                <w:szCs w:val="22"/>
              </w:rPr>
            </w:pPr>
            <w:r w:rsidRPr="00DC5687">
              <w:rPr>
                <w:sz w:val="22"/>
                <w:szCs w:val="22"/>
              </w:rPr>
              <w:t>Government of Lao PDR</w:t>
            </w:r>
          </w:p>
          <w:p w14:paraId="712BE302" w14:textId="77777777" w:rsidR="00DC5687" w:rsidRPr="00565978" w:rsidRDefault="00DC5687" w:rsidP="00DC5687">
            <w:pPr>
              <w:spacing w:before="0"/>
              <w:ind w:left="0"/>
              <w:rPr>
                <w:sz w:val="22"/>
                <w:szCs w:val="22"/>
              </w:rPr>
            </w:pPr>
            <w:r w:rsidRPr="00565978">
              <w:rPr>
                <w:sz w:val="22"/>
                <w:szCs w:val="22"/>
              </w:rPr>
              <w:t xml:space="preserve">Mr. Eric </w:t>
            </w:r>
            <w:proofErr w:type="spellStart"/>
            <w:r w:rsidRPr="00565978">
              <w:rPr>
                <w:sz w:val="22"/>
                <w:szCs w:val="22"/>
              </w:rPr>
              <w:t>Deschoenmaeker</w:t>
            </w:r>
            <w:proofErr w:type="spellEnd"/>
            <w:r w:rsidRPr="00565978">
              <w:rPr>
                <w:sz w:val="22"/>
                <w:szCs w:val="22"/>
              </w:rPr>
              <w:t>, the EU</w:t>
            </w:r>
          </w:p>
          <w:p w14:paraId="3BB0B88A" w14:textId="77777777" w:rsidR="00DC5687" w:rsidRPr="00565978" w:rsidRDefault="00DC5687" w:rsidP="00DC5687">
            <w:pPr>
              <w:spacing w:before="0"/>
              <w:ind w:left="0"/>
              <w:rPr>
                <w:sz w:val="22"/>
                <w:szCs w:val="22"/>
              </w:rPr>
            </w:pPr>
            <w:r>
              <w:rPr>
                <w:sz w:val="22"/>
                <w:szCs w:val="22"/>
              </w:rPr>
              <w:t>Mr.</w:t>
            </w:r>
            <w:r w:rsidRPr="00565978">
              <w:rPr>
                <w:sz w:val="22"/>
                <w:szCs w:val="22"/>
              </w:rPr>
              <w:t xml:space="preserve"> Guillaume Brule, PEFA Secretariat</w:t>
            </w:r>
          </w:p>
          <w:p w14:paraId="05A466DE" w14:textId="77777777" w:rsidR="00DC5687" w:rsidRPr="00565978" w:rsidRDefault="00DC5687" w:rsidP="00DC5687">
            <w:pPr>
              <w:spacing w:before="0"/>
              <w:ind w:left="0"/>
              <w:rPr>
                <w:sz w:val="22"/>
                <w:szCs w:val="22"/>
              </w:rPr>
            </w:pPr>
            <w:r w:rsidRPr="00565978">
              <w:rPr>
                <w:sz w:val="22"/>
                <w:szCs w:val="22"/>
              </w:rPr>
              <w:t>Mr.</w:t>
            </w:r>
            <w:r>
              <w:rPr>
                <w:sz w:val="22"/>
                <w:szCs w:val="22"/>
              </w:rPr>
              <w:t xml:space="preserve"> Pierre Messali</w:t>
            </w:r>
            <w:r w:rsidRPr="00565978">
              <w:rPr>
                <w:sz w:val="22"/>
                <w:szCs w:val="22"/>
              </w:rPr>
              <w:t>, the World Bank</w:t>
            </w:r>
          </w:p>
          <w:p w14:paraId="0F0B193C" w14:textId="77777777" w:rsidR="007E2FD4" w:rsidRPr="00177ADB" w:rsidRDefault="007E2FD4" w:rsidP="00DC5687">
            <w:pPr>
              <w:pStyle w:val="ListParagraph"/>
              <w:spacing w:before="0"/>
              <w:ind w:left="342"/>
              <w:contextualSpacing w:val="0"/>
              <w:rPr>
                <w:sz w:val="22"/>
                <w:szCs w:val="22"/>
                <w:highlight w:val="yellow"/>
              </w:rPr>
            </w:pPr>
          </w:p>
          <w:p w14:paraId="37D3CA52" w14:textId="3849A6D2" w:rsidR="007E2FD4" w:rsidRPr="00C712A1" w:rsidRDefault="007E2FD4" w:rsidP="007604FD">
            <w:pPr>
              <w:spacing w:before="0"/>
              <w:ind w:left="0"/>
              <w:rPr>
                <w:sz w:val="22"/>
                <w:szCs w:val="22"/>
              </w:rPr>
            </w:pPr>
            <w:r w:rsidRPr="00C001AC">
              <w:rPr>
                <w:sz w:val="22"/>
                <w:szCs w:val="22"/>
              </w:rPr>
              <w:t xml:space="preserve">Date of final </w:t>
            </w:r>
            <w:r w:rsidRPr="00C712A1">
              <w:rPr>
                <w:sz w:val="22"/>
                <w:szCs w:val="22"/>
              </w:rPr>
              <w:t>report</w:t>
            </w:r>
            <w:r w:rsidR="001540E9" w:rsidRPr="00192C41">
              <w:rPr>
                <w:szCs w:val="22"/>
              </w:rPr>
              <w:t>: March 2019</w:t>
            </w:r>
          </w:p>
          <w:p w14:paraId="5305761E" w14:textId="02284DB1" w:rsidR="007E2FD4" w:rsidRPr="00C001AC" w:rsidRDefault="007E2FD4" w:rsidP="007604FD">
            <w:pPr>
              <w:spacing w:before="0"/>
              <w:ind w:left="0"/>
              <w:rPr>
                <w:sz w:val="22"/>
                <w:szCs w:val="22"/>
              </w:rPr>
            </w:pPr>
            <w:r w:rsidRPr="00C712A1">
              <w:rPr>
                <w:sz w:val="22"/>
                <w:szCs w:val="22"/>
              </w:rPr>
              <w:t>Date of PEFA Check</w:t>
            </w:r>
            <w:r w:rsidR="001540E9" w:rsidRPr="00C712A1">
              <w:rPr>
                <w:sz w:val="22"/>
                <w:szCs w:val="22"/>
              </w:rPr>
              <w:t xml:space="preserve">: </w:t>
            </w:r>
            <w:r w:rsidR="00C712A1" w:rsidRPr="00C712A1">
              <w:rPr>
                <w:sz w:val="22"/>
                <w:szCs w:val="22"/>
              </w:rPr>
              <w:t>21</w:t>
            </w:r>
            <w:r w:rsidR="00C712A1">
              <w:rPr>
                <w:sz w:val="22"/>
                <w:szCs w:val="22"/>
              </w:rPr>
              <w:t xml:space="preserve"> </w:t>
            </w:r>
            <w:r w:rsidR="001540E9">
              <w:rPr>
                <w:sz w:val="22"/>
                <w:szCs w:val="22"/>
              </w:rPr>
              <w:t>March 2019</w:t>
            </w:r>
          </w:p>
          <w:p w14:paraId="13913DEF" w14:textId="77777777" w:rsidR="007E2FD4" w:rsidRPr="00C001AC" w:rsidRDefault="007E2FD4" w:rsidP="007604FD">
            <w:pPr>
              <w:spacing w:before="0"/>
              <w:ind w:left="0"/>
              <w:rPr>
                <w:sz w:val="22"/>
                <w:szCs w:val="22"/>
              </w:rPr>
            </w:pPr>
            <w:r w:rsidRPr="00C001AC">
              <w:rPr>
                <w:sz w:val="22"/>
                <w:szCs w:val="22"/>
              </w:rPr>
              <w:t xml:space="preserve">Date of publication on PEFA secretariat website: </w:t>
            </w:r>
            <w:r w:rsidRPr="00DC5687">
              <w:rPr>
                <w:sz w:val="22"/>
                <w:szCs w:val="22"/>
                <w:highlight w:val="yellow"/>
              </w:rPr>
              <w:t>tbc</w:t>
            </w:r>
          </w:p>
        </w:tc>
      </w:tr>
      <w:tr w:rsidR="00CE5ED9" w:rsidRPr="00C001AC" w14:paraId="612C08C1" w14:textId="77777777" w:rsidTr="00CE5ED9">
        <w:tc>
          <w:tcPr>
            <w:tcW w:w="9003" w:type="dxa"/>
            <w:shd w:val="clear" w:color="auto" w:fill="F2F2F2" w:themeFill="background1" w:themeFillShade="F2"/>
          </w:tcPr>
          <w:p w14:paraId="4AACC5C6" w14:textId="77777777" w:rsidR="00CE5ED9" w:rsidRPr="00C001AC" w:rsidRDefault="00CE5ED9" w:rsidP="007604FD">
            <w:pPr>
              <w:spacing w:before="0"/>
              <w:ind w:left="0"/>
              <w:jc w:val="center"/>
              <w:rPr>
                <w:b/>
                <w:szCs w:val="22"/>
              </w:rPr>
            </w:pPr>
          </w:p>
        </w:tc>
      </w:tr>
    </w:tbl>
    <w:p w14:paraId="7158CD6B" w14:textId="77777777" w:rsidR="007E2FD4" w:rsidRPr="00112B86" w:rsidRDefault="007E2FD4" w:rsidP="007E2FD4">
      <w:pPr>
        <w:spacing w:after="240"/>
        <w:ind w:left="0"/>
        <w:rPr>
          <w:rFonts w:ascii="Times New Roman" w:hAnsi="Times New Roman"/>
          <w:b/>
          <w:sz w:val="24"/>
        </w:rPr>
      </w:pPr>
      <w:bookmarkStart w:id="13" w:name="_Toc501121324"/>
      <w:bookmarkStart w:id="14" w:name="_Toc504974013"/>
      <w:r w:rsidRPr="00112B86">
        <w:rPr>
          <w:rFonts w:ascii="Times New Roman" w:hAnsi="Times New Roman"/>
          <w:b/>
          <w:sz w:val="24"/>
        </w:rPr>
        <w:t>Quality Assurance</w:t>
      </w:r>
      <w:bookmarkEnd w:id="13"/>
    </w:p>
    <w:p w14:paraId="76CD84FE" w14:textId="77777777"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112B86">
        <w:rPr>
          <w:rFonts w:ascii="Times New Roman" w:eastAsiaTheme="minorHAnsi" w:hAnsi="Times New Roman"/>
          <w:b/>
          <w:sz w:val="24"/>
        </w:rPr>
        <w:t>Peer</w:t>
      </w:r>
      <w:r w:rsidRPr="00112B86">
        <w:rPr>
          <w:rFonts w:ascii="Times New Roman" w:hAnsi="Times New Roman"/>
          <w:b/>
          <w:iCs/>
          <w:sz w:val="24"/>
        </w:rPr>
        <w:t xml:space="preserve"> review</w:t>
      </w:r>
      <w:r>
        <w:rPr>
          <w:rFonts w:ascii="Times New Roman" w:hAnsi="Times New Roman"/>
          <w:b/>
          <w:iCs/>
          <w:sz w:val="24"/>
        </w:rPr>
        <w:t>s</w:t>
      </w:r>
      <w:r w:rsidRPr="00112B86">
        <w:rPr>
          <w:rFonts w:ascii="Times New Roman" w:hAnsi="Times New Roman"/>
          <w:b/>
          <w:iCs/>
          <w:sz w:val="24"/>
        </w:rPr>
        <w:t xml:space="preserve"> included internal and external peer reviewers and cover the concept note and the draft and final reports. </w:t>
      </w:r>
      <w:r w:rsidRPr="00112B86">
        <w:rPr>
          <w:rFonts w:ascii="Times New Roman" w:hAnsi="Times New Roman"/>
          <w:iCs/>
          <w:sz w:val="24"/>
        </w:rPr>
        <w:t>The</w:t>
      </w:r>
      <w:r w:rsidRPr="00112B86">
        <w:rPr>
          <w:rFonts w:ascii="Times New Roman" w:hAnsi="Times New Roman"/>
          <w:b/>
          <w:iCs/>
          <w:sz w:val="24"/>
        </w:rPr>
        <w:t xml:space="preserve"> </w:t>
      </w:r>
      <w:r w:rsidRPr="00112B86">
        <w:rPr>
          <w:rFonts w:ascii="Times New Roman" w:hAnsi="Times New Roman"/>
          <w:sz w:val="24"/>
        </w:rPr>
        <w:t xml:space="preserve">GoL’s internal peer reviewers are all the relevant </w:t>
      </w:r>
      <w:r w:rsidRPr="00112B86">
        <w:rPr>
          <w:rFonts w:ascii="Times New Roman" w:hAnsi="Times New Roman"/>
          <w:sz w:val="24"/>
        </w:rPr>
        <w:lastRenderedPageBreak/>
        <w:t>GoL technical departments. The WB’s internal review include</w:t>
      </w:r>
      <w:r>
        <w:rPr>
          <w:rFonts w:ascii="Times New Roman" w:hAnsi="Times New Roman"/>
          <w:sz w:val="24"/>
        </w:rPr>
        <w:t>s</w:t>
      </w:r>
      <w:r w:rsidRPr="00112B86">
        <w:rPr>
          <w:rFonts w:ascii="Times New Roman" w:hAnsi="Times New Roman"/>
          <w:sz w:val="24"/>
        </w:rPr>
        <w:t xml:space="preserve"> at least one representative from the WB’s Governance Global Practice (GGP). External peer reviewers </w:t>
      </w:r>
      <w:r>
        <w:rPr>
          <w:rFonts w:ascii="Times New Roman" w:hAnsi="Times New Roman"/>
          <w:sz w:val="24"/>
        </w:rPr>
        <w:t xml:space="preserve">have </w:t>
      </w:r>
      <w:r w:rsidRPr="00112B86">
        <w:rPr>
          <w:rFonts w:ascii="Times New Roman" w:hAnsi="Times New Roman"/>
          <w:sz w:val="24"/>
        </w:rPr>
        <w:t>include</w:t>
      </w:r>
      <w:r>
        <w:rPr>
          <w:rFonts w:ascii="Times New Roman" w:hAnsi="Times New Roman"/>
          <w:sz w:val="24"/>
        </w:rPr>
        <w:t>d</w:t>
      </w:r>
      <w:r w:rsidRPr="00112B86">
        <w:rPr>
          <w:rFonts w:ascii="Times New Roman" w:hAnsi="Times New Roman"/>
          <w:sz w:val="24"/>
        </w:rPr>
        <w:t xml:space="preserve"> the PEFA Secretariat, EU as the PFMMP donor representative, and another development partner who will be invited to comment on the draft CN and draft report (IMF</w:t>
      </w:r>
      <w:r w:rsidR="00016CCD">
        <w:rPr>
          <w:rFonts w:ascii="Times New Roman" w:hAnsi="Times New Roman"/>
          <w:sz w:val="24"/>
        </w:rPr>
        <w:t>/</w:t>
      </w:r>
      <w:r w:rsidRPr="00112B86">
        <w:rPr>
          <w:rFonts w:ascii="Times New Roman" w:hAnsi="Times New Roman"/>
          <w:sz w:val="24"/>
        </w:rPr>
        <w:t xml:space="preserve"> or ADB</w:t>
      </w:r>
      <w:r w:rsidR="00016CCD">
        <w:rPr>
          <w:rFonts w:ascii="Times New Roman" w:hAnsi="Times New Roman"/>
          <w:sz w:val="24"/>
        </w:rPr>
        <w:t>).</w:t>
      </w:r>
      <w:r w:rsidRPr="00112B86">
        <w:rPr>
          <w:rFonts w:ascii="Times New Roman" w:hAnsi="Times New Roman"/>
          <w:sz w:val="24"/>
        </w:rPr>
        <w:t xml:space="preserve"> The quality assurance process will be articulated through the Lao PEFA Assessment Team and the Lao PEFA Assessment Steering Committee. </w:t>
      </w:r>
    </w:p>
    <w:p w14:paraId="4573FFAE" w14:textId="77777777" w:rsidR="007E2FD4" w:rsidRPr="00DC5687" w:rsidRDefault="007E2FD4" w:rsidP="00DC5687">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112B86">
        <w:rPr>
          <w:rFonts w:ascii="Times New Roman" w:hAnsi="Times New Roman"/>
          <w:b/>
          <w:sz w:val="24"/>
        </w:rPr>
        <w:t>The Lao PEFA Assessment Team held periodic meetings and debriefings, including development partners, to serve as check-points for reviewing progress and adjusting timelines as needed.</w:t>
      </w:r>
      <w:r w:rsidRPr="00112B86">
        <w:rPr>
          <w:rFonts w:ascii="Times New Roman" w:hAnsi="Times New Roman"/>
          <w:sz w:val="24"/>
        </w:rPr>
        <w:t xml:space="preserve"> </w:t>
      </w:r>
      <w:r w:rsidRPr="00DC5687">
        <w:rPr>
          <w:rFonts w:ascii="Times New Roman" w:hAnsi="Times New Roman"/>
          <w:sz w:val="24"/>
        </w:rPr>
        <w:t>T</w:t>
      </w:r>
      <w:r w:rsidRPr="00DC5687">
        <w:rPr>
          <w:rFonts w:ascii="Times New Roman" w:hAnsi="Times New Roman"/>
          <w:color w:val="000000"/>
          <w:sz w:val="24"/>
        </w:rPr>
        <w:t xml:space="preserve">he final decision on ratings will come after confirmation by the PEFA Secretariat – through the PEFA review and PEFA CHECK process (see </w:t>
      </w:r>
      <w:r w:rsidRPr="00DC5687">
        <w:rPr>
          <w:rFonts w:ascii="Times New Roman" w:hAnsi="Times New Roman"/>
          <w:sz w:val="24"/>
        </w:rPr>
        <w:t>www.pefa.org</w:t>
      </w:r>
      <w:r w:rsidRPr="00DC5687">
        <w:rPr>
          <w:rFonts w:ascii="Times New Roman" w:hAnsi="Times New Roman"/>
          <w:color w:val="000000"/>
          <w:sz w:val="24"/>
        </w:rPr>
        <w:t>) – based on the evidence provided in the draft report, that the methodology has been consistently applied.</w:t>
      </w:r>
    </w:p>
    <w:p w14:paraId="0E249659" w14:textId="77777777" w:rsidR="007E2FD4" w:rsidRPr="00F93316" w:rsidRDefault="007E2FD4" w:rsidP="007E2FD4">
      <w:pPr>
        <w:spacing w:after="240"/>
        <w:ind w:left="0"/>
        <w:rPr>
          <w:rFonts w:ascii="Times New Roman" w:hAnsi="Times New Roman"/>
          <w:b/>
          <w:sz w:val="24"/>
        </w:rPr>
      </w:pPr>
      <w:r w:rsidRPr="00F93316">
        <w:rPr>
          <w:rFonts w:ascii="Times New Roman" w:hAnsi="Times New Roman"/>
          <w:b/>
          <w:sz w:val="24"/>
        </w:rPr>
        <w:t>1.3 Assessment methodology</w:t>
      </w:r>
      <w:bookmarkEnd w:id="14"/>
    </w:p>
    <w:p w14:paraId="2CA88988" w14:textId="77777777" w:rsidR="007E2FD4" w:rsidRPr="00F93316" w:rsidRDefault="007E2FD4" w:rsidP="007E2FD4">
      <w:pPr>
        <w:spacing w:after="240"/>
        <w:ind w:left="0"/>
        <w:rPr>
          <w:rFonts w:ascii="Times New Roman" w:hAnsi="Times New Roman"/>
          <w:b/>
          <w:sz w:val="24"/>
        </w:rPr>
      </w:pPr>
      <w:r w:rsidRPr="00F93316">
        <w:rPr>
          <w:rFonts w:ascii="Times New Roman" w:hAnsi="Times New Roman"/>
          <w:b/>
          <w:sz w:val="24"/>
        </w:rPr>
        <w:t xml:space="preserve">Scope and Coverage of the assessment </w:t>
      </w:r>
    </w:p>
    <w:p w14:paraId="58B0FEE5" w14:textId="77777777" w:rsidR="007E2FD4" w:rsidRPr="00F93316"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93316">
        <w:rPr>
          <w:rFonts w:ascii="Times New Roman" w:eastAsiaTheme="minorHAnsi" w:hAnsi="Times New Roman"/>
          <w:b/>
          <w:sz w:val="24"/>
        </w:rPr>
        <w:t>The assessment is based on the PEFA 2016 framework issued by the PEFA secretariat in February 2016 using all the 31 performance indicators and 94 dimensions of the framework</w:t>
      </w:r>
      <w:r>
        <w:rPr>
          <w:rFonts w:ascii="Times New Roman" w:eastAsiaTheme="minorHAnsi" w:hAnsi="Times New Roman"/>
          <w:b/>
          <w:sz w:val="24"/>
        </w:rPr>
        <w:t xml:space="preserve">. </w:t>
      </w:r>
      <w:r w:rsidRPr="00F93316">
        <w:rPr>
          <w:rFonts w:ascii="Times New Roman" w:eastAsiaTheme="minorHAnsi" w:hAnsi="Times New Roman"/>
          <w:sz w:val="24"/>
        </w:rPr>
        <w:t xml:space="preserve">The report was prepared in accordance with the </w:t>
      </w:r>
      <w:hyperlink r:id="rId12" w:history="1">
        <w:r w:rsidRPr="00F93316">
          <w:rPr>
            <w:rStyle w:val="Hyperlink"/>
            <w:rFonts w:ascii="Times New Roman" w:eastAsiaTheme="minorHAnsi" w:hAnsi="Times New Roman"/>
            <w:sz w:val="24"/>
          </w:rPr>
          <w:t>PEFA handbook</w:t>
        </w:r>
      </w:hyperlink>
      <w:r w:rsidRPr="00F93316">
        <w:rPr>
          <w:rFonts w:ascii="Times New Roman" w:eastAsiaTheme="minorHAnsi" w:hAnsi="Times New Roman"/>
          <w:sz w:val="24"/>
        </w:rPr>
        <w:t>, Vol. I and II and guidelines available on its website (</w:t>
      </w:r>
      <w:hyperlink r:id="rId13" w:history="1">
        <w:r w:rsidRPr="00F93316">
          <w:rPr>
            <w:rStyle w:val="Hyperlink"/>
            <w:rFonts w:ascii="Times New Roman" w:eastAsiaTheme="minorHAnsi" w:hAnsi="Times New Roman"/>
            <w:sz w:val="24"/>
          </w:rPr>
          <w:t>www.pefa.org</w:t>
        </w:r>
      </w:hyperlink>
      <w:r w:rsidRPr="00F93316">
        <w:rPr>
          <w:rFonts w:ascii="Times New Roman" w:eastAsiaTheme="minorHAnsi" w:hAnsi="Times New Roman"/>
          <w:b/>
          <w:sz w:val="24"/>
        </w:rPr>
        <w:t xml:space="preserve">). </w:t>
      </w:r>
      <w:r w:rsidRPr="00F93316">
        <w:rPr>
          <w:rFonts w:ascii="Times New Roman" w:eastAsiaTheme="minorHAnsi" w:hAnsi="Times New Roman"/>
          <w:sz w:val="24"/>
        </w:rPr>
        <w:t>The</w:t>
      </w:r>
      <w:r w:rsidRPr="00F93316">
        <w:rPr>
          <w:rFonts w:ascii="Times New Roman" w:eastAsiaTheme="minorHAnsi" w:hAnsi="Times New Roman"/>
          <w:b/>
          <w:sz w:val="24"/>
        </w:rPr>
        <w:t xml:space="preserve"> </w:t>
      </w:r>
      <w:r w:rsidRPr="00F93316">
        <w:rPr>
          <w:rFonts w:ascii="Times New Roman" w:eastAsiaTheme="minorHAnsi" w:hAnsi="Times New Roman"/>
          <w:sz w:val="24"/>
        </w:rPr>
        <w:t>assessment team worked closely with the PEFA Secretariat to seek guidance and clarifications when required.</w:t>
      </w:r>
    </w:p>
    <w:p w14:paraId="192F84E4" w14:textId="4B8FD912" w:rsidR="007E2FD4" w:rsidRPr="00F93316"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93316">
        <w:rPr>
          <w:rFonts w:ascii="Times New Roman" w:eastAsiaTheme="minorHAnsi" w:hAnsi="Times New Roman"/>
          <w:b/>
          <w:sz w:val="24"/>
        </w:rPr>
        <w:t xml:space="preserve">The PEFA assessment </w:t>
      </w:r>
      <w:proofErr w:type="gramStart"/>
      <w:r w:rsidRPr="00F93316">
        <w:rPr>
          <w:rFonts w:ascii="Times New Roman" w:eastAsiaTheme="minorHAnsi" w:hAnsi="Times New Roman"/>
          <w:b/>
          <w:sz w:val="24"/>
        </w:rPr>
        <w:t>focuses  on</w:t>
      </w:r>
      <w:proofErr w:type="gramEnd"/>
      <w:r w:rsidRPr="00F93316">
        <w:rPr>
          <w:rFonts w:ascii="Times New Roman" w:eastAsiaTheme="minorHAnsi" w:hAnsi="Times New Roman"/>
          <w:b/>
          <w:sz w:val="24"/>
        </w:rPr>
        <w:t xml:space="preserve"> the national  level of Lao PDR PFM systems, </w:t>
      </w:r>
      <w:r w:rsidRPr="00F93316">
        <w:rPr>
          <w:rFonts w:ascii="Times New Roman" w:eastAsiaTheme="minorHAnsi" w:hAnsi="Times New Roman"/>
          <w:sz w:val="24"/>
        </w:rPr>
        <w:t>seeking to cover the entire PFM architecture, the revenue side and the expenditure side through the budget cycle from planning through execution to control, reporting, and audit. This covered</w:t>
      </w:r>
      <w:r>
        <w:rPr>
          <w:rFonts w:ascii="Times New Roman" w:eastAsiaTheme="minorHAnsi" w:hAnsi="Times New Roman"/>
          <w:sz w:val="24"/>
        </w:rPr>
        <w:t xml:space="preserve"> all the budgetary agencies of </w:t>
      </w:r>
      <w:r w:rsidRPr="00F93316">
        <w:rPr>
          <w:rFonts w:ascii="Times New Roman" w:eastAsiaTheme="minorHAnsi" w:hAnsi="Times New Roman"/>
          <w:sz w:val="24"/>
        </w:rPr>
        <w:t xml:space="preserve">LAO PDR including the 46 ministries and state agencies (even </w:t>
      </w:r>
      <w:r>
        <w:rPr>
          <w:rFonts w:ascii="Times New Roman" w:eastAsiaTheme="minorHAnsi" w:hAnsi="Times New Roman"/>
          <w:sz w:val="24"/>
        </w:rPr>
        <w:t>i</w:t>
      </w:r>
      <w:r w:rsidRPr="00F93316">
        <w:rPr>
          <w:rFonts w:ascii="Times New Roman" w:eastAsiaTheme="minorHAnsi" w:hAnsi="Times New Roman"/>
          <w:sz w:val="24"/>
        </w:rPr>
        <w:t>f only 17 are presented in the State Budget plans), including the oversight institutions such as the SAO and the National Assembly on budget and audit reports and other 6 semi- or fully extra-budgetary funds and 183 SOEs partially or fully controlled by the government.</w:t>
      </w:r>
      <w:r w:rsidRPr="00F93316">
        <w:rPr>
          <w:rFonts w:ascii="Times New Roman" w:eastAsiaTheme="minorHAnsi" w:hAnsi="Times New Roman"/>
          <w:szCs w:val="22"/>
          <w:lang w:val="en-MY"/>
        </w:rPr>
        <w:t xml:space="preserve"> </w:t>
      </w:r>
      <w:r w:rsidRPr="00F93316">
        <w:rPr>
          <w:rFonts w:ascii="Times New Roman" w:eastAsiaTheme="minorHAnsi" w:hAnsi="Times New Roman"/>
          <w:sz w:val="24"/>
        </w:rPr>
        <w:t>All sectors have been included in the assessment - except information on aspects of defense, public order, and safety functions have been be left outside the scope of the samples for reasons of national security – with a focus on service delivery sectors.</w:t>
      </w:r>
    </w:p>
    <w:p w14:paraId="4F09CF4E" w14:textId="77777777" w:rsidR="007E2FD4" w:rsidRPr="00F93316"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C001AC">
        <w:rPr>
          <w:rFonts w:ascii="Times New Roman" w:eastAsiaTheme="minorHAnsi" w:hAnsi="Times New Roman"/>
          <w:b/>
          <w:sz w:val="24"/>
        </w:rPr>
        <w:t xml:space="preserve">The list of government entities assessed as part of the PEFA exercise is presented in Annex </w:t>
      </w:r>
      <w:r w:rsidR="00016CCD">
        <w:rPr>
          <w:rFonts w:ascii="Times New Roman" w:eastAsiaTheme="minorHAnsi" w:hAnsi="Times New Roman"/>
          <w:b/>
          <w:sz w:val="24"/>
        </w:rPr>
        <w:t>3.</w:t>
      </w:r>
      <w:r w:rsidRPr="00C001AC">
        <w:rPr>
          <w:rFonts w:ascii="Times New Roman" w:eastAsiaTheme="minorHAnsi" w:hAnsi="Times New Roman"/>
          <w:b/>
          <w:sz w:val="24"/>
        </w:rPr>
        <w:t xml:space="preserve"> </w:t>
      </w:r>
      <w:r w:rsidRPr="00F93316">
        <w:rPr>
          <w:rFonts w:ascii="Times New Roman" w:eastAsiaTheme="minorHAnsi" w:hAnsi="Times New Roman"/>
          <w:sz w:val="24"/>
        </w:rPr>
        <w:t>Extra-budgetary funds with budget allocation and donors’ grants toward specific purposes</w:t>
      </w:r>
      <w:r w:rsidRPr="00C001AC">
        <w:rPr>
          <w:rFonts w:ascii="Times New Roman" w:eastAsiaTheme="minorHAnsi" w:hAnsi="Times New Roman"/>
          <w:b/>
          <w:sz w:val="24"/>
        </w:rPr>
        <w:t xml:space="preserve"> </w:t>
      </w:r>
      <w:r w:rsidRPr="00C001AC">
        <w:rPr>
          <w:rFonts w:ascii="Times New Roman" w:eastAsiaTheme="minorHAnsi" w:hAnsi="Times New Roman"/>
          <w:sz w:val="24"/>
        </w:rPr>
        <w:t>(such as poverty reduction, road maintenance, reforestation, social security benefits) are managed by ministries or agencies and are wholly or partially financed by specific revenues (such as taxes on road transport, s</w:t>
      </w:r>
      <w:r w:rsidR="00DC5687">
        <w:rPr>
          <w:rFonts w:ascii="Times New Roman" w:eastAsiaTheme="minorHAnsi" w:hAnsi="Times New Roman"/>
          <w:sz w:val="24"/>
        </w:rPr>
        <w:t xml:space="preserve">ocial security contributions). </w:t>
      </w:r>
      <w:r w:rsidRPr="00C001AC">
        <w:rPr>
          <w:rFonts w:ascii="Times New Roman" w:eastAsiaTheme="minorHAnsi" w:hAnsi="Times New Roman"/>
          <w:sz w:val="24"/>
        </w:rPr>
        <w:t xml:space="preserve">Both revenue and expenditure of these extra-budgetary funds are included in the MoF budgetary aggregates for Central Government revenue and expenditure to determine the Government’s overall financing needs and therefore will also be covered by the assessment, reviewing available information on each of these funds (PI-6). </w:t>
      </w:r>
    </w:p>
    <w:p w14:paraId="4662D12E" w14:textId="77777777" w:rsidR="007E2FD4" w:rsidRPr="00F93316"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C001AC">
        <w:rPr>
          <w:rFonts w:ascii="Times New Roman" w:eastAsiaTheme="minorHAnsi" w:hAnsi="Times New Roman"/>
          <w:b/>
          <w:sz w:val="24"/>
        </w:rPr>
        <w:t>The 183 SOEs providing most of the utilities</w:t>
      </w:r>
      <w:r w:rsidR="00C712A1">
        <w:rPr>
          <w:rFonts w:ascii="Times New Roman" w:eastAsiaTheme="minorHAnsi" w:hAnsi="Times New Roman"/>
          <w:b/>
          <w:sz w:val="24"/>
        </w:rPr>
        <w:t>’</w:t>
      </w:r>
      <w:r w:rsidRPr="00C001AC">
        <w:rPr>
          <w:rFonts w:ascii="Times New Roman" w:eastAsiaTheme="minorHAnsi" w:hAnsi="Times New Roman"/>
          <w:b/>
          <w:sz w:val="24"/>
        </w:rPr>
        <w:t xml:space="preserve"> services have their own financial regime but remain mainly under the management of the ministry that covers their activities. </w:t>
      </w:r>
      <w:r w:rsidRPr="00C001AC">
        <w:rPr>
          <w:rFonts w:ascii="Times New Roman" w:eastAsiaTheme="minorHAnsi" w:hAnsi="Times New Roman"/>
          <w:sz w:val="24"/>
        </w:rPr>
        <w:t xml:space="preserve">Directors are appointed jointly by the Ministry of Finance (MoF) and the ministry concerned. The Government has recently embarked upon the restructuring and privatization of SOEs under the restructured SOE Department within MoF. SOEs producing revenues, and </w:t>
      </w:r>
      <w:r w:rsidRPr="00C001AC">
        <w:rPr>
          <w:rFonts w:ascii="Times New Roman" w:eastAsiaTheme="minorHAnsi" w:hAnsi="Times New Roman"/>
          <w:sz w:val="24"/>
        </w:rPr>
        <w:lastRenderedPageBreak/>
        <w:t>representative</w:t>
      </w:r>
      <w:r>
        <w:rPr>
          <w:rFonts w:ascii="Times New Roman" w:eastAsiaTheme="minorHAnsi" w:hAnsi="Times New Roman"/>
          <w:sz w:val="24"/>
        </w:rPr>
        <w:t>s</w:t>
      </w:r>
      <w:r w:rsidRPr="00C001AC">
        <w:rPr>
          <w:rFonts w:ascii="Times New Roman" w:eastAsiaTheme="minorHAnsi" w:hAnsi="Times New Roman"/>
          <w:sz w:val="24"/>
        </w:rPr>
        <w:t xml:space="preserve"> of main economic sectors out of the 183 listed SOEs have been analyzed (PI-10) based on their financial position and the information available from the MOF SOE department. Information on capital, government share, turnover and profit/loss status in 2017 financial reporting was made available</w:t>
      </w:r>
      <w:r w:rsidR="00C66FE9">
        <w:rPr>
          <w:rFonts w:ascii="Times New Roman" w:eastAsiaTheme="minorHAnsi" w:hAnsi="Times New Roman"/>
          <w:sz w:val="24"/>
        </w:rPr>
        <w:t xml:space="preserve"> to the assessment team.</w:t>
      </w:r>
    </w:p>
    <w:p w14:paraId="57FFB67D" w14:textId="77777777" w:rsidR="007E2FD4" w:rsidRPr="00F93316" w:rsidRDefault="007E2FD4" w:rsidP="007E2FD4">
      <w:pPr>
        <w:autoSpaceDE w:val="0"/>
        <w:autoSpaceDN w:val="0"/>
        <w:adjustRightInd w:val="0"/>
        <w:spacing w:after="240"/>
        <w:ind w:left="0"/>
        <w:rPr>
          <w:rFonts w:ascii="Times New Roman" w:hAnsi="Times New Roman"/>
          <w:b/>
          <w:sz w:val="24"/>
        </w:rPr>
      </w:pPr>
      <w:r w:rsidRPr="00F93316">
        <w:rPr>
          <w:rFonts w:ascii="Times New Roman" w:hAnsi="Times New Roman"/>
          <w:b/>
          <w:sz w:val="24"/>
        </w:rPr>
        <w:t xml:space="preserve">Subnational Governments </w:t>
      </w:r>
    </w:p>
    <w:p w14:paraId="0808BF04" w14:textId="50BE6464" w:rsidR="007E2FD4" w:rsidRDefault="007E2FD4" w:rsidP="002550F2">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61A5">
        <w:rPr>
          <w:rFonts w:ascii="Times New Roman" w:eastAsiaTheme="minorHAnsi" w:hAnsi="Times New Roman"/>
          <w:b/>
          <w:sz w:val="24"/>
        </w:rPr>
        <w:t xml:space="preserve">In the Lao PDR context, </w:t>
      </w:r>
      <w:r w:rsidR="00214ECA">
        <w:rPr>
          <w:rFonts w:ascii="Times New Roman" w:eastAsiaTheme="minorHAnsi" w:hAnsi="Times New Roman"/>
          <w:b/>
          <w:sz w:val="24"/>
        </w:rPr>
        <w:t xml:space="preserve">the development of a subnational governmental arrangement is at </w:t>
      </w:r>
      <w:r w:rsidR="00076279">
        <w:rPr>
          <w:rFonts w:ascii="Times New Roman" w:eastAsiaTheme="minorHAnsi" w:hAnsi="Times New Roman"/>
          <w:b/>
          <w:sz w:val="24"/>
        </w:rPr>
        <w:t xml:space="preserve">an </w:t>
      </w:r>
      <w:r w:rsidR="00214ECA">
        <w:rPr>
          <w:rFonts w:ascii="Times New Roman" w:eastAsiaTheme="minorHAnsi" w:hAnsi="Times New Roman"/>
          <w:b/>
          <w:sz w:val="24"/>
        </w:rPr>
        <w:t>early stage. T</w:t>
      </w:r>
      <w:r w:rsidRPr="007261A5">
        <w:rPr>
          <w:rFonts w:ascii="Times New Roman" w:eastAsiaTheme="minorHAnsi" w:hAnsi="Times New Roman"/>
          <w:b/>
          <w:sz w:val="24"/>
        </w:rPr>
        <w:t>he 18 provinces/city remain part of the Central Government as first-tier budgetary units (State Budget Law</w:t>
      </w:r>
      <w:r w:rsidR="00D02CC9">
        <w:rPr>
          <w:rFonts w:ascii="Times New Roman" w:eastAsiaTheme="minorHAnsi" w:hAnsi="Times New Roman"/>
          <w:b/>
          <w:sz w:val="24"/>
        </w:rPr>
        <w:t>)</w:t>
      </w:r>
      <w:r w:rsidRPr="007261A5">
        <w:rPr>
          <w:rFonts w:ascii="Times New Roman" w:eastAsiaTheme="minorHAnsi" w:hAnsi="Times New Roman"/>
          <w:b/>
          <w:sz w:val="24"/>
        </w:rPr>
        <w:t>.</w:t>
      </w:r>
      <w:r w:rsidRPr="007261A5">
        <w:rPr>
          <w:rFonts w:ascii="Times New Roman" w:eastAsiaTheme="minorHAnsi" w:hAnsi="Times New Roman"/>
          <w:sz w:val="24"/>
        </w:rPr>
        <w:t xml:space="preserve"> </w:t>
      </w:r>
      <w:r w:rsidR="002550F2">
        <w:rPr>
          <w:rFonts w:ascii="Times New Roman" w:eastAsiaTheme="minorHAnsi" w:hAnsi="Times New Roman"/>
          <w:sz w:val="24"/>
        </w:rPr>
        <w:t xml:space="preserve">  </w:t>
      </w:r>
      <w:r w:rsidR="00ED2160">
        <w:rPr>
          <w:rFonts w:ascii="Times New Roman" w:eastAsiaTheme="minorHAnsi" w:hAnsi="Times New Roman"/>
          <w:sz w:val="24"/>
        </w:rPr>
        <w:t xml:space="preserve">There </w:t>
      </w:r>
      <w:r w:rsidR="00C346B5">
        <w:rPr>
          <w:rFonts w:ascii="Times New Roman" w:eastAsiaTheme="minorHAnsi" w:hAnsi="Times New Roman"/>
          <w:sz w:val="24"/>
        </w:rPr>
        <w:t xml:space="preserve">are </w:t>
      </w:r>
      <w:r w:rsidR="00ED2160">
        <w:rPr>
          <w:rFonts w:ascii="Times New Roman" w:eastAsiaTheme="minorHAnsi" w:hAnsi="Times New Roman"/>
          <w:sz w:val="24"/>
        </w:rPr>
        <w:t xml:space="preserve">also 148 Districts </w:t>
      </w:r>
      <w:r w:rsidR="00FD3CAB">
        <w:rPr>
          <w:rFonts w:ascii="Times New Roman" w:eastAsiaTheme="minorHAnsi" w:hAnsi="Times New Roman"/>
          <w:sz w:val="24"/>
        </w:rPr>
        <w:t xml:space="preserve">that are considered second-tier spending entities. </w:t>
      </w:r>
      <w:r w:rsidR="00ED2160">
        <w:rPr>
          <w:rFonts w:ascii="Times New Roman" w:eastAsiaTheme="minorHAnsi" w:hAnsi="Times New Roman"/>
          <w:sz w:val="24"/>
        </w:rPr>
        <w:t xml:space="preserve">Although the </w:t>
      </w:r>
      <w:r w:rsidR="00BF2054">
        <w:rPr>
          <w:rFonts w:ascii="Times New Roman" w:eastAsiaTheme="minorHAnsi" w:hAnsi="Times New Roman"/>
          <w:sz w:val="24"/>
        </w:rPr>
        <w:t>D</w:t>
      </w:r>
      <w:r w:rsidR="00ED2160">
        <w:rPr>
          <w:rFonts w:ascii="Times New Roman" w:eastAsiaTheme="minorHAnsi" w:hAnsi="Times New Roman"/>
          <w:sz w:val="24"/>
        </w:rPr>
        <w:t xml:space="preserve">istricts that are considered second-tier spending entities, they are in nature and practice </w:t>
      </w:r>
      <w:r w:rsidR="00ED2160" w:rsidRPr="007261A5">
        <w:rPr>
          <w:rFonts w:ascii="Times New Roman" w:eastAsiaTheme="minorHAnsi" w:hAnsi="Times New Roman"/>
          <w:sz w:val="24"/>
        </w:rPr>
        <w:t>deconcentrated units of the central government</w:t>
      </w:r>
      <w:r w:rsidR="00ED2160">
        <w:rPr>
          <w:rFonts w:ascii="Times New Roman" w:eastAsiaTheme="minorHAnsi" w:hAnsi="Times New Roman"/>
          <w:sz w:val="24"/>
        </w:rPr>
        <w:t xml:space="preserve"> as </w:t>
      </w:r>
      <w:r w:rsidR="00ED2160" w:rsidRPr="007261A5">
        <w:rPr>
          <w:rFonts w:ascii="Times New Roman" w:eastAsiaTheme="minorHAnsi" w:hAnsi="Times New Roman"/>
          <w:sz w:val="24"/>
        </w:rPr>
        <w:t xml:space="preserve">Provincial governors exercise considerable authority </w:t>
      </w:r>
      <w:r w:rsidR="00B65F48">
        <w:rPr>
          <w:rFonts w:ascii="Times New Roman" w:eastAsiaTheme="minorHAnsi" w:hAnsi="Times New Roman"/>
          <w:sz w:val="24"/>
        </w:rPr>
        <w:t>over</w:t>
      </w:r>
      <w:r w:rsidR="00ED2160" w:rsidRPr="007261A5">
        <w:rPr>
          <w:rFonts w:ascii="Times New Roman" w:eastAsiaTheme="minorHAnsi" w:hAnsi="Times New Roman"/>
          <w:sz w:val="24"/>
        </w:rPr>
        <w:t xml:space="preserve"> the</w:t>
      </w:r>
      <w:r w:rsidR="00ED2160">
        <w:rPr>
          <w:rFonts w:ascii="Times New Roman" w:eastAsiaTheme="minorHAnsi" w:hAnsi="Times New Roman"/>
          <w:sz w:val="24"/>
        </w:rPr>
        <w:t>ir</w:t>
      </w:r>
      <w:r w:rsidR="00ED2160" w:rsidRPr="007261A5">
        <w:rPr>
          <w:rFonts w:ascii="Times New Roman" w:eastAsiaTheme="minorHAnsi" w:hAnsi="Times New Roman"/>
          <w:sz w:val="24"/>
        </w:rPr>
        <w:t xml:space="preserve"> budget </w:t>
      </w:r>
      <w:r w:rsidR="00ED2160" w:rsidRPr="00016CCD">
        <w:rPr>
          <w:rFonts w:ascii="Times New Roman" w:eastAsiaTheme="minorHAnsi" w:hAnsi="Times New Roman"/>
          <w:sz w:val="24"/>
        </w:rPr>
        <w:t>allocation and</w:t>
      </w:r>
      <w:r w:rsidR="00ED2160">
        <w:rPr>
          <w:rFonts w:ascii="Times New Roman" w:eastAsiaTheme="minorHAnsi" w:hAnsi="Times New Roman"/>
          <w:sz w:val="24"/>
        </w:rPr>
        <w:t xml:space="preserve">  </w:t>
      </w:r>
      <w:r w:rsidR="00ED2160" w:rsidRPr="00016CCD">
        <w:rPr>
          <w:rFonts w:ascii="Times New Roman" w:eastAsiaTheme="minorHAnsi" w:hAnsi="Times New Roman"/>
          <w:sz w:val="24"/>
        </w:rPr>
        <w:t xml:space="preserve"> operations</w:t>
      </w:r>
      <w:r w:rsidR="00FD3CAB">
        <w:rPr>
          <w:rFonts w:ascii="Times New Roman" w:eastAsiaTheme="minorHAnsi" w:hAnsi="Times New Roman"/>
          <w:sz w:val="24"/>
        </w:rPr>
        <w:t xml:space="preserve">. </w:t>
      </w:r>
      <w:r w:rsidR="00C56006" w:rsidRPr="00C56006">
        <w:rPr>
          <w:rFonts w:ascii="Times New Roman" w:eastAsiaTheme="minorHAnsi" w:hAnsi="Times New Roman"/>
          <w:sz w:val="24"/>
        </w:rPr>
        <w:t>The ministries</w:t>
      </w:r>
      <w:r w:rsidR="00C56006">
        <w:rPr>
          <w:rFonts w:ascii="Times New Roman" w:eastAsiaTheme="minorHAnsi" w:hAnsi="Times New Roman"/>
          <w:sz w:val="24"/>
        </w:rPr>
        <w:t xml:space="preserve"> </w:t>
      </w:r>
      <w:r w:rsidR="00C56006" w:rsidRPr="00C56006">
        <w:rPr>
          <w:rFonts w:ascii="Times New Roman" w:eastAsiaTheme="minorHAnsi" w:hAnsi="Times New Roman"/>
          <w:sz w:val="24"/>
        </w:rPr>
        <w:t xml:space="preserve">at the </w:t>
      </w:r>
      <w:r w:rsidR="00C56006">
        <w:rPr>
          <w:rFonts w:ascii="Times New Roman" w:eastAsiaTheme="minorHAnsi" w:hAnsi="Times New Roman"/>
          <w:sz w:val="24"/>
        </w:rPr>
        <w:t>central government level</w:t>
      </w:r>
      <w:r w:rsidR="00C56006" w:rsidRPr="00C56006">
        <w:rPr>
          <w:rFonts w:ascii="Times New Roman" w:eastAsiaTheme="minorHAnsi" w:hAnsi="Times New Roman"/>
          <w:sz w:val="24"/>
        </w:rPr>
        <w:t xml:space="preserve"> constitute the policy-tier while the </w:t>
      </w:r>
      <w:r w:rsidR="00C56006">
        <w:rPr>
          <w:rFonts w:ascii="Times New Roman" w:eastAsiaTheme="minorHAnsi" w:hAnsi="Times New Roman"/>
          <w:sz w:val="24"/>
        </w:rPr>
        <w:t xml:space="preserve">Provinces and </w:t>
      </w:r>
      <w:r w:rsidR="00D83FC2">
        <w:rPr>
          <w:rFonts w:ascii="Times New Roman" w:eastAsiaTheme="minorHAnsi" w:hAnsi="Times New Roman"/>
          <w:sz w:val="24"/>
        </w:rPr>
        <w:t>the D</w:t>
      </w:r>
      <w:r w:rsidR="00C56006">
        <w:rPr>
          <w:rFonts w:ascii="Times New Roman" w:eastAsiaTheme="minorHAnsi" w:hAnsi="Times New Roman"/>
          <w:sz w:val="24"/>
        </w:rPr>
        <w:t xml:space="preserve">istricts are </w:t>
      </w:r>
      <w:r w:rsidR="00C56006" w:rsidRPr="00C56006">
        <w:rPr>
          <w:rFonts w:ascii="Times New Roman" w:eastAsiaTheme="minorHAnsi" w:hAnsi="Times New Roman"/>
          <w:sz w:val="24"/>
        </w:rPr>
        <w:t xml:space="preserve">engaged </w:t>
      </w:r>
      <w:r w:rsidR="00D83FC2">
        <w:rPr>
          <w:rFonts w:ascii="Times New Roman" w:eastAsiaTheme="minorHAnsi" w:hAnsi="Times New Roman"/>
          <w:sz w:val="24"/>
        </w:rPr>
        <w:t>in the</w:t>
      </w:r>
      <w:r w:rsidR="00C56006" w:rsidRPr="00C56006">
        <w:rPr>
          <w:rFonts w:ascii="Times New Roman" w:eastAsiaTheme="minorHAnsi" w:hAnsi="Times New Roman"/>
          <w:sz w:val="24"/>
        </w:rPr>
        <w:t xml:space="preserve"> delivery of public services and implementation of development programs</w:t>
      </w:r>
      <w:r w:rsidR="00C56006">
        <w:rPr>
          <w:rFonts w:ascii="Times New Roman" w:eastAsiaTheme="minorHAnsi" w:hAnsi="Times New Roman"/>
          <w:sz w:val="24"/>
        </w:rPr>
        <w:t>.</w:t>
      </w:r>
      <w:r w:rsidR="00C56006" w:rsidRPr="00C56006">
        <w:rPr>
          <w:rFonts w:ascii="Times New Roman" w:eastAsiaTheme="minorHAnsi" w:hAnsi="Times New Roman"/>
          <w:sz w:val="24"/>
        </w:rPr>
        <w:t xml:space="preserve"> </w:t>
      </w:r>
      <w:r w:rsidR="00214ECA">
        <w:rPr>
          <w:rFonts w:ascii="Times New Roman" w:eastAsiaTheme="minorHAnsi" w:hAnsi="Times New Roman"/>
          <w:sz w:val="24"/>
        </w:rPr>
        <w:t xml:space="preserve"> </w:t>
      </w:r>
      <w:r w:rsidR="00C56006">
        <w:rPr>
          <w:rFonts w:ascii="Times New Roman" w:eastAsiaTheme="minorHAnsi" w:hAnsi="Times New Roman"/>
          <w:sz w:val="24"/>
        </w:rPr>
        <w:t>A</w:t>
      </w:r>
      <w:r w:rsidR="00214ECA">
        <w:rPr>
          <w:rFonts w:ascii="Times New Roman" w:eastAsiaTheme="minorHAnsi" w:hAnsi="Times New Roman"/>
          <w:sz w:val="24"/>
        </w:rPr>
        <w:t xml:space="preserve"> formula-based allocation for </w:t>
      </w:r>
      <w:r w:rsidR="00C56006">
        <w:rPr>
          <w:rFonts w:ascii="Times New Roman" w:eastAsiaTheme="minorHAnsi" w:hAnsi="Times New Roman"/>
          <w:sz w:val="24"/>
        </w:rPr>
        <w:t>fiscal transfers</w:t>
      </w:r>
      <w:r w:rsidR="00214ECA">
        <w:rPr>
          <w:rFonts w:ascii="Times New Roman" w:eastAsiaTheme="minorHAnsi" w:hAnsi="Times New Roman"/>
          <w:sz w:val="24"/>
        </w:rPr>
        <w:t xml:space="preserve"> to Provinces is still being developed with assistance from development partners. </w:t>
      </w:r>
      <w:r w:rsidR="00D83FC2">
        <w:rPr>
          <w:rFonts w:ascii="Times New Roman" w:eastAsiaTheme="minorHAnsi" w:hAnsi="Times New Roman"/>
          <w:sz w:val="24"/>
        </w:rPr>
        <w:t>The p</w:t>
      </w:r>
      <w:r w:rsidR="002550F2">
        <w:rPr>
          <w:rFonts w:ascii="Times New Roman" w:eastAsiaTheme="minorHAnsi" w:hAnsi="Times New Roman"/>
          <w:sz w:val="24"/>
        </w:rPr>
        <w:t>erformance of provincial PFM systems was covered together with central government systems under respective indicators.</w:t>
      </w:r>
      <w:r w:rsidR="00C712A1">
        <w:rPr>
          <w:rFonts w:ascii="Times New Roman" w:eastAsiaTheme="minorHAnsi" w:hAnsi="Times New Roman"/>
          <w:sz w:val="24"/>
        </w:rPr>
        <w:t xml:space="preserve"> </w:t>
      </w:r>
      <w:r w:rsidRPr="007261A5">
        <w:rPr>
          <w:rFonts w:ascii="Times New Roman" w:eastAsiaTheme="minorHAnsi" w:hAnsi="Times New Roman"/>
          <w:sz w:val="24"/>
        </w:rPr>
        <w:t xml:space="preserve">The budget allocations to provinces are meant to cover </w:t>
      </w:r>
      <w:proofErr w:type="gramStart"/>
      <w:r w:rsidRPr="007261A5">
        <w:rPr>
          <w:rFonts w:ascii="Times New Roman" w:eastAsiaTheme="minorHAnsi" w:hAnsi="Times New Roman"/>
          <w:sz w:val="24"/>
        </w:rPr>
        <w:t>all of</w:t>
      </w:r>
      <w:proofErr w:type="gramEnd"/>
      <w:r w:rsidRPr="007261A5">
        <w:rPr>
          <w:rFonts w:ascii="Times New Roman" w:eastAsiaTheme="minorHAnsi" w:hAnsi="Times New Roman"/>
          <w:sz w:val="24"/>
        </w:rPr>
        <w:t xml:space="preserve"> the expenditures, including the civil servants’ salaries and wages and other expenditures, of the 148 districts. As the functional allocation of the provincial budgetary resources is flexible and reporting is not consolidated and monitored systematically at the central level, budget execution may not always follow the declared priorities of the Central Government for infrastructure and public services development. Furthermore, if estimated revenues collected at provincial level are budgeted for, any shortfall of cash and deficit </w:t>
      </w:r>
      <w:proofErr w:type="gramStart"/>
      <w:r w:rsidRPr="007261A5">
        <w:rPr>
          <w:rFonts w:ascii="Times New Roman" w:eastAsiaTheme="minorHAnsi" w:hAnsi="Times New Roman"/>
          <w:sz w:val="24"/>
        </w:rPr>
        <w:t>have to</w:t>
      </w:r>
      <w:proofErr w:type="gramEnd"/>
      <w:r w:rsidRPr="007261A5">
        <w:rPr>
          <w:rFonts w:ascii="Times New Roman" w:eastAsiaTheme="minorHAnsi" w:hAnsi="Times New Roman"/>
          <w:sz w:val="24"/>
        </w:rPr>
        <w:t xml:space="preserve"> be covered by the Central Government, affecting its fiscal performance. </w:t>
      </w:r>
      <w:r w:rsidR="009B299C">
        <w:rPr>
          <w:rFonts w:ascii="Times New Roman" w:eastAsiaTheme="minorHAnsi" w:hAnsi="Times New Roman"/>
          <w:sz w:val="24"/>
        </w:rPr>
        <w:t>T</w:t>
      </w:r>
      <w:r w:rsidRPr="00016CCD">
        <w:rPr>
          <w:rFonts w:ascii="Times New Roman" w:eastAsiaTheme="minorHAnsi" w:hAnsi="Times New Roman"/>
          <w:sz w:val="24"/>
        </w:rPr>
        <w:t xml:space="preserve">he lower district level of Government </w:t>
      </w:r>
      <w:r w:rsidR="009B299C">
        <w:rPr>
          <w:rFonts w:ascii="Times New Roman" w:eastAsiaTheme="minorHAnsi" w:hAnsi="Times New Roman"/>
          <w:sz w:val="24"/>
        </w:rPr>
        <w:t>and the resource allocation from provincial level to district services (PI-7)</w:t>
      </w:r>
      <w:r w:rsidR="001540E9">
        <w:rPr>
          <w:rFonts w:ascii="Times New Roman" w:eastAsiaTheme="minorHAnsi" w:hAnsi="Times New Roman"/>
          <w:sz w:val="24"/>
        </w:rPr>
        <w:t xml:space="preserve"> </w:t>
      </w:r>
      <w:r w:rsidRPr="00016CCD">
        <w:rPr>
          <w:rFonts w:ascii="Times New Roman" w:eastAsiaTheme="minorHAnsi" w:hAnsi="Times New Roman"/>
          <w:sz w:val="24"/>
        </w:rPr>
        <w:t>and the consolidation of the reporting and fiscal risks attached to district operations (PI-10.2)</w:t>
      </w:r>
      <w:r w:rsidR="009B299C">
        <w:rPr>
          <w:rFonts w:ascii="Times New Roman" w:eastAsiaTheme="minorHAnsi" w:hAnsi="Times New Roman"/>
          <w:sz w:val="24"/>
        </w:rPr>
        <w:t xml:space="preserve"> </w:t>
      </w:r>
      <w:r w:rsidR="001540E9">
        <w:rPr>
          <w:rFonts w:ascii="Times New Roman" w:eastAsiaTheme="minorHAnsi" w:hAnsi="Times New Roman"/>
          <w:sz w:val="24"/>
        </w:rPr>
        <w:t xml:space="preserve">have not been assessed as the transfer system is </w:t>
      </w:r>
      <w:proofErr w:type="gramStart"/>
      <w:r w:rsidR="001540E9">
        <w:rPr>
          <w:rFonts w:ascii="Times New Roman" w:eastAsiaTheme="minorHAnsi" w:hAnsi="Times New Roman"/>
          <w:sz w:val="24"/>
        </w:rPr>
        <w:t>as yet</w:t>
      </w:r>
      <w:proofErr w:type="gramEnd"/>
      <w:r w:rsidR="001540E9">
        <w:rPr>
          <w:rFonts w:ascii="Times New Roman" w:eastAsiaTheme="minorHAnsi" w:hAnsi="Times New Roman"/>
          <w:sz w:val="24"/>
        </w:rPr>
        <w:t xml:space="preserve"> </w:t>
      </w:r>
      <w:r w:rsidR="002550F2">
        <w:rPr>
          <w:rFonts w:ascii="Times New Roman" w:eastAsiaTheme="minorHAnsi" w:hAnsi="Times New Roman"/>
          <w:sz w:val="24"/>
        </w:rPr>
        <w:t xml:space="preserve">not </w:t>
      </w:r>
      <w:r w:rsidR="001540E9">
        <w:rPr>
          <w:rFonts w:ascii="Times New Roman" w:eastAsiaTheme="minorHAnsi" w:hAnsi="Times New Roman"/>
          <w:sz w:val="24"/>
        </w:rPr>
        <w:t>developed.</w:t>
      </w:r>
    </w:p>
    <w:p w14:paraId="5294BB9E" w14:textId="5C298BD1" w:rsidR="007E2FD4" w:rsidRPr="007261A5" w:rsidRDefault="007E2FD4" w:rsidP="00C63883">
      <w:pPr>
        <w:pStyle w:val="ListParagraph"/>
        <w:autoSpaceDE w:val="0"/>
        <w:autoSpaceDN w:val="0"/>
        <w:adjustRightInd w:val="0"/>
        <w:spacing w:after="240"/>
        <w:ind w:left="0"/>
        <w:contextualSpacing w:val="0"/>
        <w:rPr>
          <w:rFonts w:ascii="Times New Roman" w:eastAsiaTheme="minorHAnsi" w:hAnsi="Times New Roman"/>
          <w:sz w:val="24"/>
        </w:rPr>
      </w:pPr>
    </w:p>
    <w:p w14:paraId="2EEE7AF6" w14:textId="77777777" w:rsidR="007E2FD4" w:rsidRPr="00F578F2" w:rsidRDefault="007E2FD4" w:rsidP="007E2FD4">
      <w:pPr>
        <w:autoSpaceDE w:val="0"/>
        <w:autoSpaceDN w:val="0"/>
        <w:adjustRightInd w:val="0"/>
        <w:spacing w:after="240"/>
        <w:ind w:left="0"/>
        <w:rPr>
          <w:rFonts w:ascii="Times New Roman" w:hAnsi="Times New Roman"/>
          <w:b/>
          <w:sz w:val="24"/>
        </w:rPr>
      </w:pPr>
      <w:r w:rsidRPr="00F578F2">
        <w:rPr>
          <w:rFonts w:ascii="Times New Roman" w:hAnsi="Times New Roman"/>
          <w:b/>
          <w:sz w:val="24"/>
        </w:rPr>
        <w:t>When performance is assessed</w:t>
      </w:r>
    </w:p>
    <w:p w14:paraId="0DEFEBB0" w14:textId="77777777" w:rsidR="007E2FD4" w:rsidRPr="00F578F2"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578F2">
        <w:rPr>
          <w:rFonts w:ascii="Times New Roman" w:eastAsiaTheme="minorHAnsi" w:hAnsi="Times New Roman"/>
          <w:b/>
          <w:sz w:val="24"/>
        </w:rPr>
        <w:t xml:space="preserve">The assessment covers statistical information related to revenue and expenditure during the most recent three fiscal years for which information was available and comparable. </w:t>
      </w:r>
      <w:r w:rsidRPr="00F578F2">
        <w:rPr>
          <w:rFonts w:ascii="Times New Roman" w:eastAsiaTheme="minorHAnsi" w:hAnsi="Times New Roman"/>
          <w:sz w:val="24"/>
        </w:rPr>
        <w:t xml:space="preserve">As the assessment was conducted between September 2017 and August 2018, the period of analysis at the start of the exercise was 2013/14, 2014/15 and 2015/16.  Until 2016 the fiscal year in Lao PDR ran from October 1 to September 30. After a supplementary budget was voted for the last 3 months of calendar year 2016, the new 2017 fiscal year started as of January 1, until December 31, 2017. At the end of the assessment, the periods of analysis used in accordance with the methodological requirements defined for each indicator are defined under Table </w:t>
      </w:r>
      <w:r w:rsidR="00016CCD">
        <w:rPr>
          <w:rFonts w:ascii="Times New Roman" w:eastAsiaTheme="minorHAnsi" w:hAnsi="Times New Roman"/>
          <w:sz w:val="24"/>
        </w:rPr>
        <w:t>2.</w:t>
      </w:r>
      <w:r w:rsidRPr="00F578F2">
        <w:rPr>
          <w:rFonts w:ascii="Times New Roman" w:eastAsiaTheme="minorHAnsi" w:hAnsi="Times New Roman"/>
          <w:sz w:val="24"/>
        </w:rPr>
        <w:t xml:space="preserve">1 below: </w:t>
      </w:r>
    </w:p>
    <w:p w14:paraId="48317AE1" w14:textId="77777777" w:rsidR="007E2FD4" w:rsidRPr="00F578F2" w:rsidRDefault="007E2FD4" w:rsidP="007E2FD4">
      <w:pPr>
        <w:autoSpaceDE w:val="0"/>
        <w:autoSpaceDN w:val="0"/>
        <w:adjustRightInd w:val="0"/>
        <w:spacing w:line="276" w:lineRule="auto"/>
        <w:ind w:left="540"/>
        <w:jc w:val="center"/>
        <w:rPr>
          <w:rFonts w:ascii="Times New Roman" w:eastAsia="Calibri" w:hAnsi="Times New Roman"/>
          <w:b/>
          <w:bCs/>
          <w:sz w:val="24"/>
        </w:rPr>
      </w:pPr>
      <w:r w:rsidRPr="00F578F2">
        <w:rPr>
          <w:rFonts w:ascii="Times New Roman" w:eastAsia="Calibri" w:hAnsi="Times New Roman"/>
          <w:b/>
          <w:bCs/>
          <w:sz w:val="24"/>
        </w:rPr>
        <w:t xml:space="preserve">Table </w:t>
      </w:r>
      <w:r>
        <w:rPr>
          <w:rFonts w:ascii="Times New Roman" w:eastAsia="Calibri" w:hAnsi="Times New Roman"/>
          <w:b/>
          <w:bCs/>
          <w:sz w:val="24"/>
        </w:rPr>
        <w:t>2.1</w:t>
      </w:r>
      <w:r w:rsidRPr="00F578F2">
        <w:rPr>
          <w:rFonts w:ascii="Times New Roman" w:eastAsia="Calibri" w:hAnsi="Times New Roman"/>
          <w:b/>
          <w:bCs/>
          <w:sz w:val="24"/>
        </w:rPr>
        <w:t xml:space="preserve"> – Periods of analysis for the 2018 PEFA Lao PDR assessment</w:t>
      </w:r>
    </w:p>
    <w:tbl>
      <w:tblPr>
        <w:tblStyle w:val="TableGrid"/>
        <w:tblW w:w="0" w:type="auto"/>
        <w:jc w:val="center"/>
        <w:tblLook w:val="04A0" w:firstRow="1" w:lastRow="0" w:firstColumn="1" w:lastColumn="0" w:noHBand="0" w:noVBand="1"/>
      </w:tblPr>
      <w:tblGrid>
        <w:gridCol w:w="4958"/>
        <w:gridCol w:w="3625"/>
      </w:tblGrid>
      <w:tr w:rsidR="007E2FD4" w:rsidRPr="00C001AC" w14:paraId="1A94AE96" w14:textId="77777777" w:rsidTr="00177ADB">
        <w:trPr>
          <w:trHeight w:val="377"/>
          <w:jc w:val="center"/>
        </w:trPr>
        <w:tc>
          <w:tcPr>
            <w:tcW w:w="4958" w:type="dxa"/>
            <w:shd w:val="clear" w:color="auto" w:fill="DBE5F1" w:themeFill="accent1" w:themeFillTint="33"/>
          </w:tcPr>
          <w:p w14:paraId="2D43EF91" w14:textId="77777777" w:rsidR="007E2FD4" w:rsidRPr="00C001AC" w:rsidRDefault="007E2FD4" w:rsidP="007E2FD4">
            <w:pPr>
              <w:autoSpaceDE w:val="0"/>
              <w:autoSpaceDN w:val="0"/>
              <w:adjustRightInd w:val="0"/>
              <w:spacing w:before="0"/>
              <w:ind w:left="0"/>
              <w:jc w:val="center"/>
              <w:rPr>
                <w:rFonts w:eastAsiaTheme="minorHAnsi"/>
                <w:b/>
              </w:rPr>
            </w:pPr>
            <w:r w:rsidRPr="00C001AC">
              <w:rPr>
                <w:rFonts w:eastAsiaTheme="minorHAnsi"/>
                <w:b/>
              </w:rPr>
              <w:t>Period covered for the analysis</w:t>
            </w:r>
          </w:p>
        </w:tc>
        <w:tc>
          <w:tcPr>
            <w:tcW w:w="3625" w:type="dxa"/>
            <w:shd w:val="clear" w:color="auto" w:fill="DBE5F1" w:themeFill="accent1" w:themeFillTint="33"/>
          </w:tcPr>
          <w:p w14:paraId="224A61BF" w14:textId="77777777" w:rsidR="007E2FD4" w:rsidRPr="00C001AC" w:rsidRDefault="007E2FD4" w:rsidP="007E2FD4">
            <w:pPr>
              <w:autoSpaceDE w:val="0"/>
              <w:autoSpaceDN w:val="0"/>
              <w:adjustRightInd w:val="0"/>
              <w:spacing w:before="0"/>
              <w:ind w:left="0"/>
              <w:jc w:val="center"/>
              <w:rPr>
                <w:rFonts w:eastAsiaTheme="minorHAnsi"/>
                <w:b/>
              </w:rPr>
            </w:pPr>
            <w:r w:rsidRPr="00C001AC">
              <w:rPr>
                <w:rFonts w:eastAsiaTheme="minorHAnsi"/>
                <w:b/>
              </w:rPr>
              <w:t>Fiscal years in reference</w:t>
            </w:r>
          </w:p>
        </w:tc>
      </w:tr>
      <w:tr w:rsidR="007E2FD4" w:rsidRPr="00C001AC" w14:paraId="22D8260E" w14:textId="77777777" w:rsidTr="00177ADB">
        <w:trPr>
          <w:trHeight w:val="350"/>
          <w:jc w:val="center"/>
        </w:trPr>
        <w:tc>
          <w:tcPr>
            <w:tcW w:w="4958" w:type="dxa"/>
          </w:tcPr>
          <w:p w14:paraId="54FA6DEF"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 xml:space="preserve">Last three year’ financial report </w:t>
            </w:r>
          </w:p>
        </w:tc>
        <w:tc>
          <w:tcPr>
            <w:tcW w:w="3625" w:type="dxa"/>
          </w:tcPr>
          <w:p w14:paraId="26584191"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2014/2015-2015/2016-2017</w:t>
            </w:r>
          </w:p>
        </w:tc>
      </w:tr>
      <w:tr w:rsidR="007E2FD4" w:rsidRPr="00C001AC" w14:paraId="72456427" w14:textId="77777777" w:rsidTr="00177ADB">
        <w:trPr>
          <w:jc w:val="center"/>
        </w:trPr>
        <w:tc>
          <w:tcPr>
            <w:tcW w:w="4958" w:type="dxa"/>
          </w:tcPr>
          <w:p w14:paraId="59389A69"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Last Budget submitted to the legislature</w:t>
            </w:r>
            <w:r w:rsidR="00435FC6">
              <w:rPr>
                <w:rFonts w:eastAsiaTheme="minorHAnsi"/>
              </w:rPr>
              <w:t xml:space="preserve"> (with cut-off date August 2018)</w:t>
            </w:r>
          </w:p>
        </w:tc>
        <w:tc>
          <w:tcPr>
            <w:tcW w:w="3625" w:type="dxa"/>
          </w:tcPr>
          <w:p w14:paraId="6B88983E" w14:textId="40E5AAB1" w:rsidR="007E2FD4" w:rsidRPr="00C001AC" w:rsidRDefault="007E2FD4" w:rsidP="007E2FD4">
            <w:pPr>
              <w:autoSpaceDE w:val="0"/>
              <w:autoSpaceDN w:val="0"/>
              <w:adjustRightInd w:val="0"/>
              <w:spacing w:before="0"/>
              <w:ind w:left="0"/>
              <w:rPr>
                <w:rFonts w:eastAsiaTheme="minorHAnsi"/>
              </w:rPr>
            </w:pPr>
            <w:r w:rsidRPr="00C001AC">
              <w:rPr>
                <w:rFonts w:eastAsiaTheme="minorHAnsi"/>
              </w:rPr>
              <w:t>201</w:t>
            </w:r>
            <w:r w:rsidR="00435FC6">
              <w:rPr>
                <w:rFonts w:eastAsiaTheme="minorHAnsi"/>
              </w:rPr>
              <w:t>8</w:t>
            </w:r>
          </w:p>
        </w:tc>
      </w:tr>
      <w:tr w:rsidR="007E2FD4" w:rsidRPr="00C001AC" w14:paraId="03A19058" w14:textId="77777777" w:rsidTr="00177ADB">
        <w:trPr>
          <w:jc w:val="center"/>
        </w:trPr>
        <w:tc>
          <w:tcPr>
            <w:tcW w:w="4958" w:type="dxa"/>
          </w:tcPr>
          <w:p w14:paraId="6B202014"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lastRenderedPageBreak/>
              <w:t>La</w:t>
            </w:r>
            <w:r w:rsidR="0030017E">
              <w:rPr>
                <w:rFonts w:eastAsiaTheme="minorHAnsi"/>
              </w:rPr>
              <w:t>s</w:t>
            </w:r>
            <w:r w:rsidRPr="00C001AC">
              <w:rPr>
                <w:rFonts w:eastAsiaTheme="minorHAnsi"/>
              </w:rPr>
              <w:t xml:space="preserve">t annual financial report submitted for audit </w:t>
            </w:r>
          </w:p>
        </w:tc>
        <w:tc>
          <w:tcPr>
            <w:tcW w:w="3625" w:type="dxa"/>
          </w:tcPr>
          <w:p w14:paraId="4A7B9F78"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201</w:t>
            </w:r>
            <w:r w:rsidR="00435FC6">
              <w:rPr>
                <w:rFonts w:eastAsiaTheme="minorHAnsi"/>
              </w:rPr>
              <w:t>7</w:t>
            </w:r>
          </w:p>
        </w:tc>
      </w:tr>
      <w:tr w:rsidR="007E2FD4" w:rsidRPr="00C001AC" w14:paraId="1AB717DF" w14:textId="77777777" w:rsidTr="00177ADB">
        <w:trPr>
          <w:jc w:val="center"/>
        </w:trPr>
        <w:tc>
          <w:tcPr>
            <w:tcW w:w="4958" w:type="dxa"/>
          </w:tcPr>
          <w:p w14:paraId="682B39F6"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Last three completed fiscal years</w:t>
            </w:r>
          </w:p>
        </w:tc>
        <w:tc>
          <w:tcPr>
            <w:tcW w:w="3625" w:type="dxa"/>
          </w:tcPr>
          <w:p w14:paraId="5D5B82D5"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2014/2015-2015/2016-2017</w:t>
            </w:r>
          </w:p>
        </w:tc>
      </w:tr>
      <w:tr w:rsidR="007E2FD4" w:rsidRPr="00C001AC" w14:paraId="0B5F0A8F" w14:textId="77777777" w:rsidTr="00177ADB">
        <w:trPr>
          <w:jc w:val="center"/>
        </w:trPr>
        <w:tc>
          <w:tcPr>
            <w:tcW w:w="4958" w:type="dxa"/>
          </w:tcPr>
          <w:p w14:paraId="7D1B8E77"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Last completed fiscal year</w:t>
            </w:r>
          </w:p>
        </w:tc>
        <w:tc>
          <w:tcPr>
            <w:tcW w:w="3625" w:type="dxa"/>
          </w:tcPr>
          <w:p w14:paraId="25355DDF"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2017</w:t>
            </w:r>
          </w:p>
        </w:tc>
      </w:tr>
      <w:tr w:rsidR="007E2FD4" w:rsidRPr="00C001AC" w14:paraId="636B07EF" w14:textId="77777777" w:rsidTr="00177ADB">
        <w:trPr>
          <w:trHeight w:val="287"/>
          <w:jc w:val="center"/>
        </w:trPr>
        <w:tc>
          <w:tcPr>
            <w:tcW w:w="4958" w:type="dxa"/>
          </w:tcPr>
          <w:p w14:paraId="5824BB8E"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At time of assessment</w:t>
            </w:r>
          </w:p>
        </w:tc>
        <w:tc>
          <w:tcPr>
            <w:tcW w:w="3625" w:type="dxa"/>
          </w:tcPr>
          <w:p w14:paraId="143C2BDA"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Between March and August 2018</w:t>
            </w:r>
          </w:p>
        </w:tc>
      </w:tr>
      <w:tr w:rsidR="007E2FD4" w:rsidRPr="00C001AC" w14:paraId="460D7BBD" w14:textId="77777777" w:rsidTr="00177ADB">
        <w:trPr>
          <w:jc w:val="center"/>
        </w:trPr>
        <w:tc>
          <w:tcPr>
            <w:tcW w:w="4958" w:type="dxa"/>
          </w:tcPr>
          <w:p w14:paraId="1C1C4F71" w14:textId="77777777" w:rsidR="007E2FD4" w:rsidRPr="00C001AC" w:rsidRDefault="00177ADB" w:rsidP="007E2FD4">
            <w:pPr>
              <w:autoSpaceDE w:val="0"/>
              <w:autoSpaceDN w:val="0"/>
              <w:adjustRightInd w:val="0"/>
              <w:spacing w:before="0"/>
              <w:ind w:left="0"/>
              <w:rPr>
                <w:rFonts w:eastAsiaTheme="minorHAnsi"/>
              </w:rPr>
            </w:pPr>
            <w:r>
              <w:rPr>
                <w:rFonts w:eastAsiaTheme="minorHAnsi"/>
              </w:rPr>
              <w:t>Cut-</w:t>
            </w:r>
            <w:r w:rsidR="007E2FD4" w:rsidRPr="00C001AC">
              <w:rPr>
                <w:rFonts w:eastAsiaTheme="minorHAnsi"/>
              </w:rPr>
              <w:t xml:space="preserve">off date </w:t>
            </w:r>
          </w:p>
        </w:tc>
        <w:tc>
          <w:tcPr>
            <w:tcW w:w="3625" w:type="dxa"/>
          </w:tcPr>
          <w:p w14:paraId="05205FF2" w14:textId="77777777" w:rsidR="007E2FD4" w:rsidRPr="00C001AC" w:rsidRDefault="007E2FD4" w:rsidP="007E2FD4">
            <w:pPr>
              <w:autoSpaceDE w:val="0"/>
              <w:autoSpaceDN w:val="0"/>
              <w:adjustRightInd w:val="0"/>
              <w:spacing w:before="0"/>
              <w:ind w:left="0"/>
              <w:rPr>
                <w:rFonts w:eastAsiaTheme="minorHAnsi"/>
              </w:rPr>
            </w:pPr>
            <w:r w:rsidRPr="00C001AC">
              <w:rPr>
                <w:rFonts w:eastAsiaTheme="minorHAnsi"/>
              </w:rPr>
              <w:t>August 31, 2018</w:t>
            </w:r>
          </w:p>
        </w:tc>
      </w:tr>
    </w:tbl>
    <w:p w14:paraId="0E50DDAD" w14:textId="77777777" w:rsidR="007E2FD4" w:rsidRPr="00F578F2"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F578F2">
        <w:rPr>
          <w:rFonts w:ascii="Times New Roman" w:eastAsiaTheme="minorHAnsi" w:hAnsi="Times New Roman"/>
          <w:b/>
          <w:sz w:val="24"/>
        </w:rPr>
        <w:t>The cut-off date to update the evidence and change the scores has been defined as of August 31, 2018.</w:t>
      </w:r>
      <w:r w:rsidRPr="00F578F2">
        <w:rPr>
          <w:rFonts w:ascii="Times New Roman" w:eastAsiaTheme="minorHAnsi" w:hAnsi="Times New Roman"/>
          <w:sz w:val="24"/>
        </w:rPr>
        <w:t xml:space="preserve"> When possible, information about progress in improving PFM available up to the time of the final mission in August 2018 (when the scores have been presented to and validated by MoF officials, WB and EU) has been updated.</w:t>
      </w:r>
    </w:p>
    <w:p w14:paraId="4F54EB6C" w14:textId="77777777" w:rsidR="007E2FD4" w:rsidRPr="00F578F2"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C001AC">
        <w:rPr>
          <w:rFonts w:ascii="Times New Roman" w:eastAsiaTheme="minorHAnsi" w:hAnsi="Times New Roman"/>
          <w:b/>
          <w:sz w:val="24"/>
        </w:rPr>
        <w:t>The L</w:t>
      </w:r>
      <w:r w:rsidR="00435FC6">
        <w:rPr>
          <w:rFonts w:ascii="Times New Roman" w:eastAsiaTheme="minorHAnsi" w:hAnsi="Times New Roman"/>
          <w:b/>
          <w:sz w:val="24"/>
        </w:rPr>
        <w:t xml:space="preserve">ao </w:t>
      </w:r>
      <w:r w:rsidRPr="00C001AC">
        <w:rPr>
          <w:rFonts w:ascii="Times New Roman" w:eastAsiaTheme="minorHAnsi" w:hAnsi="Times New Roman"/>
          <w:b/>
          <w:sz w:val="24"/>
        </w:rPr>
        <w:t>PDR government and WB agreed not to track performance changes to the previous Lao PDR PEFA 2010</w:t>
      </w:r>
      <w:r>
        <w:rPr>
          <w:rFonts w:ascii="Times New Roman" w:eastAsiaTheme="minorHAnsi" w:hAnsi="Times New Roman"/>
          <w:b/>
          <w:sz w:val="24"/>
        </w:rPr>
        <w:t xml:space="preserve">.  </w:t>
      </w:r>
      <w:r w:rsidRPr="00F578F2">
        <w:rPr>
          <w:rFonts w:ascii="Times New Roman" w:eastAsiaTheme="minorHAnsi" w:hAnsi="Times New Roman"/>
          <w:sz w:val="24"/>
        </w:rPr>
        <w:t>This PEFA is to</w:t>
      </w:r>
      <w:r>
        <w:rPr>
          <w:rFonts w:ascii="Times New Roman" w:eastAsiaTheme="minorHAnsi" w:hAnsi="Times New Roman"/>
          <w:b/>
          <w:sz w:val="24"/>
        </w:rPr>
        <w:t xml:space="preserve"> </w:t>
      </w:r>
      <w:r w:rsidRPr="00C001AC">
        <w:rPr>
          <w:rFonts w:ascii="Times New Roman" w:eastAsiaTheme="minorHAnsi" w:hAnsi="Times New Roman"/>
          <w:sz w:val="24"/>
        </w:rPr>
        <w:t>establish a new baseline for the PFM reform monitoring and dialogue with development partners using the latest PEFA methodology.</w:t>
      </w:r>
    </w:p>
    <w:p w14:paraId="07D86335" w14:textId="77777777" w:rsidR="007E2FD4" w:rsidRPr="00C001AC" w:rsidRDefault="007E2FD4" w:rsidP="008037D9">
      <w:pPr>
        <w:pStyle w:val="ListParagraph"/>
        <w:numPr>
          <w:ilvl w:val="0"/>
          <w:numId w:val="32"/>
        </w:numPr>
        <w:spacing w:after="240"/>
        <w:ind w:left="0" w:firstLine="0"/>
        <w:contextualSpacing w:val="0"/>
        <w:rPr>
          <w:rFonts w:ascii="Times New Roman" w:hAnsi="Times New Roman"/>
          <w:sz w:val="24"/>
        </w:rPr>
      </w:pPr>
      <w:r w:rsidRPr="00C001AC">
        <w:rPr>
          <w:rFonts w:ascii="Times New Roman" w:hAnsi="Times New Roman"/>
          <w:b/>
          <w:sz w:val="24"/>
        </w:rPr>
        <w:t xml:space="preserve">The assessment team consulted a wide range of </w:t>
      </w:r>
      <w:r>
        <w:rPr>
          <w:rFonts w:ascii="Times New Roman" w:hAnsi="Times New Roman"/>
          <w:b/>
          <w:sz w:val="24"/>
        </w:rPr>
        <w:t xml:space="preserve">persons and </w:t>
      </w:r>
      <w:r w:rsidRPr="00C001AC">
        <w:rPr>
          <w:rFonts w:ascii="Times New Roman" w:hAnsi="Times New Roman"/>
          <w:b/>
          <w:sz w:val="24"/>
        </w:rPr>
        <w:t>documents</w:t>
      </w:r>
      <w:r>
        <w:rPr>
          <w:rFonts w:ascii="Times New Roman" w:hAnsi="Times New Roman"/>
          <w:b/>
          <w:sz w:val="24"/>
        </w:rPr>
        <w:t>.</w:t>
      </w:r>
      <w:r w:rsidRPr="00C001AC">
        <w:rPr>
          <w:rFonts w:ascii="Times New Roman" w:hAnsi="Times New Roman"/>
          <w:b/>
          <w:sz w:val="24"/>
        </w:rPr>
        <w:t xml:space="preserve"> </w:t>
      </w:r>
      <w:r w:rsidRPr="00C001AC">
        <w:rPr>
          <w:rFonts w:ascii="Times New Roman" w:hAnsi="Times New Roman"/>
          <w:sz w:val="24"/>
        </w:rPr>
        <w:t xml:space="preserve">The list of persons consulted is provided in </w:t>
      </w:r>
      <w:r w:rsidRPr="00E42308">
        <w:rPr>
          <w:rFonts w:ascii="Times New Roman" w:hAnsi="Times New Roman"/>
          <w:sz w:val="24"/>
        </w:rPr>
        <w:t>Annex 3A.</w:t>
      </w:r>
      <w:r w:rsidR="00DC5687">
        <w:rPr>
          <w:rFonts w:ascii="Times New Roman" w:hAnsi="Times New Roman"/>
          <w:sz w:val="24"/>
        </w:rPr>
        <w:t xml:space="preserve"> </w:t>
      </w:r>
      <w:r w:rsidRPr="00C001AC">
        <w:rPr>
          <w:rFonts w:ascii="Times New Roman" w:hAnsi="Times New Roman"/>
          <w:sz w:val="24"/>
        </w:rPr>
        <w:t xml:space="preserve">The list of documents consulted </w:t>
      </w:r>
      <w:r w:rsidRPr="00C712A1">
        <w:rPr>
          <w:rFonts w:ascii="Times New Roman" w:hAnsi="Times New Roman"/>
          <w:sz w:val="24"/>
        </w:rPr>
        <w:t>from various ministries and budgetary agencies, and studies and analysis produced by the World Bank and other development partners</w:t>
      </w:r>
      <w:r w:rsidRPr="00C001AC">
        <w:rPr>
          <w:rFonts w:ascii="Times New Roman" w:hAnsi="Times New Roman"/>
          <w:sz w:val="24"/>
        </w:rPr>
        <w:t xml:space="preserve"> as inputs to the assessm</w:t>
      </w:r>
      <w:r w:rsidR="00DC5687">
        <w:rPr>
          <w:rFonts w:ascii="Times New Roman" w:hAnsi="Times New Roman"/>
          <w:sz w:val="24"/>
        </w:rPr>
        <w:t>ent. This can</w:t>
      </w:r>
      <w:r w:rsidRPr="00C001AC">
        <w:rPr>
          <w:rFonts w:ascii="Times New Roman" w:hAnsi="Times New Roman"/>
          <w:sz w:val="24"/>
        </w:rPr>
        <w:t xml:space="preserve"> </w:t>
      </w:r>
      <w:r w:rsidR="006E0A09">
        <w:rPr>
          <w:rFonts w:ascii="Times New Roman" w:hAnsi="Times New Roman"/>
          <w:sz w:val="24"/>
        </w:rPr>
        <w:t xml:space="preserve">be </w:t>
      </w:r>
      <w:r w:rsidRPr="00C001AC">
        <w:rPr>
          <w:rFonts w:ascii="Times New Roman" w:hAnsi="Times New Roman"/>
          <w:sz w:val="24"/>
        </w:rPr>
        <w:t xml:space="preserve">found in </w:t>
      </w:r>
      <w:r w:rsidRPr="00E42308">
        <w:rPr>
          <w:rFonts w:ascii="Times New Roman" w:hAnsi="Times New Roman"/>
          <w:sz w:val="24"/>
        </w:rPr>
        <w:t>Annex 3B,</w:t>
      </w:r>
      <w:r w:rsidRPr="00C001AC">
        <w:rPr>
          <w:rFonts w:ascii="Times New Roman" w:hAnsi="Times New Roman"/>
          <w:sz w:val="24"/>
        </w:rPr>
        <w:t xml:space="preserve"> which also includes the core PFM laws and regulations, five-year and annual development plans, annual budgets, budget execution reports, annual audited financial statements and audit reports. </w:t>
      </w:r>
    </w:p>
    <w:p w14:paraId="13629AFC" w14:textId="77777777" w:rsidR="007E2FD4" w:rsidRPr="00C001AC"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001AC">
        <w:rPr>
          <w:rFonts w:ascii="Times New Roman" w:eastAsiaTheme="minorHAnsi" w:hAnsi="Times New Roman"/>
          <w:b/>
          <w:sz w:val="24"/>
        </w:rPr>
        <w:t>Capacity</w:t>
      </w:r>
      <w:r w:rsidRPr="00C001AC">
        <w:rPr>
          <w:rFonts w:ascii="Times New Roman" w:hAnsi="Times New Roman"/>
          <w:b/>
          <w:sz w:val="24"/>
        </w:rPr>
        <w:t>-building and PFM training was provided to the Government counterparts throughout the assessment and support the development of the PFM reform actions plans</w:t>
      </w:r>
      <w:r w:rsidRPr="00C001AC">
        <w:rPr>
          <w:rFonts w:ascii="Times New Roman" w:hAnsi="Times New Roman"/>
          <w:sz w:val="24"/>
        </w:rPr>
        <w:t>. Key counterpart m</w:t>
      </w:r>
      <w:r>
        <w:rPr>
          <w:rFonts w:ascii="Times New Roman" w:hAnsi="Times New Roman"/>
          <w:sz w:val="24"/>
        </w:rPr>
        <w:t>embers of the Government</w:t>
      </w:r>
      <w:r w:rsidRPr="00C001AC">
        <w:rPr>
          <w:rFonts w:ascii="Times New Roman" w:hAnsi="Times New Roman"/>
          <w:sz w:val="24"/>
        </w:rPr>
        <w:t xml:space="preserve"> attended a PEFA Workshop on the 2016 methodology organized by the PEFA Secretariat in Manila (March 2017). A PEFA training session was organized with the PEFA Secretariat in Vientiane for the Lao PEFA Assessment Team in May 2017. The purpose of this training was to explain in detail the 2016 PEFA methodology and scoring and the data requirement for the successful conduct of the PEFA self-assessment. Further targeted trainings on the upgraded 2016 PEFA Framework methodology have been undertaken by the consultants during their main field missions in September and November 2017.</w:t>
      </w:r>
    </w:p>
    <w:p w14:paraId="48E067E6" w14:textId="77777777" w:rsidR="007E2FD4" w:rsidRPr="00F46A69"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iCs/>
          <w:sz w:val="24"/>
        </w:rPr>
      </w:pPr>
      <w:r w:rsidRPr="00F46A69">
        <w:rPr>
          <w:rFonts w:ascii="Times New Roman" w:hAnsi="Times New Roman"/>
          <w:iCs/>
          <w:sz w:val="24"/>
        </w:rPr>
        <w:t>The final timetable for the 2018 PEFA Lao activities is presented in the Box 2 below:</w:t>
      </w:r>
    </w:p>
    <w:p w14:paraId="63FEBECA" w14:textId="77777777" w:rsidR="007E2FD4" w:rsidRPr="00F46A69" w:rsidRDefault="007E2FD4" w:rsidP="00E42308">
      <w:pPr>
        <w:pStyle w:val="Caption"/>
        <w:spacing w:after="0" w:line="240" w:lineRule="auto"/>
        <w:ind w:left="1440"/>
        <w:rPr>
          <w:rFonts w:ascii="Times New Roman" w:hAnsi="Times New Roman"/>
          <w:color w:val="auto"/>
          <w:sz w:val="24"/>
          <w:szCs w:val="24"/>
        </w:rPr>
      </w:pPr>
      <w:r w:rsidRPr="00F46A69">
        <w:rPr>
          <w:rFonts w:ascii="Times New Roman" w:hAnsi="Times New Roman"/>
          <w:color w:val="auto"/>
          <w:sz w:val="24"/>
          <w:szCs w:val="24"/>
        </w:rPr>
        <w:t xml:space="preserve">Box 2: Timetable of the 2018 PEFA Lao PDR milestones and deliverables </w:t>
      </w:r>
    </w:p>
    <w:tbl>
      <w:tblPr>
        <w:tblStyle w:val="TableClassic1"/>
        <w:tblpPr w:leftFromText="180" w:rightFromText="180" w:vertAnchor="text" w:tblpXSpec="center" w:tblpY="1"/>
        <w:tblOverlap w:val="never"/>
        <w:tblW w:w="8842" w:type="dxa"/>
        <w:jc w:val="center"/>
        <w:tblCellMar>
          <w:left w:w="115" w:type="dxa"/>
          <w:right w:w="115" w:type="dxa"/>
        </w:tblCellMar>
        <w:tblLook w:val="04A0" w:firstRow="1" w:lastRow="0" w:firstColumn="1" w:lastColumn="0" w:noHBand="0" w:noVBand="1"/>
      </w:tblPr>
      <w:tblGrid>
        <w:gridCol w:w="7141"/>
        <w:gridCol w:w="1701"/>
      </w:tblGrid>
      <w:tr w:rsidR="007E2FD4" w:rsidRPr="00C001AC" w14:paraId="3A1ED810" w14:textId="77777777" w:rsidTr="00C66FE9">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tcBorders>
            <w:shd w:val="clear" w:color="auto" w:fill="EAF1DD" w:themeFill="accent3" w:themeFillTint="33"/>
            <w:vAlign w:val="center"/>
          </w:tcPr>
          <w:p w14:paraId="3EEA3C3A" w14:textId="77777777" w:rsidR="007E2FD4" w:rsidRPr="00C001AC" w:rsidRDefault="007E2FD4" w:rsidP="007E2FD4">
            <w:pPr>
              <w:pStyle w:val="ListBullet"/>
              <w:keepNext/>
              <w:spacing w:before="0" w:after="0"/>
              <w:ind w:left="0"/>
              <w:jc w:val="center"/>
              <w:rPr>
                <w:b/>
                <w:i w:val="0"/>
                <w:iCs w:val="0"/>
                <w:sz w:val="22"/>
                <w:szCs w:val="22"/>
              </w:rPr>
            </w:pPr>
            <w:r w:rsidRPr="00C001AC">
              <w:rPr>
                <w:b/>
                <w:sz w:val="22"/>
                <w:szCs w:val="22"/>
              </w:rPr>
              <w:t>Milestones and deliverables</w:t>
            </w:r>
          </w:p>
        </w:tc>
        <w:tc>
          <w:tcPr>
            <w:tcW w:w="1701" w:type="dxa"/>
            <w:tcBorders>
              <w:top w:val="single" w:sz="4" w:space="0" w:color="auto"/>
              <w:bottom w:val="single" w:sz="4" w:space="0" w:color="auto"/>
              <w:right w:val="single" w:sz="4" w:space="0" w:color="auto"/>
            </w:tcBorders>
            <w:shd w:val="clear" w:color="auto" w:fill="EAF1DD" w:themeFill="accent3" w:themeFillTint="33"/>
            <w:vAlign w:val="center"/>
          </w:tcPr>
          <w:p w14:paraId="3B1545AD" w14:textId="77777777" w:rsidR="007E2FD4" w:rsidRPr="00C001AC" w:rsidRDefault="007E2FD4" w:rsidP="007E2FD4">
            <w:pPr>
              <w:pStyle w:val="ListBullet"/>
              <w:keepNext/>
              <w:spacing w:before="0" w:after="0"/>
              <w:ind w:left="0"/>
              <w:jc w:val="center"/>
              <w:cnfStyle w:val="100000000000" w:firstRow="1" w:lastRow="0" w:firstColumn="0" w:lastColumn="0" w:oddVBand="0" w:evenVBand="0" w:oddHBand="0" w:evenHBand="0" w:firstRowFirstColumn="0" w:firstRowLastColumn="0" w:lastRowFirstColumn="0" w:lastRowLastColumn="0"/>
              <w:rPr>
                <w:b/>
                <w:i w:val="0"/>
                <w:iCs w:val="0"/>
                <w:sz w:val="22"/>
                <w:szCs w:val="22"/>
              </w:rPr>
            </w:pPr>
            <w:r w:rsidRPr="00C001AC">
              <w:rPr>
                <w:b/>
                <w:sz w:val="22"/>
                <w:szCs w:val="22"/>
              </w:rPr>
              <w:t>Dates</w:t>
            </w:r>
          </w:p>
        </w:tc>
      </w:tr>
      <w:tr w:rsidR="007E2FD4" w:rsidRPr="00C001AC" w14:paraId="22586F55" w14:textId="77777777" w:rsidTr="00C66FE9">
        <w:trPr>
          <w:trHeight w:val="908"/>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vAlign w:val="center"/>
          </w:tcPr>
          <w:p w14:paraId="4C53ABF6" w14:textId="77777777" w:rsidR="007E2FD4" w:rsidRPr="00C001AC" w:rsidRDefault="007E2FD4" w:rsidP="007E2FD4">
            <w:pPr>
              <w:pStyle w:val="ListBullet"/>
              <w:keepNext/>
              <w:spacing w:before="0" w:after="0"/>
              <w:ind w:left="0"/>
              <w:jc w:val="left"/>
              <w:rPr>
                <w:b/>
                <w:sz w:val="22"/>
                <w:szCs w:val="22"/>
              </w:rPr>
            </w:pPr>
            <w:r w:rsidRPr="00C001AC">
              <w:rPr>
                <w:b/>
                <w:sz w:val="22"/>
                <w:szCs w:val="22"/>
              </w:rPr>
              <w:t xml:space="preserve">PEFA 2016 methodology training </w:t>
            </w:r>
            <w:r w:rsidRPr="00C001AC">
              <w:rPr>
                <w:sz w:val="22"/>
                <w:szCs w:val="22"/>
              </w:rPr>
              <w:t>(with PEFA secretariat)</w:t>
            </w:r>
          </w:p>
          <w:p w14:paraId="40F8E784" w14:textId="77777777" w:rsidR="007E2FD4" w:rsidRPr="00C001AC" w:rsidRDefault="007E2FD4" w:rsidP="007E2FD4">
            <w:pPr>
              <w:pStyle w:val="ListBullet"/>
              <w:keepNext/>
              <w:spacing w:before="0" w:after="0"/>
              <w:ind w:left="0"/>
              <w:jc w:val="left"/>
              <w:rPr>
                <w:b/>
                <w:sz w:val="22"/>
                <w:szCs w:val="22"/>
              </w:rPr>
            </w:pPr>
            <w:r w:rsidRPr="00C001AC">
              <w:rPr>
                <w:b/>
                <w:sz w:val="22"/>
                <w:szCs w:val="22"/>
              </w:rPr>
              <w:t>Establishment of the 2018 Lao PEFA Assessment Steering Committee (Oversight Team) by GoL</w:t>
            </w:r>
          </w:p>
        </w:tc>
        <w:tc>
          <w:tcPr>
            <w:tcW w:w="1701" w:type="dxa"/>
            <w:tcBorders>
              <w:top w:val="single" w:sz="4" w:space="0" w:color="auto"/>
              <w:left w:val="single" w:sz="4" w:space="0" w:color="auto"/>
              <w:bottom w:val="single" w:sz="4" w:space="0" w:color="auto"/>
              <w:right w:val="single" w:sz="4" w:space="0" w:color="auto"/>
            </w:tcBorders>
            <w:vAlign w:val="center"/>
          </w:tcPr>
          <w:p w14:paraId="27D6830E"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B6E6A3A"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May 2-5, 2017</w:t>
            </w:r>
          </w:p>
          <w:p w14:paraId="05EE317A"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July 25, 2017</w:t>
            </w:r>
          </w:p>
          <w:p w14:paraId="1DECD948"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E2FD4" w:rsidRPr="00C001AC" w14:paraId="2603C014" w14:textId="77777777" w:rsidTr="00C66FE9">
        <w:trPr>
          <w:trHeight w:val="1493"/>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tcPr>
          <w:p w14:paraId="35B3D0FE" w14:textId="77777777" w:rsidR="007E2FD4" w:rsidRPr="00C001AC" w:rsidRDefault="007E2FD4" w:rsidP="007E2FD4">
            <w:pPr>
              <w:pStyle w:val="ListBullet"/>
              <w:keepNext/>
              <w:spacing w:before="0" w:after="0"/>
              <w:ind w:left="0"/>
              <w:rPr>
                <w:b/>
                <w:sz w:val="22"/>
                <w:szCs w:val="22"/>
              </w:rPr>
            </w:pPr>
            <w:r w:rsidRPr="00C001AC">
              <w:rPr>
                <w:b/>
                <w:sz w:val="22"/>
                <w:szCs w:val="22"/>
              </w:rPr>
              <w:t>First mission consultants (September 4 to 29, 2017)</w:t>
            </w:r>
          </w:p>
          <w:p w14:paraId="4E657431" w14:textId="77777777" w:rsidR="007E2FD4" w:rsidRPr="00D5285E" w:rsidRDefault="00310D44" w:rsidP="00177ADB">
            <w:pPr>
              <w:pStyle w:val="ListParagraph"/>
              <w:keepLines w:val="0"/>
              <w:numPr>
                <w:ilvl w:val="0"/>
                <w:numId w:val="8"/>
              </w:numPr>
              <w:spacing w:before="0"/>
              <w:ind w:left="342" w:hanging="270"/>
              <w:contextualSpacing w:val="0"/>
              <w:rPr>
                <w:sz w:val="22"/>
                <w:szCs w:val="22"/>
                <w:lang w:val="en-MY"/>
              </w:rPr>
            </w:pPr>
            <w:r w:rsidRPr="00310D44">
              <w:rPr>
                <w:szCs w:val="22"/>
                <w:lang w:val="en-MY"/>
              </w:rPr>
              <w:t>Refresher workshop with Lao PEFA Assessment Team</w:t>
            </w:r>
          </w:p>
          <w:p w14:paraId="2527666D" w14:textId="77777777" w:rsidR="007E2FD4" w:rsidRPr="00177ADB" w:rsidRDefault="007E2FD4" w:rsidP="00177ADB">
            <w:pPr>
              <w:pStyle w:val="ListParagraph"/>
              <w:numPr>
                <w:ilvl w:val="0"/>
                <w:numId w:val="8"/>
              </w:numPr>
              <w:spacing w:before="0"/>
              <w:ind w:left="342" w:hanging="270"/>
              <w:contextualSpacing w:val="0"/>
              <w:rPr>
                <w:sz w:val="22"/>
                <w:szCs w:val="22"/>
                <w:lang w:val="fr-FR"/>
              </w:rPr>
            </w:pPr>
            <w:r w:rsidRPr="00177ADB">
              <w:rPr>
                <w:sz w:val="22"/>
                <w:szCs w:val="22"/>
                <w:lang w:val="fr-FR"/>
              </w:rPr>
              <w:t xml:space="preserve">1st Draft Concept Note </w:t>
            </w:r>
          </w:p>
          <w:p w14:paraId="73912947" w14:textId="77777777" w:rsidR="007E2FD4" w:rsidRPr="00C001AC" w:rsidRDefault="00310D44" w:rsidP="00177ADB">
            <w:pPr>
              <w:pStyle w:val="ListParagraph"/>
              <w:numPr>
                <w:ilvl w:val="0"/>
                <w:numId w:val="8"/>
              </w:numPr>
              <w:spacing w:before="0"/>
              <w:ind w:left="342" w:hanging="270"/>
              <w:contextualSpacing w:val="0"/>
              <w:rPr>
                <w:sz w:val="22"/>
                <w:szCs w:val="22"/>
              </w:rPr>
            </w:pPr>
            <w:r w:rsidRPr="00310D44">
              <w:rPr>
                <w:szCs w:val="22"/>
                <w:lang w:val="en-MY"/>
              </w:rPr>
              <w:t>Official</w:t>
            </w:r>
            <w:r w:rsidR="007E2FD4" w:rsidRPr="00C001AC">
              <w:rPr>
                <w:sz w:val="22"/>
                <w:szCs w:val="22"/>
              </w:rPr>
              <w:t xml:space="preserve"> launch workshop with by GoL with PFM stakeholders </w:t>
            </w:r>
          </w:p>
          <w:p w14:paraId="22E98626" w14:textId="77777777" w:rsidR="007E2FD4" w:rsidRPr="00C001AC" w:rsidRDefault="007E2FD4" w:rsidP="00DC5687">
            <w:pPr>
              <w:pStyle w:val="ListParagraph"/>
              <w:numPr>
                <w:ilvl w:val="0"/>
                <w:numId w:val="8"/>
              </w:numPr>
              <w:spacing w:before="0"/>
              <w:ind w:left="342" w:hanging="270"/>
              <w:contextualSpacing w:val="0"/>
              <w:jc w:val="left"/>
              <w:rPr>
                <w:sz w:val="22"/>
                <w:szCs w:val="22"/>
              </w:rPr>
            </w:pPr>
            <w:r w:rsidRPr="00C001AC">
              <w:rPr>
                <w:b/>
                <w:sz w:val="22"/>
                <w:szCs w:val="22"/>
              </w:rPr>
              <w:t>Initial data stocktaking</w:t>
            </w:r>
            <w:r w:rsidRPr="00C001AC">
              <w:rPr>
                <w:sz w:val="22"/>
                <w:szCs w:val="22"/>
              </w:rPr>
              <w:t xml:space="preserve"> requests submitted to the Government counterpart team</w:t>
            </w:r>
            <w:r w:rsidRPr="00C001AC">
              <w:rPr>
                <w:b/>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73CC354C"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September 2017</w:t>
            </w:r>
          </w:p>
          <w:p w14:paraId="7C25881C"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6E3A2C4"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5E81824"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3F2D5DF"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E2FD4" w:rsidRPr="00C001AC" w14:paraId="04DC60CD" w14:textId="77777777" w:rsidTr="00C66FE9">
        <w:trPr>
          <w:trHeight w:val="856"/>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tcPr>
          <w:p w14:paraId="78EC809A" w14:textId="77777777" w:rsidR="007E2FD4" w:rsidRPr="00C001AC" w:rsidRDefault="007E2FD4" w:rsidP="007E2FD4">
            <w:pPr>
              <w:pStyle w:val="ListBullet"/>
              <w:keepNext/>
              <w:spacing w:before="0" w:after="0"/>
              <w:ind w:left="0"/>
              <w:rPr>
                <w:b/>
                <w:sz w:val="22"/>
                <w:szCs w:val="22"/>
              </w:rPr>
            </w:pPr>
            <w:r w:rsidRPr="00C001AC">
              <w:rPr>
                <w:b/>
                <w:sz w:val="22"/>
                <w:szCs w:val="22"/>
              </w:rPr>
              <w:lastRenderedPageBreak/>
              <w:t>Second mission consultants (November 20 to December 8, 2017)</w:t>
            </w:r>
          </w:p>
          <w:p w14:paraId="240E7CC6"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 xml:space="preserve">Finalization CN </w:t>
            </w:r>
          </w:p>
          <w:p w14:paraId="5AD56FE6"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b/>
                <w:sz w:val="22"/>
                <w:szCs w:val="22"/>
              </w:rPr>
              <w:t>Data collection</w:t>
            </w:r>
            <w:r w:rsidRPr="00C001AC">
              <w:rPr>
                <w:sz w:val="22"/>
                <w:szCs w:val="22"/>
              </w:rPr>
              <w:t xml:space="preserve"> by focal points in GoL</w:t>
            </w:r>
          </w:p>
        </w:tc>
        <w:tc>
          <w:tcPr>
            <w:tcW w:w="1701" w:type="dxa"/>
            <w:tcBorders>
              <w:top w:val="single" w:sz="4" w:space="0" w:color="auto"/>
              <w:left w:val="single" w:sz="4" w:space="0" w:color="auto"/>
              <w:bottom w:val="single" w:sz="4" w:space="0" w:color="auto"/>
              <w:right w:val="single" w:sz="4" w:space="0" w:color="auto"/>
            </w:tcBorders>
          </w:tcPr>
          <w:p w14:paraId="4932BEB1"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November-December 2017</w:t>
            </w:r>
          </w:p>
          <w:p w14:paraId="3ACA7AF8"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E2FD4" w:rsidRPr="00C001AC" w14:paraId="1D439C53" w14:textId="77777777" w:rsidTr="00C66FE9">
        <w:trPr>
          <w:trHeight w:val="757"/>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vAlign w:val="center"/>
          </w:tcPr>
          <w:p w14:paraId="157A50BF" w14:textId="77777777" w:rsidR="007E2FD4" w:rsidRPr="00C001AC" w:rsidRDefault="007E2FD4" w:rsidP="007E2FD4">
            <w:pPr>
              <w:pStyle w:val="ListBullet"/>
              <w:keepNext/>
              <w:spacing w:before="0" w:after="0"/>
              <w:ind w:left="0"/>
              <w:jc w:val="left"/>
              <w:rPr>
                <w:b/>
                <w:sz w:val="22"/>
                <w:szCs w:val="22"/>
              </w:rPr>
            </w:pPr>
            <w:r w:rsidRPr="00C001AC">
              <w:rPr>
                <w:b/>
                <w:sz w:val="22"/>
                <w:szCs w:val="22"/>
              </w:rPr>
              <w:t xml:space="preserve">Third mission Lead consultant (March 1 to 8, 2018) </w:t>
            </w:r>
          </w:p>
          <w:p w14:paraId="107872AD"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 xml:space="preserve">Follow up Data Collection </w:t>
            </w:r>
          </w:p>
        </w:tc>
        <w:tc>
          <w:tcPr>
            <w:tcW w:w="1701" w:type="dxa"/>
            <w:tcBorders>
              <w:top w:val="single" w:sz="4" w:space="0" w:color="auto"/>
              <w:left w:val="single" w:sz="4" w:space="0" w:color="auto"/>
              <w:bottom w:val="single" w:sz="4" w:space="0" w:color="auto"/>
              <w:right w:val="single" w:sz="4" w:space="0" w:color="auto"/>
            </w:tcBorders>
            <w:vAlign w:val="center"/>
          </w:tcPr>
          <w:p w14:paraId="77D40EAB"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March 2018</w:t>
            </w:r>
          </w:p>
        </w:tc>
      </w:tr>
      <w:tr w:rsidR="007E2FD4" w:rsidRPr="00C001AC" w14:paraId="01D84626" w14:textId="77777777" w:rsidTr="00C66FE9">
        <w:trPr>
          <w:trHeight w:val="1012"/>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tcPr>
          <w:p w14:paraId="45D0ECB3" w14:textId="77777777" w:rsidR="007E2FD4" w:rsidRPr="00C001AC" w:rsidRDefault="007E2FD4" w:rsidP="007E2FD4">
            <w:pPr>
              <w:pStyle w:val="ListBullet"/>
              <w:keepNext/>
              <w:spacing w:before="0" w:after="0"/>
              <w:ind w:left="0"/>
              <w:jc w:val="left"/>
              <w:rPr>
                <w:b/>
                <w:sz w:val="22"/>
                <w:szCs w:val="22"/>
              </w:rPr>
            </w:pPr>
            <w:r w:rsidRPr="00C001AC">
              <w:rPr>
                <w:b/>
                <w:sz w:val="22"/>
                <w:szCs w:val="22"/>
              </w:rPr>
              <w:t xml:space="preserve">Fourth mission Lead consultant (June 21 to 30, 2018) </w:t>
            </w:r>
          </w:p>
          <w:p w14:paraId="7B1572FA"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 xml:space="preserve">Follow up Data Collection </w:t>
            </w:r>
          </w:p>
          <w:p w14:paraId="00E8ECDE" w14:textId="77777777" w:rsidR="007E2FD4" w:rsidRPr="00D5285E" w:rsidRDefault="00310D44" w:rsidP="00177ADB">
            <w:pPr>
              <w:pStyle w:val="ListParagraph"/>
              <w:keepLines w:val="0"/>
              <w:numPr>
                <w:ilvl w:val="0"/>
                <w:numId w:val="8"/>
              </w:numPr>
              <w:spacing w:before="0"/>
              <w:ind w:left="342" w:hanging="270"/>
              <w:contextualSpacing w:val="0"/>
              <w:rPr>
                <w:sz w:val="22"/>
                <w:szCs w:val="22"/>
                <w:lang w:val="en-MY"/>
              </w:rPr>
            </w:pPr>
            <w:r w:rsidRPr="00310D44">
              <w:rPr>
                <w:szCs w:val="22"/>
                <w:lang w:val="en-MY"/>
              </w:rPr>
              <w:t>Retreat for validation at technical level with Lao PEFA Assessment Team</w:t>
            </w:r>
          </w:p>
          <w:p w14:paraId="02D3A07F" w14:textId="77777777" w:rsidR="007E2FD4" w:rsidRPr="00C001AC" w:rsidRDefault="00310D44" w:rsidP="00177ADB">
            <w:pPr>
              <w:pStyle w:val="ListParagraph"/>
              <w:numPr>
                <w:ilvl w:val="0"/>
                <w:numId w:val="8"/>
              </w:numPr>
              <w:spacing w:before="0"/>
              <w:ind w:left="342" w:hanging="270"/>
              <w:contextualSpacing w:val="0"/>
              <w:rPr>
                <w:b/>
                <w:sz w:val="22"/>
                <w:szCs w:val="22"/>
              </w:rPr>
            </w:pPr>
            <w:r w:rsidRPr="00310D44">
              <w:rPr>
                <w:szCs w:val="22"/>
                <w:lang w:val="en-MY"/>
              </w:rPr>
              <w:t>GoL’s</w:t>
            </w:r>
            <w:r w:rsidR="007E2FD4" w:rsidRPr="00C001AC">
              <w:rPr>
                <w:sz w:val="22"/>
                <w:szCs w:val="22"/>
              </w:rPr>
              <w:t xml:space="preserve"> feedback and completion of the PEFA report</w:t>
            </w:r>
          </w:p>
        </w:tc>
        <w:tc>
          <w:tcPr>
            <w:tcW w:w="1701" w:type="dxa"/>
            <w:tcBorders>
              <w:top w:val="single" w:sz="4" w:space="0" w:color="auto"/>
              <w:left w:val="single" w:sz="4" w:space="0" w:color="auto"/>
              <w:bottom w:val="single" w:sz="4" w:space="0" w:color="auto"/>
              <w:right w:val="single" w:sz="4" w:space="0" w:color="auto"/>
            </w:tcBorders>
            <w:vAlign w:val="center"/>
          </w:tcPr>
          <w:p w14:paraId="0BC0E32F" w14:textId="77777777" w:rsidR="007E2FD4" w:rsidRPr="00C001AC" w:rsidRDefault="007E2FD4"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June 2018</w:t>
            </w:r>
          </w:p>
        </w:tc>
      </w:tr>
      <w:tr w:rsidR="007E2FD4" w:rsidRPr="00C001AC" w14:paraId="6E536DB6" w14:textId="77777777" w:rsidTr="00C66FE9">
        <w:trPr>
          <w:trHeight w:val="1077"/>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tcPr>
          <w:p w14:paraId="6107D041" w14:textId="77777777" w:rsidR="007E2FD4" w:rsidRPr="00C001AC" w:rsidRDefault="007E2FD4" w:rsidP="007E2FD4">
            <w:pPr>
              <w:pStyle w:val="ListBullet"/>
              <w:keepNext/>
              <w:spacing w:before="0" w:after="0"/>
              <w:ind w:left="0"/>
              <w:jc w:val="left"/>
              <w:rPr>
                <w:b/>
                <w:sz w:val="22"/>
                <w:szCs w:val="22"/>
              </w:rPr>
            </w:pPr>
            <w:r w:rsidRPr="00C001AC">
              <w:rPr>
                <w:b/>
                <w:sz w:val="22"/>
                <w:szCs w:val="22"/>
              </w:rPr>
              <w:t>Fifth mission Lead consultant (July 31</w:t>
            </w:r>
            <w:r w:rsidRPr="00C001AC">
              <w:rPr>
                <w:b/>
                <w:sz w:val="22"/>
                <w:szCs w:val="22"/>
                <w:vertAlign w:val="superscript"/>
              </w:rPr>
              <w:t>st</w:t>
            </w:r>
            <w:r w:rsidRPr="00C001AC">
              <w:rPr>
                <w:b/>
                <w:sz w:val="22"/>
                <w:szCs w:val="22"/>
              </w:rPr>
              <w:t xml:space="preserve"> to August 10) </w:t>
            </w:r>
          </w:p>
          <w:p w14:paraId="03CD340E"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 xml:space="preserve">Follow up Data Collection </w:t>
            </w:r>
          </w:p>
          <w:p w14:paraId="7252BC19"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Retreat for validation at technical level with Lao PEFA Assessment Team</w:t>
            </w:r>
          </w:p>
          <w:p w14:paraId="6B070211"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Data gap analysis and final scores’ validation</w:t>
            </w:r>
          </w:p>
        </w:tc>
        <w:tc>
          <w:tcPr>
            <w:tcW w:w="1701" w:type="dxa"/>
            <w:tcBorders>
              <w:top w:val="single" w:sz="4" w:space="0" w:color="auto"/>
              <w:left w:val="single" w:sz="4" w:space="0" w:color="auto"/>
              <w:bottom w:val="single" w:sz="4" w:space="0" w:color="auto"/>
              <w:right w:val="single" w:sz="4" w:space="0" w:color="auto"/>
            </w:tcBorders>
            <w:vAlign w:val="center"/>
          </w:tcPr>
          <w:p w14:paraId="06E7311A" w14:textId="77777777" w:rsidR="007E2FD4" w:rsidRPr="00C001AC" w:rsidRDefault="007E2FD4" w:rsidP="00177ADB">
            <w:pPr>
              <w:pStyle w:val="ListBullet"/>
              <w:keepNext/>
              <w:spacing w:before="60" w:after="0" w:line="276" w:lineRule="auto"/>
              <w:ind w:left="540" w:hanging="480"/>
              <w:jc w:val="center"/>
              <w:cnfStyle w:val="000000000000" w:firstRow="0" w:lastRow="0" w:firstColumn="0" w:lastColumn="0" w:oddVBand="0" w:evenVBand="0" w:oddHBand="0" w:evenHBand="0" w:firstRowFirstColumn="0" w:firstRowLastColumn="0" w:lastRowFirstColumn="0" w:lastRowLastColumn="0"/>
              <w:rPr>
                <w:sz w:val="22"/>
                <w:szCs w:val="22"/>
              </w:rPr>
            </w:pPr>
            <w:r w:rsidRPr="00C001AC">
              <w:rPr>
                <w:sz w:val="22"/>
                <w:szCs w:val="22"/>
              </w:rPr>
              <w:t>August 2018</w:t>
            </w:r>
          </w:p>
        </w:tc>
      </w:tr>
      <w:tr w:rsidR="007E2FD4" w:rsidRPr="00C001AC" w14:paraId="1AB187DF" w14:textId="77777777" w:rsidTr="00C66FE9">
        <w:trPr>
          <w:trHeight w:val="1408"/>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right w:val="single" w:sz="4" w:space="0" w:color="auto"/>
            </w:tcBorders>
          </w:tcPr>
          <w:p w14:paraId="11A4D2F6" w14:textId="77777777" w:rsidR="007E2FD4" w:rsidRPr="00C001AC" w:rsidRDefault="007E2FD4" w:rsidP="007E2FD4">
            <w:pPr>
              <w:pStyle w:val="ListBullet"/>
              <w:keepNext/>
              <w:spacing w:before="0" w:after="0"/>
              <w:ind w:left="0"/>
              <w:rPr>
                <w:b/>
                <w:sz w:val="22"/>
                <w:szCs w:val="22"/>
              </w:rPr>
            </w:pPr>
            <w:r w:rsidRPr="00C001AC">
              <w:rPr>
                <w:b/>
                <w:sz w:val="22"/>
                <w:szCs w:val="22"/>
              </w:rPr>
              <w:t>Issue of draft PEFA report for peer review process</w:t>
            </w:r>
          </w:p>
          <w:p w14:paraId="7B3DD3F2" w14:textId="77777777" w:rsidR="007E2FD4" w:rsidRPr="00177ADB" w:rsidRDefault="007E2FD4" w:rsidP="00177ADB">
            <w:pPr>
              <w:pStyle w:val="ListParagraph"/>
              <w:numPr>
                <w:ilvl w:val="0"/>
                <w:numId w:val="8"/>
              </w:numPr>
              <w:spacing w:before="0"/>
              <w:ind w:left="342" w:hanging="270"/>
              <w:contextualSpacing w:val="0"/>
              <w:rPr>
                <w:sz w:val="22"/>
                <w:szCs w:val="22"/>
                <w:lang w:val="fr-FR"/>
              </w:rPr>
            </w:pPr>
            <w:r w:rsidRPr="00177ADB">
              <w:rPr>
                <w:sz w:val="22"/>
                <w:szCs w:val="22"/>
                <w:lang w:val="fr-FR"/>
              </w:rPr>
              <w:t xml:space="preserve">Peer </w:t>
            </w:r>
            <w:proofErr w:type="spellStart"/>
            <w:r w:rsidRPr="00177ADB">
              <w:rPr>
                <w:sz w:val="22"/>
                <w:szCs w:val="22"/>
                <w:lang w:val="fr-FR"/>
              </w:rPr>
              <w:t>review</w:t>
            </w:r>
            <w:proofErr w:type="spellEnd"/>
            <w:r w:rsidRPr="00177ADB">
              <w:rPr>
                <w:sz w:val="22"/>
                <w:szCs w:val="22"/>
                <w:lang w:val="fr-FR"/>
              </w:rPr>
              <w:t xml:space="preserve"> </w:t>
            </w:r>
            <w:proofErr w:type="spellStart"/>
            <w:r w:rsidRPr="00177ADB">
              <w:rPr>
                <w:sz w:val="22"/>
                <w:szCs w:val="22"/>
                <w:lang w:val="fr-FR"/>
              </w:rPr>
              <w:t>comments</w:t>
            </w:r>
            <w:proofErr w:type="spellEnd"/>
            <w:r w:rsidRPr="00177ADB">
              <w:rPr>
                <w:sz w:val="22"/>
                <w:szCs w:val="22"/>
                <w:lang w:val="fr-FR"/>
              </w:rPr>
              <w:t xml:space="preserve"> </w:t>
            </w:r>
            <w:proofErr w:type="spellStart"/>
            <w:r w:rsidRPr="00177ADB">
              <w:rPr>
                <w:sz w:val="22"/>
                <w:szCs w:val="22"/>
                <w:lang w:val="fr-FR"/>
              </w:rPr>
              <w:t>submitted</w:t>
            </w:r>
            <w:proofErr w:type="spellEnd"/>
          </w:p>
          <w:p w14:paraId="0DF8EE0B" w14:textId="77777777" w:rsidR="007E2FD4" w:rsidRPr="00D5285E" w:rsidRDefault="00310D44" w:rsidP="00177ADB">
            <w:pPr>
              <w:pStyle w:val="ListParagraph"/>
              <w:keepLines w:val="0"/>
              <w:numPr>
                <w:ilvl w:val="0"/>
                <w:numId w:val="8"/>
              </w:numPr>
              <w:spacing w:before="0"/>
              <w:ind w:left="342" w:hanging="270"/>
              <w:contextualSpacing w:val="0"/>
              <w:rPr>
                <w:sz w:val="22"/>
                <w:szCs w:val="22"/>
                <w:lang w:val="en-MY"/>
              </w:rPr>
            </w:pPr>
            <w:r w:rsidRPr="00310D44">
              <w:rPr>
                <w:szCs w:val="22"/>
                <w:lang w:val="en-MY"/>
              </w:rPr>
              <w:t>Issue of final draft PEFA report with review matrix</w:t>
            </w:r>
          </w:p>
          <w:p w14:paraId="21D0CAAE" w14:textId="77777777" w:rsidR="007E2FD4" w:rsidRPr="00C001AC" w:rsidRDefault="007E2FD4" w:rsidP="00177ADB">
            <w:pPr>
              <w:pStyle w:val="ListParagraph"/>
              <w:numPr>
                <w:ilvl w:val="0"/>
                <w:numId w:val="8"/>
              </w:numPr>
              <w:spacing w:before="0"/>
              <w:ind w:left="342" w:hanging="270"/>
              <w:contextualSpacing w:val="0"/>
              <w:rPr>
                <w:sz w:val="22"/>
                <w:szCs w:val="22"/>
              </w:rPr>
            </w:pPr>
            <w:r w:rsidRPr="00177ADB">
              <w:rPr>
                <w:sz w:val="22"/>
                <w:szCs w:val="22"/>
                <w:lang w:val="fr-FR"/>
              </w:rPr>
              <w:t>Feedback</w:t>
            </w:r>
            <w:r w:rsidRPr="00C001AC">
              <w:rPr>
                <w:sz w:val="22"/>
                <w:szCs w:val="22"/>
              </w:rPr>
              <w:t xml:space="preserve"> from PEFA Secretariat </w:t>
            </w:r>
          </w:p>
          <w:p w14:paraId="61FC2EE7" w14:textId="77777777" w:rsidR="007E2FD4" w:rsidRPr="00C001AC" w:rsidRDefault="007E2FD4" w:rsidP="007E2FD4">
            <w:pPr>
              <w:pStyle w:val="ListBullet"/>
              <w:keepNext/>
              <w:spacing w:before="0" w:after="0"/>
              <w:ind w:left="0"/>
              <w:rPr>
                <w:b/>
                <w:sz w:val="22"/>
                <w:szCs w:val="22"/>
              </w:rPr>
            </w:pPr>
            <w:r w:rsidRPr="00C001AC">
              <w:rPr>
                <w:b/>
                <w:sz w:val="22"/>
                <w:szCs w:val="22"/>
              </w:rPr>
              <w:t>Official endorsement of the final PEFA report by GoL</w:t>
            </w:r>
          </w:p>
        </w:tc>
        <w:tc>
          <w:tcPr>
            <w:tcW w:w="1701" w:type="dxa"/>
            <w:tcBorders>
              <w:top w:val="single" w:sz="4" w:space="0" w:color="auto"/>
              <w:left w:val="single" w:sz="4" w:space="0" w:color="auto"/>
              <w:bottom w:val="single" w:sz="4" w:space="0" w:color="auto"/>
              <w:right w:val="single" w:sz="4" w:space="0" w:color="auto"/>
            </w:tcBorders>
          </w:tcPr>
          <w:p w14:paraId="22A04EE1" w14:textId="45D21301" w:rsidR="007E2FD4" w:rsidRPr="00C001AC" w:rsidRDefault="00DC5687"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January </w:t>
            </w:r>
            <w:r w:rsidR="00C712A1">
              <w:rPr>
                <w:sz w:val="22"/>
                <w:szCs w:val="22"/>
              </w:rPr>
              <w:t>to March</w:t>
            </w:r>
            <w:r>
              <w:rPr>
                <w:sz w:val="22"/>
                <w:szCs w:val="22"/>
              </w:rPr>
              <w:t xml:space="preserve"> 2019</w:t>
            </w:r>
          </w:p>
          <w:p w14:paraId="7AFEC3FC" w14:textId="77777777" w:rsidR="007E2FD4" w:rsidRPr="00C001AC" w:rsidRDefault="007E2FD4" w:rsidP="00DC5687">
            <w:pPr>
              <w:pStyle w:val="ListBullet"/>
              <w:keepNext/>
              <w:spacing w:before="0" w:after="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7E2FD4" w:rsidRPr="00C001AC" w14:paraId="10E9A6B1" w14:textId="77777777" w:rsidTr="00C66FE9">
        <w:trPr>
          <w:trHeight w:val="2033"/>
          <w:jc w:val="center"/>
        </w:trPr>
        <w:tc>
          <w:tcPr>
            <w:cnfStyle w:val="001000000000" w:firstRow="0" w:lastRow="0" w:firstColumn="1" w:lastColumn="0" w:oddVBand="0" w:evenVBand="0" w:oddHBand="0" w:evenHBand="0" w:firstRowFirstColumn="0" w:firstRowLastColumn="0" w:lastRowFirstColumn="0" w:lastRowLastColumn="0"/>
            <w:tcW w:w="7141" w:type="dxa"/>
            <w:tcBorders>
              <w:top w:val="single" w:sz="4" w:space="0" w:color="auto"/>
              <w:left w:val="single" w:sz="4" w:space="0" w:color="auto"/>
              <w:bottom w:val="single" w:sz="4" w:space="0" w:color="auto"/>
            </w:tcBorders>
          </w:tcPr>
          <w:p w14:paraId="27B62A17" w14:textId="77777777" w:rsidR="007E2FD4" w:rsidRPr="00C001AC" w:rsidRDefault="007E2FD4" w:rsidP="007E2FD4">
            <w:pPr>
              <w:pStyle w:val="ListBullet"/>
              <w:keepNext/>
              <w:spacing w:before="0" w:after="0"/>
              <w:ind w:left="0"/>
              <w:rPr>
                <w:b/>
                <w:sz w:val="22"/>
                <w:szCs w:val="22"/>
              </w:rPr>
            </w:pPr>
            <w:r w:rsidRPr="00C001AC">
              <w:rPr>
                <w:b/>
                <w:sz w:val="22"/>
                <w:szCs w:val="22"/>
              </w:rPr>
              <w:t xml:space="preserve">PEFA dissemination </w:t>
            </w:r>
          </w:p>
          <w:p w14:paraId="1279710D"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Final dissemination workshop and publication on websites (MoF, PEFA Secretariat, donors)</w:t>
            </w:r>
          </w:p>
          <w:p w14:paraId="57F2B824" w14:textId="77777777" w:rsidR="007E2FD4" w:rsidRPr="00C001AC" w:rsidRDefault="007E2FD4" w:rsidP="00177ADB">
            <w:pPr>
              <w:pStyle w:val="ListParagraph"/>
              <w:numPr>
                <w:ilvl w:val="0"/>
                <w:numId w:val="8"/>
              </w:numPr>
              <w:spacing w:before="0"/>
              <w:ind w:left="342" w:hanging="270"/>
              <w:contextualSpacing w:val="0"/>
              <w:rPr>
                <w:sz w:val="22"/>
                <w:szCs w:val="22"/>
              </w:rPr>
            </w:pPr>
            <w:r w:rsidRPr="00C001AC">
              <w:rPr>
                <w:sz w:val="22"/>
                <w:szCs w:val="22"/>
              </w:rPr>
              <w:t>Presentation of PEFA country experiences (Nepal, Cambodia, Vietnam, Philippines tentatively)</w:t>
            </w:r>
          </w:p>
          <w:p w14:paraId="158F34AB" w14:textId="77777777" w:rsidR="007E2FD4" w:rsidRPr="00C001AC" w:rsidRDefault="007E2FD4" w:rsidP="007E2FD4">
            <w:pPr>
              <w:pStyle w:val="ListBullet"/>
              <w:keepNext/>
              <w:spacing w:before="0" w:after="0"/>
              <w:ind w:left="0"/>
              <w:rPr>
                <w:b/>
                <w:sz w:val="22"/>
                <w:szCs w:val="22"/>
              </w:rPr>
            </w:pPr>
            <w:r w:rsidRPr="00C001AC">
              <w:rPr>
                <w:b/>
                <w:sz w:val="22"/>
                <w:szCs w:val="22"/>
              </w:rPr>
              <w:t>Updating of PFM reform action plans</w:t>
            </w:r>
          </w:p>
          <w:p w14:paraId="31E433B4" w14:textId="77777777" w:rsidR="007E2FD4" w:rsidRPr="00C001AC" w:rsidRDefault="007E2FD4" w:rsidP="00177ADB">
            <w:pPr>
              <w:pStyle w:val="ListParagraph"/>
              <w:numPr>
                <w:ilvl w:val="0"/>
                <w:numId w:val="8"/>
              </w:numPr>
              <w:spacing w:before="0"/>
              <w:ind w:left="342" w:hanging="270"/>
              <w:contextualSpacing w:val="0"/>
              <w:rPr>
                <w:b/>
                <w:sz w:val="22"/>
                <w:szCs w:val="22"/>
              </w:rPr>
            </w:pPr>
            <w:r w:rsidRPr="00C001AC">
              <w:rPr>
                <w:sz w:val="22"/>
                <w:szCs w:val="22"/>
              </w:rPr>
              <w:t>PEFA performance matrix and recommendations for the Public Finance Strategy action plan</w:t>
            </w:r>
          </w:p>
        </w:tc>
        <w:tc>
          <w:tcPr>
            <w:tcW w:w="1701" w:type="dxa"/>
            <w:tcBorders>
              <w:top w:val="single" w:sz="4" w:space="0" w:color="auto"/>
              <w:bottom w:val="single" w:sz="4" w:space="0" w:color="auto"/>
              <w:right w:val="single" w:sz="4" w:space="0" w:color="auto"/>
            </w:tcBorders>
          </w:tcPr>
          <w:p w14:paraId="1AA040FB" w14:textId="77777777" w:rsidR="007E2FD4" w:rsidRPr="00C001AC" w:rsidRDefault="00DC5687" w:rsidP="00177ADB">
            <w:pPr>
              <w:pStyle w:val="ListBullet"/>
              <w:keepNext/>
              <w:spacing w:before="0" w:after="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March</w:t>
            </w:r>
            <w:r w:rsidR="007E2FD4" w:rsidRPr="00C001AC">
              <w:rPr>
                <w:sz w:val="22"/>
                <w:szCs w:val="22"/>
              </w:rPr>
              <w:t xml:space="preserve"> 2019 onward</w:t>
            </w:r>
          </w:p>
        </w:tc>
      </w:tr>
    </w:tbl>
    <w:p w14:paraId="6EAC8F0B" w14:textId="77777777" w:rsidR="00C712A1" w:rsidRDefault="00C712A1" w:rsidP="007E2FD4">
      <w:pPr>
        <w:pStyle w:val="Headinglevel2PEFA"/>
        <w:numPr>
          <w:ilvl w:val="0"/>
          <w:numId w:val="0"/>
        </w:numPr>
        <w:autoSpaceDE w:val="0"/>
        <w:autoSpaceDN w:val="0"/>
        <w:adjustRightInd w:val="0"/>
        <w:rPr>
          <w:rFonts w:ascii="Times New Roman" w:hAnsi="Times New Roman"/>
          <w:color w:val="auto"/>
        </w:rPr>
      </w:pPr>
      <w:bookmarkStart w:id="15" w:name="_Toc501121325"/>
    </w:p>
    <w:p w14:paraId="6CF8826B" w14:textId="77777777" w:rsidR="007E2FD4" w:rsidRPr="00F46A69" w:rsidRDefault="007E2FD4" w:rsidP="007E2FD4">
      <w:pPr>
        <w:pStyle w:val="Headinglevel2PEFA"/>
        <w:numPr>
          <w:ilvl w:val="0"/>
          <w:numId w:val="0"/>
        </w:numPr>
        <w:autoSpaceDE w:val="0"/>
        <w:autoSpaceDN w:val="0"/>
        <w:adjustRightInd w:val="0"/>
        <w:rPr>
          <w:rFonts w:ascii="Times New Roman" w:hAnsi="Times New Roman"/>
          <w:color w:val="auto"/>
        </w:rPr>
      </w:pPr>
      <w:r w:rsidRPr="00F46A69">
        <w:rPr>
          <w:rFonts w:ascii="Times New Roman" w:hAnsi="Times New Roman"/>
          <w:color w:val="auto"/>
        </w:rPr>
        <w:t>PEFA assessment findings and PFM reform</w:t>
      </w:r>
      <w:bookmarkEnd w:id="15"/>
    </w:p>
    <w:p w14:paraId="14B03298" w14:textId="77777777" w:rsidR="007E2FD4" w:rsidRPr="00F46A69"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color w:val="000000"/>
          <w:sz w:val="24"/>
        </w:rPr>
      </w:pPr>
      <w:r w:rsidRPr="00F46A69">
        <w:rPr>
          <w:rFonts w:ascii="Times New Roman" w:hAnsi="Times New Roman"/>
          <w:b/>
          <w:sz w:val="24"/>
        </w:rPr>
        <w:t>The report includes a description of the ongoing reform agenda to ensure the PEFA findings are integrated into the country PFM reform process</w:t>
      </w:r>
      <w:r w:rsidRPr="00F46A69">
        <w:rPr>
          <w:rFonts w:ascii="Times New Roman" w:hAnsi="Times New Roman"/>
          <w:color w:val="000000"/>
          <w:sz w:val="24"/>
        </w:rPr>
        <w:t xml:space="preserve">. </w:t>
      </w:r>
      <w:r w:rsidRPr="00F46A69">
        <w:rPr>
          <w:rFonts w:ascii="Times New Roman" w:hAnsi="Times New Roman"/>
          <w:sz w:val="24"/>
        </w:rPr>
        <w:t xml:space="preserve">After the report is completed, a specific annex – not included in the PEFA guidelines - will identify short to medium term initiatives aimed to enhance the performance of the PFM systems. </w:t>
      </w:r>
      <w:r w:rsidRPr="00F46A69">
        <w:rPr>
          <w:rFonts w:ascii="Times New Roman" w:hAnsi="Times New Roman"/>
          <w:color w:val="000000"/>
          <w:sz w:val="24"/>
        </w:rPr>
        <w:t>The assessment results are expected to be reflected in the Government’s PFM policy document and action plans.</w:t>
      </w:r>
      <w:r w:rsidRPr="00F46A69">
        <w:rPr>
          <w:rFonts w:ascii="Times New Roman" w:hAnsi="Times New Roman"/>
          <w:sz w:val="24"/>
        </w:rPr>
        <w:t xml:space="preserve"> </w:t>
      </w:r>
      <w:r w:rsidRPr="00F46A69">
        <w:rPr>
          <w:rFonts w:ascii="Times New Roman" w:hAnsi="Times New Roman"/>
          <w:color w:val="000000"/>
          <w:sz w:val="24"/>
        </w:rPr>
        <w:t xml:space="preserve">To support this, the Lao PEFA Assessment Team </w:t>
      </w:r>
      <w:r w:rsidRPr="00F46A69">
        <w:rPr>
          <w:rFonts w:ascii="Times New Roman" w:hAnsi="Times New Roman"/>
          <w:sz w:val="24"/>
        </w:rPr>
        <w:t>will discuss the linkage with the ongoing PFM agenda and learn from other countries how the PEFA process can provide some traction to the design and sequencing of the PFM policies.</w:t>
      </w:r>
      <w:r>
        <w:rPr>
          <w:rFonts w:ascii="Times New Roman" w:hAnsi="Times New Roman"/>
          <w:sz w:val="24"/>
        </w:rPr>
        <w:t xml:space="preserve"> </w:t>
      </w:r>
      <w:r w:rsidRPr="00F46A69">
        <w:rPr>
          <w:rFonts w:ascii="Times New Roman" w:hAnsi="Times New Roman"/>
          <w:color w:val="000000"/>
          <w:sz w:val="24"/>
        </w:rPr>
        <w:t>Other follow-up measures could include discussions with the authorities to develop complementary programs to support cooperation in the areas highlighted</w:t>
      </w:r>
      <w:r w:rsidR="00435FC6">
        <w:rPr>
          <w:rFonts w:ascii="Times New Roman" w:hAnsi="Times New Roman"/>
          <w:color w:val="000000"/>
          <w:sz w:val="24"/>
        </w:rPr>
        <w:t xml:space="preserve"> by the assessment. A</w:t>
      </w:r>
      <w:r w:rsidRPr="00F46A69">
        <w:rPr>
          <w:rFonts w:ascii="Times New Roman" w:hAnsi="Times New Roman"/>
          <w:color w:val="000000"/>
          <w:sz w:val="24"/>
        </w:rPr>
        <w:t xml:space="preserve"> workshop </w:t>
      </w:r>
      <w:r w:rsidR="00435FC6">
        <w:rPr>
          <w:rFonts w:ascii="Times New Roman" w:hAnsi="Times New Roman"/>
          <w:color w:val="000000"/>
          <w:sz w:val="24"/>
        </w:rPr>
        <w:t>will be organized on 26</w:t>
      </w:r>
      <w:r w:rsidR="00310D44" w:rsidRPr="00310D44">
        <w:rPr>
          <w:rFonts w:ascii="Times New Roman" w:hAnsi="Times New Roman"/>
          <w:color w:val="000000"/>
          <w:sz w:val="24"/>
          <w:vertAlign w:val="superscript"/>
        </w:rPr>
        <w:t>th</w:t>
      </w:r>
      <w:r w:rsidR="00435FC6">
        <w:rPr>
          <w:rFonts w:ascii="Times New Roman" w:hAnsi="Times New Roman"/>
          <w:color w:val="000000"/>
          <w:sz w:val="24"/>
        </w:rPr>
        <w:t xml:space="preserve"> March in Luang Prabang </w:t>
      </w:r>
      <w:r w:rsidRPr="00F46A69">
        <w:rPr>
          <w:rFonts w:ascii="Times New Roman" w:hAnsi="Times New Roman"/>
          <w:color w:val="000000"/>
          <w:sz w:val="24"/>
        </w:rPr>
        <w:t>towards developing a detailed monitoring and evaluation plan to follow up and assess the progressive results of continuous reforms.</w:t>
      </w:r>
    </w:p>
    <w:p w14:paraId="46919E1A" w14:textId="77777777" w:rsidR="007E2FD4" w:rsidRPr="00C001AC" w:rsidRDefault="007E2FD4" w:rsidP="007E2FD4">
      <w:pPr>
        <w:pStyle w:val="ListParagraph"/>
        <w:spacing w:line="276" w:lineRule="auto"/>
        <w:ind w:left="540"/>
        <w:rPr>
          <w:rFonts w:ascii="Times New Roman" w:hAnsi="Times New Roman"/>
          <w:sz w:val="20"/>
          <w:szCs w:val="20"/>
        </w:rPr>
      </w:pPr>
      <w:r w:rsidRPr="00C001AC">
        <w:rPr>
          <w:rFonts w:ascii="Times New Roman" w:hAnsi="Times New Roman"/>
          <w:sz w:val="20"/>
          <w:szCs w:val="20"/>
        </w:rPr>
        <w:br w:type="page"/>
      </w:r>
    </w:p>
    <w:p w14:paraId="5B6B1DB7" w14:textId="77777777" w:rsidR="007E2FD4" w:rsidRPr="00C001AC" w:rsidRDefault="007E2FD4" w:rsidP="007E2FD4">
      <w:pPr>
        <w:pStyle w:val="Heading1"/>
        <w:spacing w:line="276" w:lineRule="auto"/>
        <w:ind w:left="540"/>
        <w:rPr>
          <w:rFonts w:ascii="Times New Roman" w:hAnsi="Times New Roman"/>
        </w:rPr>
      </w:pPr>
      <w:bookmarkStart w:id="16" w:name="_Toc504974014"/>
      <w:bookmarkStart w:id="17" w:name="_Toc4148976"/>
      <w:r w:rsidRPr="00C001AC">
        <w:rPr>
          <w:rFonts w:ascii="Times New Roman" w:hAnsi="Times New Roman"/>
        </w:rPr>
        <w:lastRenderedPageBreak/>
        <w:t>2. Country Background Information</w:t>
      </w:r>
      <w:bookmarkEnd w:id="16"/>
      <w:bookmarkEnd w:id="17"/>
    </w:p>
    <w:p w14:paraId="375FE041" w14:textId="77777777" w:rsidR="007E2FD4" w:rsidRPr="00F46A69" w:rsidRDefault="007E2FD4" w:rsidP="007E2FD4">
      <w:pPr>
        <w:spacing w:after="240"/>
        <w:ind w:left="0"/>
        <w:rPr>
          <w:rFonts w:ascii="Times New Roman" w:hAnsi="Times New Roman"/>
          <w:b/>
          <w:sz w:val="24"/>
        </w:rPr>
      </w:pPr>
      <w:bookmarkStart w:id="18" w:name="_Toc504974015"/>
      <w:r>
        <w:rPr>
          <w:rFonts w:ascii="Times New Roman" w:hAnsi="Times New Roman"/>
          <w:b/>
          <w:sz w:val="24"/>
        </w:rPr>
        <w:t xml:space="preserve">2.1 </w:t>
      </w:r>
      <w:r w:rsidRPr="00F46A69">
        <w:rPr>
          <w:rFonts w:ascii="Times New Roman" w:hAnsi="Times New Roman"/>
          <w:b/>
          <w:sz w:val="24"/>
        </w:rPr>
        <w:t>Country economic situation</w:t>
      </w:r>
      <w:bookmarkEnd w:id="18"/>
    </w:p>
    <w:p w14:paraId="742AF13B" w14:textId="77777777" w:rsidR="007E2FD4" w:rsidRPr="00C001AC"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bookmarkStart w:id="19" w:name="_Toc504664501"/>
      <w:r w:rsidRPr="00C001AC">
        <w:rPr>
          <w:rFonts w:ascii="Times New Roman" w:eastAsiaTheme="minorHAnsi" w:hAnsi="Times New Roman"/>
          <w:b/>
          <w:sz w:val="24"/>
        </w:rPr>
        <w:t xml:space="preserve">Lao PDR Government has made </w:t>
      </w:r>
      <w:r w:rsidR="00C22754">
        <w:rPr>
          <w:rFonts w:ascii="Times New Roman" w:eastAsiaTheme="minorHAnsi" w:hAnsi="Times New Roman"/>
          <w:b/>
          <w:sz w:val="24"/>
        </w:rPr>
        <w:t>stop start</w:t>
      </w:r>
      <w:r w:rsidR="006E0A09">
        <w:rPr>
          <w:rFonts w:ascii="Times New Roman" w:eastAsiaTheme="minorHAnsi" w:hAnsi="Times New Roman"/>
          <w:b/>
          <w:sz w:val="24"/>
        </w:rPr>
        <w:t>,</w:t>
      </w:r>
      <w:r w:rsidR="00C22754">
        <w:rPr>
          <w:rFonts w:ascii="Times New Roman" w:eastAsiaTheme="minorHAnsi" w:hAnsi="Times New Roman"/>
          <w:b/>
          <w:sz w:val="24"/>
        </w:rPr>
        <w:t xml:space="preserve"> and thus </w:t>
      </w:r>
      <w:r w:rsidRPr="00C001AC">
        <w:rPr>
          <w:rFonts w:ascii="Times New Roman" w:eastAsiaTheme="minorHAnsi" w:hAnsi="Times New Roman"/>
          <w:b/>
          <w:sz w:val="24"/>
        </w:rPr>
        <w:t>slow but steady progress in implementing reforms and building the institutions necessary for a market economy</w:t>
      </w:r>
      <w:r>
        <w:rPr>
          <w:rFonts w:ascii="Times New Roman" w:eastAsiaTheme="minorHAnsi" w:hAnsi="Times New Roman"/>
          <w:b/>
          <w:sz w:val="24"/>
        </w:rPr>
        <w:t xml:space="preserve">. </w:t>
      </w:r>
      <w:r w:rsidRPr="00C001AC">
        <w:rPr>
          <w:rFonts w:ascii="Times New Roman" w:eastAsiaTheme="minorHAnsi" w:hAnsi="Times New Roman"/>
          <w:sz w:val="24"/>
        </w:rPr>
        <w:t>Lao PDR is currently the second</w:t>
      </w:r>
      <w:r>
        <w:rPr>
          <w:rFonts w:ascii="Times New Roman" w:eastAsiaTheme="minorHAnsi" w:hAnsi="Times New Roman"/>
          <w:sz w:val="24"/>
        </w:rPr>
        <w:t xml:space="preserve"> fastest growing economy in </w:t>
      </w:r>
      <w:r w:rsidRPr="00C001AC">
        <w:rPr>
          <w:rFonts w:ascii="Times New Roman" w:eastAsiaTheme="minorHAnsi" w:hAnsi="Times New Roman"/>
          <w:sz w:val="24"/>
        </w:rPr>
        <w:t xml:space="preserve">ASEAN and amongst the top 13 in the world and </w:t>
      </w:r>
      <w:r w:rsidRPr="00C001AC">
        <w:rPr>
          <w:rFonts w:ascii="Times New Roman" w:hAnsi="Times New Roman"/>
          <w:color w:val="000000"/>
          <w:sz w:val="24"/>
          <w:shd w:val="clear" w:color="auto" w:fill="FFFFFF"/>
        </w:rPr>
        <w:t xml:space="preserve">managed to emerge </w:t>
      </w:r>
      <w:r>
        <w:rPr>
          <w:rFonts w:ascii="Times New Roman" w:hAnsi="Times New Roman"/>
          <w:color w:val="000000"/>
          <w:sz w:val="24"/>
          <w:shd w:val="clear" w:color="auto" w:fill="FFFFFF"/>
        </w:rPr>
        <w:t>as</w:t>
      </w:r>
      <w:r w:rsidRPr="00C001AC">
        <w:rPr>
          <w:rFonts w:ascii="Times New Roman" w:hAnsi="Times New Roman"/>
          <w:color w:val="000000"/>
          <w:sz w:val="24"/>
          <w:shd w:val="clear" w:color="auto" w:fill="FFFFFF"/>
        </w:rPr>
        <w:t xml:space="preserve"> a mountainous and </w:t>
      </w:r>
      <w:r w:rsidRPr="00C001AC">
        <w:rPr>
          <w:rFonts w:ascii="Times New Roman" w:eastAsiaTheme="minorHAnsi" w:hAnsi="Times New Roman"/>
          <w:sz w:val="24"/>
        </w:rPr>
        <w:t>landlocked country primarily engaged in subsistence agriculture and forestry</w:t>
      </w:r>
      <w:r>
        <w:rPr>
          <w:rFonts w:ascii="Times New Roman" w:eastAsiaTheme="minorHAnsi" w:hAnsi="Times New Roman"/>
          <w:sz w:val="24"/>
        </w:rPr>
        <w:t xml:space="preserve"> to</w:t>
      </w:r>
      <w:r w:rsidRPr="00C001AC">
        <w:rPr>
          <w:rFonts w:ascii="Times New Roman" w:eastAsiaTheme="minorHAnsi" w:hAnsi="Times New Roman"/>
          <w:sz w:val="24"/>
        </w:rPr>
        <w:t xml:space="preserve"> a successful “land-linked” country,</w:t>
      </w:r>
      <w:r w:rsidRPr="00C001AC">
        <w:rPr>
          <w:rFonts w:ascii="Times New Roman" w:hAnsi="Times New Roman"/>
          <w:color w:val="000000"/>
          <w:sz w:val="24"/>
          <w:shd w:val="clear" w:color="auto" w:fill="FFFFFF"/>
        </w:rPr>
        <w:t xml:space="preserve"> </w:t>
      </w:r>
      <w:r w:rsidR="00DC5687">
        <w:rPr>
          <w:rFonts w:ascii="Times New Roman" w:hAnsi="Times New Roman"/>
          <w:color w:val="000000"/>
          <w:sz w:val="24"/>
          <w:shd w:val="clear" w:color="auto" w:fill="FFFFFF"/>
        </w:rPr>
        <w:t>known as the "Battery of Asia".</w:t>
      </w:r>
      <w:r>
        <w:rPr>
          <w:rFonts w:ascii="Times New Roman" w:hAnsi="Times New Roman"/>
          <w:color w:val="000000"/>
          <w:sz w:val="24"/>
          <w:shd w:val="clear" w:color="auto" w:fill="FFFFFF"/>
        </w:rPr>
        <w:t xml:space="preserve"> </w:t>
      </w:r>
      <w:r w:rsidRPr="00C001AC">
        <w:rPr>
          <w:rFonts w:ascii="Times New Roman" w:hAnsi="Times New Roman"/>
          <w:color w:val="000000"/>
          <w:sz w:val="24"/>
          <w:shd w:val="clear" w:color="auto" w:fill="FFFFFF"/>
        </w:rPr>
        <w:t xml:space="preserve">It </w:t>
      </w:r>
      <w:r>
        <w:rPr>
          <w:rFonts w:ascii="Times New Roman" w:hAnsi="Times New Roman"/>
          <w:color w:val="000000"/>
          <w:sz w:val="24"/>
          <w:shd w:val="clear" w:color="auto" w:fill="FFFFFF"/>
        </w:rPr>
        <w:t xml:space="preserve">has </w:t>
      </w:r>
      <w:r w:rsidRPr="00C001AC">
        <w:rPr>
          <w:rFonts w:ascii="Times New Roman" w:hAnsi="Times New Roman"/>
          <w:color w:val="000000"/>
          <w:sz w:val="24"/>
          <w:shd w:val="clear" w:color="auto" w:fill="FFFFFF"/>
        </w:rPr>
        <w:t>transformed itself by</w:t>
      </w:r>
      <w:r w:rsidRPr="00C001AC">
        <w:rPr>
          <w:rFonts w:ascii="Times New Roman" w:eastAsiaTheme="minorHAnsi" w:hAnsi="Times New Roman"/>
          <w:sz w:val="24"/>
        </w:rPr>
        <w:t xml:space="preserve"> prioritizi</w:t>
      </w:r>
      <w:r>
        <w:rPr>
          <w:rFonts w:ascii="Times New Roman" w:eastAsiaTheme="minorHAnsi" w:hAnsi="Times New Roman"/>
          <w:sz w:val="24"/>
        </w:rPr>
        <w:t>ng easy access and power supply</w:t>
      </w:r>
      <w:r w:rsidRPr="00C001AC">
        <w:rPr>
          <w:rFonts w:ascii="Times New Roman" w:eastAsiaTheme="minorHAnsi" w:hAnsi="Times New Roman"/>
          <w:sz w:val="24"/>
        </w:rPr>
        <w:t xml:space="preserve"> to </w:t>
      </w:r>
      <w:r w:rsidRPr="00DC5687">
        <w:rPr>
          <w:rFonts w:ascii="Times New Roman" w:eastAsiaTheme="minorHAnsi" w:hAnsi="Times New Roman"/>
          <w:spacing w:val="-4"/>
          <w:sz w:val="24"/>
        </w:rPr>
        <w:t>Thailand, China, Myanmar, Vietnam, and Cambodia, its larger and fast</w:t>
      </w:r>
      <w:r w:rsidRPr="00C001AC">
        <w:rPr>
          <w:rFonts w:ascii="Times New Roman" w:eastAsiaTheme="minorHAnsi" w:hAnsi="Times New Roman"/>
          <w:sz w:val="24"/>
        </w:rPr>
        <w:t xml:space="preserve">-emerging neighboring economies. </w:t>
      </w:r>
    </w:p>
    <w:p w14:paraId="2E75598C" w14:textId="77777777" w:rsidR="007E2FD4" w:rsidRPr="00E42308"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rPr>
        <w:t xml:space="preserve">The transition from a centrally planned to a </w:t>
      </w:r>
      <w:r w:rsidR="00D1361D" w:rsidRPr="002A727B">
        <w:rPr>
          <w:rFonts w:ascii="Times New Roman" w:eastAsiaTheme="minorHAnsi" w:hAnsi="Times New Roman"/>
          <w:b/>
          <w:sz w:val="24"/>
        </w:rPr>
        <w:t>market-oriented</w:t>
      </w:r>
      <w:r w:rsidRPr="002A727B">
        <w:rPr>
          <w:rFonts w:ascii="Times New Roman" w:eastAsiaTheme="minorHAnsi" w:hAnsi="Times New Roman"/>
          <w:b/>
          <w:sz w:val="24"/>
        </w:rPr>
        <w:t xml:space="preserve"> economy over the last 30 years has delivered considerable achievements. </w:t>
      </w:r>
      <w:r w:rsidRPr="002A727B">
        <w:rPr>
          <w:rFonts w:ascii="Times New Roman" w:eastAsiaTheme="minorHAnsi" w:hAnsi="Times New Roman"/>
          <w:sz w:val="24"/>
        </w:rPr>
        <w:t>After independence in 1975, Lao PDR introduced a centrally planned econo</w:t>
      </w:r>
      <w:r w:rsidR="00DC5687">
        <w:rPr>
          <w:rFonts w:ascii="Times New Roman" w:eastAsiaTheme="minorHAnsi" w:hAnsi="Times New Roman"/>
          <w:sz w:val="24"/>
        </w:rPr>
        <w:t xml:space="preserve">mic system. </w:t>
      </w:r>
      <w:r w:rsidRPr="002A727B">
        <w:rPr>
          <w:rFonts w:ascii="Times New Roman" w:eastAsiaTheme="minorHAnsi" w:hAnsi="Times New Roman"/>
          <w:sz w:val="24"/>
        </w:rPr>
        <w:t>Under this system, the country failed to achieve the expected growth and development, and a shift to a market economy (“New Economic Mechanism”) was initiated in 1986. Although the Asian Financial Crisis in the late 1990s exposed the country to macroeconomic instability and high dependency on foreign aid flows, the Government has made slow but steady progress in implementing reforms and building the institutions necessary for a market economy, culminating in accession to the World Trade Organization (WTO) in February 2013</w:t>
      </w:r>
      <w:r w:rsidRPr="00E42308">
        <w:rPr>
          <w:rFonts w:ascii="Times New Roman" w:eastAsiaTheme="minorHAnsi" w:hAnsi="Times New Roman"/>
          <w:sz w:val="24"/>
        </w:rPr>
        <w:t xml:space="preserve">.  </w:t>
      </w:r>
    </w:p>
    <w:p w14:paraId="66F9261A" w14:textId="6EE39E8D"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rPr>
        <w:t>Since 2005, the economy of Lao PDR has grown at a rate above 7 percent</w:t>
      </w:r>
      <w:r w:rsidR="00E42308">
        <w:rPr>
          <w:rFonts w:ascii="Times New Roman" w:eastAsiaTheme="minorHAnsi" w:hAnsi="Times New Roman"/>
          <w:b/>
          <w:sz w:val="24"/>
        </w:rPr>
        <w:t xml:space="preserve"> annually</w:t>
      </w:r>
      <w:r w:rsidRPr="002A727B">
        <w:rPr>
          <w:rFonts w:ascii="Times New Roman" w:eastAsiaTheme="minorHAnsi" w:hAnsi="Times New Roman"/>
          <w:b/>
          <w:sz w:val="24"/>
        </w:rPr>
        <w:t>, one of the fastest rates of the region</w:t>
      </w:r>
      <w:r w:rsidR="00DC5687">
        <w:rPr>
          <w:rFonts w:ascii="Times New Roman" w:eastAsiaTheme="minorHAnsi" w:hAnsi="Times New Roman"/>
          <w:sz w:val="24"/>
        </w:rPr>
        <w:t xml:space="preserve">. </w:t>
      </w:r>
      <w:r w:rsidRPr="002A727B">
        <w:rPr>
          <w:rFonts w:ascii="Times New Roman" w:eastAsiaTheme="minorHAnsi" w:hAnsi="Times New Roman"/>
          <w:sz w:val="24"/>
        </w:rPr>
        <w:t xml:space="preserve">Economic prospects remain favorable.  Nominal GDP was estimated at </w:t>
      </w:r>
      <w:r w:rsidR="00443332">
        <w:rPr>
          <w:rFonts w:ascii="Times New Roman" w:eastAsiaTheme="minorHAnsi" w:hAnsi="Times New Roman"/>
          <w:sz w:val="24"/>
        </w:rPr>
        <w:t>Kip</w:t>
      </w:r>
      <w:r w:rsidRPr="002A727B">
        <w:rPr>
          <w:rFonts w:ascii="Times New Roman" w:eastAsiaTheme="minorHAnsi" w:hAnsi="Times New Roman"/>
          <w:sz w:val="24"/>
        </w:rPr>
        <w:t>119,731 billion or US$14,5 billion in 2017, with a per capita income of US$2,150 in FY2016</w:t>
      </w:r>
      <w:r w:rsidRPr="00C001AC">
        <w:rPr>
          <w:rFonts w:ascii="Times New Roman" w:eastAsiaTheme="minorHAnsi" w:hAnsi="Times New Roman"/>
          <w:sz w:val="24"/>
          <w:vertAlign w:val="superscript"/>
        </w:rPr>
        <w:footnoteReference w:id="2"/>
      </w:r>
      <w:r w:rsidRPr="002A727B">
        <w:rPr>
          <w:rFonts w:ascii="Times New Roman" w:eastAsiaTheme="minorHAnsi" w:hAnsi="Times New Roman"/>
          <w:sz w:val="24"/>
        </w:rPr>
        <w:t>. GDP growth is projected to remain at around 6.7 percent in 2017 and 6.6 percent in 2018, supported by a continuation of resource-related FDI (mainly hydropower)</w:t>
      </w:r>
      <w:r w:rsidRPr="00C001AC">
        <w:rPr>
          <w:rFonts w:ascii="Times New Roman" w:eastAsiaTheme="minorHAnsi" w:hAnsi="Times New Roman"/>
          <w:sz w:val="24"/>
          <w:vertAlign w:val="superscript"/>
        </w:rPr>
        <w:footnoteReference w:id="3"/>
      </w:r>
      <w:r w:rsidRPr="002A727B">
        <w:rPr>
          <w:rFonts w:ascii="Times New Roman" w:eastAsiaTheme="minorHAnsi" w:hAnsi="Times New Roman"/>
          <w:sz w:val="24"/>
        </w:rPr>
        <w:t xml:space="preserve"> with growing opportunities for the non-resource sector resulting from closer ASEAN integration and efforts to improve the investment climate. Average annual inflation was less than 1 percent in 2017 and is expected to remain moderate at around 3 percent</w:t>
      </w:r>
      <w:r w:rsidRPr="00C001AC">
        <w:rPr>
          <w:rFonts w:ascii="Times New Roman" w:eastAsiaTheme="minorHAnsi" w:hAnsi="Times New Roman"/>
          <w:sz w:val="24"/>
          <w:vertAlign w:val="superscript"/>
        </w:rPr>
        <w:footnoteReference w:id="4"/>
      </w:r>
      <w:r w:rsidRPr="002A727B">
        <w:rPr>
          <w:rFonts w:ascii="Times New Roman" w:eastAsiaTheme="minorHAnsi" w:hAnsi="Times New Roman"/>
          <w:sz w:val="24"/>
        </w:rPr>
        <w:t>. The current account deficit was high at 13 percent of GDP in 2017, although it is estimated that about half the deficit reflected imports related to large foreign direct investment projects, including the Kunming-Vientiane railway project, which is part of China’s Belt and Road Initiative.</w:t>
      </w:r>
      <w:r w:rsidRPr="002A727B">
        <w:rPr>
          <w:rFonts w:ascii="Times New Roman" w:eastAsiaTheme="minorHAnsi" w:hAnsi="Times New Roman"/>
          <w:sz w:val="24"/>
          <w:vertAlign w:val="superscript"/>
        </w:rPr>
        <w:footnoteReference w:id="5"/>
      </w:r>
    </w:p>
    <w:p w14:paraId="7F378FE7" w14:textId="77777777" w:rsidR="007E2FD4" w:rsidRPr="002A727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lang w:val="en-MY"/>
        </w:rPr>
      </w:pPr>
      <w:r w:rsidRPr="002A727B">
        <w:rPr>
          <w:rFonts w:ascii="Times New Roman" w:eastAsiaTheme="minorHAnsi" w:hAnsi="Times New Roman"/>
          <w:b/>
          <w:sz w:val="24"/>
        </w:rPr>
        <w:t xml:space="preserve">Throughout most of the 2000s growth was driven by mining but in recent years the main sources of growth have been large hydropower projects. </w:t>
      </w:r>
      <w:r w:rsidRPr="002A727B">
        <w:rPr>
          <w:rFonts w:ascii="Times New Roman" w:eastAsiaTheme="minorHAnsi" w:hAnsi="Times New Roman"/>
          <w:sz w:val="24"/>
        </w:rPr>
        <w:t xml:space="preserve">Following the decline of the mining sector due to lower prices and a weak regulatory environment, the power sector has expanded significantly, driven by demand mostly coming from neighboring countries.  In 2016, 30 percent more power generation went online, with exports rising to neighboring countries such as Thailand. Growth has further diversified via the service industry, wholesale and retail trade, as well as tourism and transport. Air traffic increased notably in 2016 after the </w:t>
      </w:r>
      <w:r w:rsidRPr="00DC5687">
        <w:rPr>
          <w:rFonts w:ascii="Times New Roman" w:eastAsiaTheme="minorHAnsi" w:hAnsi="Times New Roman"/>
          <w:spacing w:val="-2"/>
          <w:sz w:val="24"/>
        </w:rPr>
        <w:t>liberalization of air transport, which helped boost tourism (</w:t>
      </w:r>
      <w:r w:rsidR="00DC5687" w:rsidRPr="00DC5687">
        <w:rPr>
          <w:rFonts w:ascii="Times New Roman" w:eastAsiaTheme="minorHAnsi" w:hAnsi="Times New Roman"/>
          <w:spacing w:val="-2"/>
          <w:sz w:val="24"/>
        </w:rPr>
        <w:t xml:space="preserve">mainly </w:t>
      </w:r>
      <w:r w:rsidRPr="00DC5687">
        <w:rPr>
          <w:rFonts w:ascii="Times New Roman" w:eastAsiaTheme="minorHAnsi" w:hAnsi="Times New Roman"/>
          <w:spacing w:val="-2"/>
          <w:sz w:val="24"/>
        </w:rPr>
        <w:t>from China and</w:t>
      </w:r>
      <w:r w:rsidRPr="002A727B">
        <w:rPr>
          <w:rFonts w:ascii="Times New Roman" w:eastAsiaTheme="minorHAnsi" w:hAnsi="Times New Roman"/>
          <w:sz w:val="24"/>
        </w:rPr>
        <w:t xml:space="preserve"> </w:t>
      </w:r>
      <w:r w:rsidR="00DC5687">
        <w:rPr>
          <w:rFonts w:ascii="Times New Roman" w:eastAsiaTheme="minorHAnsi" w:hAnsi="Times New Roman"/>
          <w:sz w:val="24"/>
        </w:rPr>
        <w:t>Korea</w:t>
      </w:r>
      <w:r w:rsidRPr="002A727B">
        <w:rPr>
          <w:rFonts w:ascii="Times New Roman" w:eastAsiaTheme="minorHAnsi" w:hAnsi="Times New Roman"/>
          <w:sz w:val="24"/>
        </w:rPr>
        <w:t>).</w:t>
      </w:r>
    </w:p>
    <w:p w14:paraId="119896AB" w14:textId="77777777" w:rsidR="007E2FD4" w:rsidRPr="002A727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rPr>
        <w:t xml:space="preserve">However, high growth has been accompanied by increased vulnerabilities, </w:t>
      </w:r>
      <w:r w:rsidRPr="002A727B">
        <w:rPr>
          <w:rFonts w:ascii="Times New Roman" w:eastAsiaTheme="minorHAnsi" w:hAnsi="Times New Roman"/>
          <w:b/>
          <w:sz w:val="24"/>
        </w:rPr>
        <w:lastRenderedPageBreak/>
        <w:t xml:space="preserve">especially to commodity prices. </w:t>
      </w:r>
      <w:r w:rsidRPr="002A727B">
        <w:rPr>
          <w:rFonts w:ascii="Times New Roman" w:eastAsiaTheme="minorHAnsi" w:hAnsi="Times New Roman"/>
          <w:sz w:val="24"/>
          <w:lang w:val="en-MY"/>
        </w:rPr>
        <w:t xml:space="preserve">Public debt has </w:t>
      </w:r>
      <w:r w:rsidR="00803804" w:rsidRPr="002A727B">
        <w:rPr>
          <w:rFonts w:ascii="Times New Roman" w:eastAsiaTheme="minorHAnsi" w:hAnsi="Times New Roman"/>
          <w:sz w:val="24"/>
          <w:lang w:val="en-MY"/>
        </w:rPr>
        <w:t>risen and</w:t>
      </w:r>
      <w:r w:rsidRPr="002A727B">
        <w:rPr>
          <w:rFonts w:ascii="Times New Roman" w:eastAsiaTheme="minorHAnsi" w:hAnsi="Times New Roman"/>
          <w:sz w:val="24"/>
          <w:lang w:val="en-MY"/>
        </w:rPr>
        <w:t xml:space="preserve"> falling commodity prices have left the </w:t>
      </w:r>
      <w:r w:rsidRPr="002A727B">
        <w:rPr>
          <w:rFonts w:ascii="Times New Roman" w:eastAsiaTheme="minorHAnsi" w:hAnsi="Times New Roman"/>
          <w:sz w:val="24"/>
        </w:rPr>
        <w:t xml:space="preserve">government struggling to address fiscal deficits posing pressing challenges for economic management. In recent years, Lao PDR has maintained a fiscal deficit with debt levels considered high for the region. </w:t>
      </w:r>
      <w:r w:rsidRPr="002A727B">
        <w:rPr>
          <w:rFonts w:ascii="Times New Roman" w:eastAsiaTheme="minorHAnsi" w:hAnsi="Times New Roman"/>
          <w:sz w:val="24"/>
          <w:lang w:val="en-MY"/>
        </w:rPr>
        <w:t>The fiscal deficit averaged 5 percent of GDP from 2013 to 2016, compared to 1.3 percent of GDP in other developing countries in Asia. Public debt is now around 67 percent of GDP, compared to 38 percent in other developing countries in the region. The start of the construction of the railway line connecting Vientiane to the border with China (Lao-China Railway) as part of the Kunming-Singapore railway will potentially boost domestic demand but also lead to widening of the fiscal and external balances likely financed by borrowing from China. A high current account deficit, a tightly managed and overvalued exchange rate, and low reserves leave the economy vulnerable to external shocks. High public debt and fiscal deficits pose a key risk. Gross international reserves remain low at about 1 month of prospective imports.</w:t>
      </w:r>
    </w:p>
    <w:p w14:paraId="25D8DA71" w14:textId="77777777" w:rsidR="007E2FD4" w:rsidRPr="002A727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b/>
          <w:sz w:val="24"/>
        </w:rPr>
      </w:pPr>
      <w:r w:rsidRPr="002A727B">
        <w:rPr>
          <w:rFonts w:ascii="Times New Roman" w:eastAsiaTheme="minorHAnsi" w:hAnsi="Times New Roman"/>
          <w:b/>
          <w:sz w:val="24"/>
        </w:rPr>
        <w:t xml:space="preserve">Private economic activity in the Lao PDR is growing, including through the recently established Special Economic Zones, but the sector remains small and dominated by State-Owned Enterprises (SOEs). </w:t>
      </w:r>
      <w:r w:rsidRPr="002A727B">
        <w:rPr>
          <w:rFonts w:ascii="Times New Roman" w:eastAsiaTheme="minorHAnsi" w:hAnsi="Times New Roman"/>
          <w:sz w:val="24"/>
        </w:rPr>
        <w:t xml:space="preserve">Lao PDR was ranked 139, out of 190 economies, on the 2017 Ease of Doing Business rankings. Furthermore, the </w:t>
      </w:r>
      <w:r w:rsidR="009D64BB">
        <w:rPr>
          <w:rFonts w:ascii="Times New Roman" w:eastAsiaTheme="minorHAnsi" w:hAnsi="Times New Roman"/>
          <w:sz w:val="24"/>
        </w:rPr>
        <w:t>GoL</w:t>
      </w:r>
      <w:r w:rsidRPr="002A727B">
        <w:rPr>
          <w:rFonts w:ascii="Times New Roman" w:eastAsiaTheme="minorHAnsi" w:hAnsi="Times New Roman"/>
          <w:sz w:val="24"/>
        </w:rPr>
        <w:t xml:space="preserve"> maintains ownership stakes in key sectors of the economy such as telecommunications, energy, finance, mining and utilities services through a network of State-Owned Enterprises. Although there is no publicly available list of Lao SOEs, the </w:t>
      </w:r>
      <w:r w:rsidR="009D64BB">
        <w:rPr>
          <w:rFonts w:ascii="Times New Roman" w:eastAsiaTheme="minorHAnsi" w:hAnsi="Times New Roman"/>
          <w:sz w:val="24"/>
        </w:rPr>
        <w:t>GoL</w:t>
      </w:r>
      <w:r w:rsidRPr="002A727B">
        <w:rPr>
          <w:rFonts w:ascii="Times New Roman" w:eastAsiaTheme="minorHAnsi" w:hAnsi="Times New Roman"/>
          <w:sz w:val="24"/>
        </w:rPr>
        <w:t xml:space="preserve"> reports that there are 183 SOEs in Laos with more than US$5 billion in assets</w:t>
      </w:r>
      <w:r w:rsidRPr="00C001AC">
        <w:rPr>
          <w:rFonts w:ascii="Times New Roman" w:eastAsiaTheme="minorHAnsi" w:hAnsi="Times New Roman"/>
          <w:sz w:val="24"/>
          <w:vertAlign w:val="superscript"/>
        </w:rPr>
        <w:footnoteReference w:id="6"/>
      </w:r>
      <w:r>
        <w:rPr>
          <w:rFonts w:ascii="Times New Roman" w:eastAsiaTheme="minorHAnsi" w:hAnsi="Times New Roman"/>
          <w:sz w:val="24"/>
        </w:rPr>
        <w:t xml:space="preserve">. </w:t>
      </w:r>
      <w:r w:rsidRPr="002A727B">
        <w:rPr>
          <w:rFonts w:ascii="Times New Roman" w:eastAsiaTheme="minorHAnsi" w:hAnsi="Times New Roman"/>
          <w:sz w:val="24"/>
        </w:rPr>
        <w:t xml:space="preserve">The </w:t>
      </w:r>
      <w:r w:rsidR="009D64BB">
        <w:rPr>
          <w:rFonts w:ascii="Times New Roman" w:eastAsiaTheme="minorHAnsi" w:hAnsi="Times New Roman"/>
          <w:sz w:val="24"/>
        </w:rPr>
        <w:t xml:space="preserve">GoL </w:t>
      </w:r>
      <w:r w:rsidRPr="002A727B">
        <w:rPr>
          <w:rFonts w:ascii="Times New Roman" w:eastAsiaTheme="minorHAnsi" w:hAnsi="Times New Roman"/>
          <w:sz w:val="24"/>
        </w:rPr>
        <w:t xml:space="preserve">announced its intention to increase private ownership in SOEs through listing on the Lao Stock Exchange, such as Lao Airlines, or spinning off parts of large SOES, such as the state electrical utility </w:t>
      </w:r>
      <w:proofErr w:type="spellStart"/>
      <w:r w:rsidRPr="002A727B">
        <w:rPr>
          <w:rFonts w:ascii="Times New Roman" w:eastAsiaTheme="minorHAnsi" w:hAnsi="Times New Roman"/>
          <w:sz w:val="24"/>
        </w:rPr>
        <w:t>Electricité</w:t>
      </w:r>
      <w:proofErr w:type="spellEnd"/>
      <w:r w:rsidRPr="002A727B">
        <w:rPr>
          <w:rFonts w:ascii="Times New Roman" w:eastAsiaTheme="minorHAnsi" w:hAnsi="Times New Roman"/>
          <w:sz w:val="24"/>
        </w:rPr>
        <w:t xml:space="preserve"> du Lao</w:t>
      </w:r>
      <w:r>
        <w:rPr>
          <w:rFonts w:ascii="Times New Roman" w:eastAsiaTheme="minorHAnsi" w:hAnsi="Times New Roman"/>
          <w:sz w:val="24"/>
        </w:rPr>
        <w:t xml:space="preserve"> (</w:t>
      </w:r>
      <w:r w:rsidRPr="002A727B">
        <w:rPr>
          <w:rFonts w:ascii="Times New Roman" w:eastAsiaTheme="minorHAnsi" w:hAnsi="Times New Roman"/>
          <w:sz w:val="24"/>
        </w:rPr>
        <w:t>EDL).</w:t>
      </w:r>
    </w:p>
    <w:p w14:paraId="0B40DCFF"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rPr>
        <w:t xml:space="preserve">The financial sector is slowly developing but the Lao capital market is still small. </w:t>
      </w:r>
      <w:r w:rsidRPr="002A727B">
        <w:rPr>
          <w:rFonts w:ascii="Times New Roman" w:eastAsiaTheme="minorHAnsi" w:hAnsi="Times New Roman"/>
          <w:sz w:val="24"/>
        </w:rPr>
        <w:t>The Lao Securities Exchange (LSX) began operations in 2011 with two stocks listed, both state-run</w:t>
      </w:r>
      <w:r w:rsidRPr="00C001AC">
        <w:rPr>
          <w:rFonts w:ascii="Times New Roman" w:eastAsiaTheme="minorHAnsi" w:hAnsi="Times New Roman"/>
          <w:sz w:val="24"/>
          <w:vertAlign w:val="superscript"/>
        </w:rPr>
        <w:footnoteReference w:id="7"/>
      </w:r>
      <w:r w:rsidRPr="002A727B">
        <w:rPr>
          <w:rFonts w:ascii="Times New Roman" w:eastAsiaTheme="minorHAnsi" w:hAnsi="Times New Roman"/>
          <w:sz w:val="24"/>
        </w:rPr>
        <w:t xml:space="preserve">. In 2012, the </w:t>
      </w:r>
      <w:r w:rsidR="009D64BB">
        <w:rPr>
          <w:rFonts w:ascii="Times New Roman" w:eastAsiaTheme="minorHAnsi" w:hAnsi="Times New Roman"/>
          <w:sz w:val="24"/>
        </w:rPr>
        <w:t>GoL</w:t>
      </w:r>
      <w:r w:rsidRPr="002A727B">
        <w:rPr>
          <w:rFonts w:ascii="Times New Roman" w:eastAsiaTheme="minorHAnsi" w:hAnsi="Times New Roman"/>
          <w:sz w:val="24"/>
        </w:rPr>
        <w:t xml:space="preserve"> increased the proportion of shares that foreigners can hold on the LSX from 10 to 20 percent. </w:t>
      </w:r>
      <w:r w:rsidRPr="00E42308">
        <w:rPr>
          <w:rFonts w:ascii="Times New Roman" w:eastAsiaTheme="minorHAnsi" w:hAnsi="Times New Roman"/>
          <w:sz w:val="24"/>
        </w:rPr>
        <w:t>As of April 2017,</w:t>
      </w:r>
      <w:r w:rsidRPr="002A727B">
        <w:rPr>
          <w:rFonts w:ascii="Times New Roman" w:eastAsiaTheme="minorHAnsi" w:hAnsi="Times New Roman"/>
          <w:sz w:val="24"/>
        </w:rPr>
        <w:t xml:space="preserve"> there are only five companies listed on the LSX: Banque pour le Commerce </w:t>
      </w:r>
      <w:proofErr w:type="spellStart"/>
      <w:r w:rsidRPr="002A727B">
        <w:rPr>
          <w:rFonts w:ascii="Times New Roman" w:eastAsiaTheme="minorHAnsi" w:hAnsi="Times New Roman"/>
          <w:sz w:val="24"/>
        </w:rPr>
        <w:t>Exterieur</w:t>
      </w:r>
      <w:proofErr w:type="spellEnd"/>
      <w:r w:rsidRPr="002A727B">
        <w:rPr>
          <w:rFonts w:ascii="Times New Roman" w:eastAsiaTheme="minorHAnsi" w:hAnsi="Times New Roman"/>
          <w:sz w:val="24"/>
        </w:rPr>
        <w:t xml:space="preserve"> Lao (BCEL), </w:t>
      </w:r>
      <w:proofErr w:type="spellStart"/>
      <w:r w:rsidRPr="002A727B">
        <w:rPr>
          <w:rFonts w:ascii="Times New Roman" w:eastAsiaTheme="minorHAnsi" w:hAnsi="Times New Roman"/>
          <w:sz w:val="24"/>
        </w:rPr>
        <w:t>Electricité</w:t>
      </w:r>
      <w:proofErr w:type="spellEnd"/>
      <w:r w:rsidRPr="002A727B">
        <w:rPr>
          <w:rFonts w:ascii="Times New Roman" w:eastAsiaTheme="minorHAnsi" w:hAnsi="Times New Roman"/>
          <w:sz w:val="24"/>
        </w:rPr>
        <w:t xml:space="preserve"> du Laos - Generation (EDL-Gen), Petroleum Trading Lao (fuel stations), Lao World (property development and management), and Souvanny Home Center (home goods retail). The lack of long-term credit options in the domestic market hampers the development of the domestic private sector.</w:t>
      </w:r>
    </w:p>
    <w:p w14:paraId="526AE21A"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rPr>
        <w:t>The banking system is under the supervision of the Bank of Lao PDR (BoL) with limited ability to conduct a monetary policy and weak regulatory and enforcement capacity and the banking sector, as the domestic financial structure remain weak.</w:t>
      </w:r>
      <w:r w:rsidRPr="002A727B">
        <w:rPr>
          <w:rFonts w:ascii="Times New Roman" w:eastAsiaTheme="minorHAnsi" w:hAnsi="Times New Roman"/>
          <w:sz w:val="24"/>
        </w:rPr>
        <w:t xml:space="preserve"> Capital inflows and outflows in multiple currencies other than the Kip, principally in Thai Baht and US Dollar, in the domestic economy, limit the ability of the central bank to manipulate the money supply at the desired level. The dollarization rate has decreased significantly since the Asian crisis but remains at about 52</w:t>
      </w:r>
      <w:r w:rsidR="009D64BB">
        <w:rPr>
          <w:rFonts w:ascii="Times New Roman" w:eastAsiaTheme="minorHAnsi" w:hAnsi="Times New Roman"/>
          <w:sz w:val="24"/>
        </w:rPr>
        <w:t xml:space="preserve"> percent</w:t>
      </w:r>
      <w:r w:rsidRPr="00D36310">
        <w:rPr>
          <w:rFonts w:ascii="Times New Roman" w:eastAsiaTheme="minorHAnsi" w:hAnsi="Times New Roman"/>
          <w:vertAlign w:val="superscript"/>
        </w:rPr>
        <w:footnoteReference w:id="8"/>
      </w:r>
      <w:r w:rsidRPr="002A727B">
        <w:rPr>
          <w:rFonts w:ascii="Times New Roman" w:eastAsiaTheme="minorHAnsi" w:hAnsi="Times New Roman"/>
          <w:sz w:val="24"/>
        </w:rPr>
        <w:t xml:space="preserve"> in 2016. The last IMF Art</w:t>
      </w:r>
      <w:r>
        <w:rPr>
          <w:rFonts w:ascii="Times New Roman" w:eastAsiaTheme="minorHAnsi" w:hAnsi="Times New Roman"/>
          <w:sz w:val="24"/>
        </w:rPr>
        <w:t>icle</w:t>
      </w:r>
      <w:r w:rsidRPr="002A727B">
        <w:rPr>
          <w:rFonts w:ascii="Times New Roman" w:eastAsiaTheme="minorHAnsi" w:hAnsi="Times New Roman"/>
          <w:sz w:val="24"/>
        </w:rPr>
        <w:t xml:space="preserve"> IV </w:t>
      </w:r>
      <w:r>
        <w:rPr>
          <w:rFonts w:ascii="Times New Roman" w:eastAsiaTheme="minorHAnsi" w:hAnsi="Times New Roman"/>
          <w:sz w:val="24"/>
        </w:rPr>
        <w:t>reports suggests the risk of</w:t>
      </w:r>
      <w:r w:rsidRPr="002A727B">
        <w:rPr>
          <w:rFonts w:ascii="Times New Roman" w:eastAsiaTheme="minorHAnsi" w:hAnsi="Times New Roman"/>
          <w:sz w:val="24"/>
        </w:rPr>
        <w:t xml:space="preserve"> banking system distress that could cause a credit crunch and a slowdown in economic activity or a scenario where a macroeconomic or external shock with sudden slowdown in economic activity leading to higher non-performing loans and exposing weaknesses in the </w:t>
      </w:r>
      <w:r w:rsidRPr="002A727B">
        <w:rPr>
          <w:rFonts w:ascii="Times New Roman" w:eastAsiaTheme="minorHAnsi" w:hAnsi="Times New Roman"/>
          <w:sz w:val="24"/>
        </w:rPr>
        <w:lastRenderedPageBreak/>
        <w:t xml:space="preserve">solvency of the </w:t>
      </w:r>
      <w:r w:rsidR="00C66FE9" w:rsidRPr="002A727B">
        <w:rPr>
          <w:rFonts w:ascii="Times New Roman" w:eastAsiaTheme="minorHAnsi" w:hAnsi="Times New Roman"/>
          <w:sz w:val="24"/>
        </w:rPr>
        <w:t>domestic bank</w:t>
      </w:r>
      <w:r w:rsidRPr="002A727B">
        <w:rPr>
          <w:rFonts w:ascii="Times New Roman" w:eastAsiaTheme="minorHAnsi" w:hAnsi="Times New Roman"/>
          <w:sz w:val="24"/>
        </w:rPr>
        <w:t xml:space="preserve"> system.</w:t>
      </w:r>
    </w:p>
    <w:p w14:paraId="6970D383"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rPr>
        <w:t xml:space="preserve">Social and economic development in Lao PDR falls within the framework of successive five-year plans. </w:t>
      </w:r>
      <w:r w:rsidRPr="002A727B">
        <w:rPr>
          <w:rFonts w:ascii="Times New Roman" w:eastAsiaTheme="minorHAnsi" w:hAnsi="Times New Roman"/>
          <w:sz w:val="24"/>
        </w:rPr>
        <w:t xml:space="preserve">The Government’s development agenda in the medium term, as specified in the 8th National Socio-Economic Development Plan (NSEDP) 2016-2020, is to: (1) strengthen the non-resource sector, focusing on tourism, small and medium enterprises (SMEs) and </w:t>
      </w:r>
      <w:proofErr w:type="spellStart"/>
      <w:r w:rsidRPr="002A727B">
        <w:rPr>
          <w:rFonts w:ascii="Times New Roman" w:eastAsiaTheme="minorHAnsi" w:hAnsi="Times New Roman"/>
          <w:sz w:val="24"/>
        </w:rPr>
        <w:t>agro</w:t>
      </w:r>
      <w:proofErr w:type="spellEnd"/>
      <w:r w:rsidRPr="002A727B">
        <w:rPr>
          <w:rFonts w:ascii="Times New Roman" w:eastAsiaTheme="minorHAnsi" w:hAnsi="Times New Roman"/>
          <w:sz w:val="24"/>
        </w:rPr>
        <w:t xml:space="preserve">-processing; (2) strengthen environmental and social safeguards on hydropower and mining; (3) enhance the rule of law; and (4) improve access to safety net systems, health, and education. Nearly half of the proposed indicators for monitoring and evaluating development outcomes in the NSEDP are linked to the UN’s 17 Sustainable Development Goals (SDGs). The Government projects that through the implementation of the NSEDP, GDP </w:t>
      </w:r>
      <w:r>
        <w:rPr>
          <w:rFonts w:ascii="Times New Roman" w:eastAsiaTheme="minorHAnsi" w:hAnsi="Times New Roman"/>
          <w:sz w:val="24"/>
        </w:rPr>
        <w:t>growth will average 7.5 percent;</w:t>
      </w:r>
      <w:r w:rsidRPr="002A727B">
        <w:rPr>
          <w:rFonts w:ascii="Times New Roman" w:eastAsiaTheme="minorHAnsi" w:hAnsi="Times New Roman"/>
          <w:sz w:val="24"/>
        </w:rPr>
        <w:t xml:space="preserve"> however, these estimates have already been revised slightly downward given the moderate level of economic activity in 2016.</w:t>
      </w:r>
    </w:p>
    <w:p w14:paraId="286F4127"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A727B">
        <w:rPr>
          <w:rFonts w:ascii="Times New Roman" w:eastAsiaTheme="minorHAnsi" w:hAnsi="Times New Roman"/>
          <w:b/>
          <w:sz w:val="24"/>
          <w:lang w:val="en-MY"/>
        </w:rPr>
        <w:t>Poverty has fallen, and Lao P.D.R. has made progress towards its goal of graduation from Least Developed Country (LDC) status.</w:t>
      </w:r>
      <w:r w:rsidRPr="002A727B">
        <w:rPr>
          <w:rFonts w:ascii="Times New Roman" w:eastAsiaTheme="minorHAnsi" w:hAnsi="Times New Roman"/>
          <w:sz w:val="24"/>
          <w:lang w:val="en-MY"/>
        </w:rPr>
        <w:t xml:space="preserve"> </w:t>
      </w:r>
      <w:r w:rsidRPr="002A727B">
        <w:rPr>
          <w:rFonts w:ascii="Times New Roman" w:hAnsi="Times New Roman"/>
          <w:sz w:val="24"/>
        </w:rPr>
        <w:t>Lao P</w:t>
      </w:r>
      <w:r w:rsidR="009D64BB">
        <w:rPr>
          <w:rFonts w:ascii="Times New Roman" w:hAnsi="Times New Roman"/>
          <w:sz w:val="24"/>
        </w:rPr>
        <w:t>DR</w:t>
      </w:r>
      <w:r w:rsidRPr="002A727B">
        <w:rPr>
          <w:rFonts w:ascii="Times New Roman" w:hAnsi="Times New Roman"/>
          <w:sz w:val="24"/>
        </w:rPr>
        <w:t xml:space="preserve"> has </w:t>
      </w:r>
      <w:r w:rsidRPr="002A727B">
        <w:rPr>
          <w:rFonts w:ascii="Times New Roman" w:eastAsiaTheme="minorHAnsi" w:hAnsi="Times New Roman"/>
          <w:sz w:val="24"/>
        </w:rPr>
        <w:t xml:space="preserve">for the first time, met the criteria for Least Developed Country (LDC) graduation in 2018. The gross national income (GNI) per capita reached US$2,330 in </w:t>
      </w:r>
      <w:r>
        <w:rPr>
          <w:rFonts w:ascii="Times New Roman" w:eastAsiaTheme="minorHAnsi" w:hAnsi="Times New Roman"/>
          <w:sz w:val="24"/>
        </w:rPr>
        <w:t xml:space="preserve">2017 and </w:t>
      </w:r>
      <w:r w:rsidRPr="002A727B">
        <w:rPr>
          <w:rFonts w:ascii="Times New Roman" w:eastAsiaTheme="minorHAnsi" w:hAnsi="Times New Roman"/>
          <w:sz w:val="24"/>
        </w:rPr>
        <w:t xml:space="preserve">poverty </w:t>
      </w:r>
      <w:r w:rsidRPr="002A727B">
        <w:rPr>
          <w:rFonts w:ascii="Times New Roman" w:hAnsi="Times New Roman"/>
          <w:sz w:val="24"/>
        </w:rPr>
        <w:t>has fallen</w:t>
      </w:r>
      <w:r w:rsidRPr="002A727B">
        <w:rPr>
          <w:rFonts w:ascii="Times New Roman" w:eastAsiaTheme="minorHAnsi" w:hAnsi="Times New Roman"/>
          <w:sz w:val="24"/>
        </w:rPr>
        <w:t xml:space="preserve"> from 34 percent in 2002/03 to 23 percent in 2012/13</w:t>
      </w:r>
      <w:r w:rsidRPr="00C001AC">
        <w:rPr>
          <w:rFonts w:ascii="Times New Roman" w:eastAsiaTheme="minorHAnsi" w:hAnsi="Times New Roman"/>
          <w:sz w:val="24"/>
          <w:vertAlign w:val="superscript"/>
        </w:rPr>
        <w:footnoteReference w:id="9"/>
      </w:r>
      <w:r w:rsidRPr="002A727B">
        <w:rPr>
          <w:rFonts w:ascii="Times New Roman" w:eastAsiaTheme="minorHAnsi" w:hAnsi="Times New Roman"/>
          <w:sz w:val="24"/>
        </w:rPr>
        <w:t>, meeting the Millennium Development Goal (MDG) target of reducing poverty to below 24 percent. Since 2015, Lao PDR is considered a lower-middle income country based on its GNI per ca</w:t>
      </w:r>
      <w:r>
        <w:rPr>
          <w:rFonts w:ascii="Times New Roman" w:eastAsiaTheme="minorHAnsi" w:hAnsi="Times New Roman"/>
          <w:sz w:val="24"/>
        </w:rPr>
        <w:t>pita and is also in the Medium H</w:t>
      </w:r>
      <w:r w:rsidRPr="002A727B">
        <w:rPr>
          <w:rFonts w:ascii="Times New Roman" w:eastAsiaTheme="minorHAnsi" w:hAnsi="Times New Roman"/>
          <w:sz w:val="24"/>
        </w:rPr>
        <w:t xml:space="preserve">uman </w:t>
      </w:r>
      <w:r>
        <w:rPr>
          <w:rFonts w:ascii="Times New Roman" w:eastAsiaTheme="minorHAnsi" w:hAnsi="Times New Roman"/>
          <w:sz w:val="24"/>
        </w:rPr>
        <w:t>D</w:t>
      </w:r>
      <w:r w:rsidRPr="002A727B">
        <w:rPr>
          <w:rFonts w:ascii="Times New Roman" w:eastAsiaTheme="minorHAnsi" w:hAnsi="Times New Roman"/>
          <w:sz w:val="24"/>
        </w:rPr>
        <w:t>evelopment category</w:t>
      </w:r>
      <w:r w:rsidRPr="002A727B">
        <w:rPr>
          <w:rFonts w:ascii="Times New Roman" w:eastAsiaTheme="minorHAnsi" w:hAnsi="Times New Roman"/>
          <w:b/>
          <w:sz w:val="24"/>
        </w:rPr>
        <w:t xml:space="preserve"> </w:t>
      </w:r>
      <w:r w:rsidRPr="002A727B">
        <w:rPr>
          <w:rFonts w:ascii="Times New Roman" w:eastAsiaTheme="minorHAnsi" w:hAnsi="Times New Roman"/>
          <w:sz w:val="24"/>
        </w:rPr>
        <w:t>according to the UN’s Human Development Index (HDI), with a score of 0.586 and a rank of 138 out of 188 countries</w:t>
      </w:r>
      <w:r w:rsidRPr="00D36310">
        <w:rPr>
          <w:rFonts w:ascii="Times New Roman" w:eastAsiaTheme="minorHAnsi" w:hAnsi="Times New Roman"/>
          <w:sz w:val="24"/>
        </w:rPr>
        <w:t xml:space="preserve"> </w:t>
      </w:r>
      <w:r w:rsidRPr="002A727B">
        <w:rPr>
          <w:rFonts w:ascii="Times New Roman" w:eastAsiaTheme="minorHAnsi" w:hAnsi="Times New Roman"/>
          <w:sz w:val="24"/>
        </w:rPr>
        <w:t>in 2015. Life expectancy at birth is 66.6 years. Adult literacy rate (percent ages 15 and older) is 79.9.</w:t>
      </w:r>
    </w:p>
    <w:p w14:paraId="4F23329C"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Pr>
          <w:rFonts w:ascii="Times New Roman" w:eastAsiaTheme="minorHAnsi" w:hAnsi="Times New Roman"/>
          <w:b/>
          <w:sz w:val="24"/>
        </w:rPr>
        <w:t>Nevertheless, the r</w:t>
      </w:r>
      <w:r w:rsidRPr="002A727B">
        <w:rPr>
          <w:rFonts w:ascii="Times New Roman" w:eastAsiaTheme="minorHAnsi" w:hAnsi="Times New Roman"/>
          <w:b/>
          <w:sz w:val="24"/>
        </w:rPr>
        <w:t>eduction in poverty has been accompanied by rising inequality a</w:t>
      </w:r>
      <w:r>
        <w:rPr>
          <w:rFonts w:ascii="Times New Roman" w:eastAsiaTheme="minorHAnsi" w:hAnsi="Times New Roman"/>
          <w:b/>
          <w:sz w:val="24"/>
        </w:rPr>
        <w:t>s</w:t>
      </w:r>
      <w:r w:rsidRPr="002A727B">
        <w:rPr>
          <w:rFonts w:ascii="Times New Roman" w:eastAsiaTheme="minorHAnsi" w:hAnsi="Times New Roman"/>
          <w:b/>
          <w:sz w:val="24"/>
        </w:rPr>
        <w:t xml:space="preserve"> the benefits of growth and poverty reduction have not been evenly distributed</w:t>
      </w:r>
      <w:r w:rsidRPr="002A727B">
        <w:rPr>
          <w:rFonts w:ascii="Times New Roman" w:eastAsiaTheme="minorHAnsi" w:hAnsi="Times New Roman"/>
          <w:sz w:val="24"/>
        </w:rPr>
        <w:t xml:space="preserve">. </w:t>
      </w:r>
      <w:r>
        <w:rPr>
          <w:rFonts w:ascii="Times New Roman" w:eastAsiaTheme="minorHAnsi" w:hAnsi="Times New Roman"/>
          <w:sz w:val="24"/>
        </w:rPr>
        <w:t xml:space="preserve">The widening </w:t>
      </w:r>
      <w:r w:rsidRPr="002A727B">
        <w:rPr>
          <w:rFonts w:ascii="Times New Roman" w:eastAsiaTheme="minorHAnsi" w:hAnsi="Times New Roman"/>
          <w:sz w:val="24"/>
        </w:rPr>
        <w:t xml:space="preserve">inequality is reflected in geographic and ethnic disparities. Lao PDR performance in both the human assets index and economic vulnerability index is </w:t>
      </w:r>
      <w:proofErr w:type="gramStart"/>
      <w:r w:rsidRPr="002A727B">
        <w:rPr>
          <w:rFonts w:ascii="Times New Roman" w:eastAsiaTheme="minorHAnsi" w:hAnsi="Times New Roman"/>
          <w:sz w:val="24"/>
        </w:rPr>
        <w:t>lagging behind</w:t>
      </w:r>
      <w:proofErr w:type="gramEnd"/>
      <w:r w:rsidRPr="002A727B">
        <w:rPr>
          <w:rFonts w:ascii="Times New Roman" w:eastAsiaTheme="minorHAnsi" w:hAnsi="Times New Roman"/>
          <w:sz w:val="24"/>
        </w:rPr>
        <w:t xml:space="preserve"> </w:t>
      </w:r>
      <w:r>
        <w:rPr>
          <w:rFonts w:ascii="Times New Roman" w:eastAsiaTheme="minorHAnsi" w:hAnsi="Times New Roman"/>
          <w:sz w:val="24"/>
        </w:rPr>
        <w:t xml:space="preserve">its </w:t>
      </w:r>
      <w:r w:rsidRPr="002A727B">
        <w:rPr>
          <w:rFonts w:ascii="Times New Roman" w:eastAsiaTheme="minorHAnsi" w:hAnsi="Times New Roman"/>
          <w:sz w:val="24"/>
        </w:rPr>
        <w:t>peers.  Inequality has widened, with an increase in Gini coef</w:t>
      </w:r>
      <w:r w:rsidR="009D64BB">
        <w:rPr>
          <w:rFonts w:ascii="Times New Roman" w:eastAsiaTheme="minorHAnsi" w:hAnsi="Times New Roman"/>
          <w:sz w:val="24"/>
        </w:rPr>
        <w:t>ficient rising from 0.3 to 0.37 percent</w:t>
      </w:r>
      <w:r w:rsidRPr="002A727B">
        <w:rPr>
          <w:rFonts w:ascii="Times New Roman" w:eastAsiaTheme="minorHAnsi" w:hAnsi="Times New Roman"/>
          <w:sz w:val="24"/>
        </w:rPr>
        <w:t xml:space="preserve"> between 1992-1993 and 2012-2013 affecting both rural and urban areas. While urban areas near the border of Thailand have lower poverty, the incidence is much higher in the</w:t>
      </w:r>
      <w:r>
        <w:rPr>
          <w:rFonts w:ascii="Times New Roman" w:eastAsiaTheme="minorHAnsi" w:hAnsi="Times New Roman"/>
          <w:sz w:val="24"/>
        </w:rPr>
        <w:t xml:space="preserve"> northern part of the country. </w:t>
      </w:r>
    </w:p>
    <w:p w14:paraId="1459626A" w14:textId="77777777" w:rsidR="007E2FD4" w:rsidRDefault="007E2FD4" w:rsidP="007E2FD4">
      <w:pPr>
        <w:spacing w:after="240" w:line="276" w:lineRule="auto"/>
        <w:rPr>
          <w:rFonts w:ascii="Times New Roman" w:eastAsiaTheme="minorHAnsi" w:hAnsi="Times New Roman"/>
          <w:b/>
          <w:sz w:val="24"/>
        </w:rPr>
      </w:pPr>
      <w:r>
        <w:rPr>
          <w:rFonts w:ascii="Times New Roman" w:eastAsiaTheme="minorHAnsi" w:hAnsi="Times New Roman"/>
          <w:b/>
          <w:sz w:val="24"/>
        </w:rPr>
        <w:br w:type="page"/>
      </w:r>
    </w:p>
    <w:p w14:paraId="44214AE2" w14:textId="77777777" w:rsidR="007E2FD4" w:rsidRPr="00725543" w:rsidRDefault="007E2FD4" w:rsidP="007E2FD4">
      <w:pPr>
        <w:pStyle w:val="Caption"/>
        <w:spacing w:after="0" w:line="240" w:lineRule="auto"/>
        <w:rPr>
          <w:rFonts w:ascii="Times New Roman" w:hAnsi="Times New Roman"/>
          <w:color w:val="auto"/>
          <w:sz w:val="24"/>
          <w:szCs w:val="24"/>
        </w:rPr>
      </w:pPr>
      <w:r w:rsidRPr="00725543">
        <w:rPr>
          <w:rFonts w:ascii="Times New Roman" w:hAnsi="Times New Roman"/>
          <w:color w:val="auto"/>
          <w:sz w:val="24"/>
          <w:szCs w:val="24"/>
        </w:rPr>
        <w:lastRenderedPageBreak/>
        <w:t xml:space="preserve">Table 2.1. Key macroeconomic indicators and outlook </w:t>
      </w:r>
    </w:p>
    <w:tbl>
      <w:tblPr>
        <w:tblW w:w="937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922"/>
        <w:gridCol w:w="920"/>
        <w:gridCol w:w="920"/>
        <w:gridCol w:w="919"/>
        <w:gridCol w:w="920"/>
        <w:gridCol w:w="919"/>
        <w:gridCol w:w="904"/>
      </w:tblGrid>
      <w:tr w:rsidR="00C66FE9" w:rsidRPr="00C001AC" w14:paraId="3DC842BB" w14:textId="77777777" w:rsidTr="00C66FE9">
        <w:trPr>
          <w:trHeight w:val="290"/>
        </w:trPr>
        <w:tc>
          <w:tcPr>
            <w:tcW w:w="1573" w:type="pct"/>
            <w:shd w:val="clear" w:color="000000" w:fill="FFFFFF"/>
            <w:noWrap/>
            <w:vAlign w:val="center"/>
            <w:hideMark/>
          </w:tcPr>
          <w:p w14:paraId="4C4299CA" w14:textId="77777777" w:rsidR="007E2FD4" w:rsidRPr="00C001AC" w:rsidRDefault="007E2FD4" w:rsidP="007E2FD4">
            <w:pPr>
              <w:spacing w:before="0"/>
              <w:ind w:left="0"/>
              <w:jc w:val="left"/>
              <w:rPr>
                <w:rFonts w:ascii="Times New Roman" w:hAnsi="Times New Roman"/>
                <w:b/>
                <w:bCs/>
                <w:color w:val="000000"/>
                <w:sz w:val="20"/>
                <w:lang w:eastAsia="en-ID"/>
              </w:rPr>
            </w:pPr>
          </w:p>
        </w:tc>
        <w:tc>
          <w:tcPr>
            <w:tcW w:w="492" w:type="pct"/>
            <w:shd w:val="clear" w:color="000000" w:fill="FFFFFF"/>
            <w:vAlign w:val="center"/>
            <w:hideMark/>
          </w:tcPr>
          <w:p w14:paraId="3212C47C"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2014</w:t>
            </w:r>
          </w:p>
        </w:tc>
        <w:tc>
          <w:tcPr>
            <w:tcW w:w="491" w:type="pct"/>
            <w:shd w:val="clear" w:color="000000" w:fill="FFFFFF"/>
            <w:vAlign w:val="center"/>
            <w:hideMark/>
          </w:tcPr>
          <w:p w14:paraId="15088451"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2015</w:t>
            </w:r>
          </w:p>
        </w:tc>
        <w:tc>
          <w:tcPr>
            <w:tcW w:w="491" w:type="pct"/>
            <w:shd w:val="clear" w:color="000000" w:fill="FFFFFF"/>
            <w:vAlign w:val="center"/>
            <w:hideMark/>
          </w:tcPr>
          <w:p w14:paraId="02C8E4E8"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2016</w:t>
            </w:r>
          </w:p>
        </w:tc>
        <w:tc>
          <w:tcPr>
            <w:tcW w:w="490" w:type="pct"/>
            <w:shd w:val="clear" w:color="000000" w:fill="FFFFFF"/>
            <w:vAlign w:val="center"/>
            <w:hideMark/>
          </w:tcPr>
          <w:p w14:paraId="700244B6"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2017 (pr.)</w:t>
            </w:r>
          </w:p>
        </w:tc>
        <w:tc>
          <w:tcPr>
            <w:tcW w:w="491" w:type="pct"/>
            <w:shd w:val="clear" w:color="000000" w:fill="FFFFFF"/>
            <w:vAlign w:val="center"/>
            <w:hideMark/>
          </w:tcPr>
          <w:p w14:paraId="2212EF4F"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2018</w:t>
            </w:r>
          </w:p>
          <w:p w14:paraId="4B73778D"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(pr.)</w:t>
            </w:r>
          </w:p>
        </w:tc>
        <w:tc>
          <w:tcPr>
            <w:tcW w:w="490" w:type="pct"/>
            <w:shd w:val="clear" w:color="000000" w:fill="FFFFFF"/>
            <w:vAlign w:val="center"/>
            <w:hideMark/>
          </w:tcPr>
          <w:p w14:paraId="27BE2B80"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2019</w:t>
            </w:r>
          </w:p>
          <w:p w14:paraId="459787B8"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(pr.)</w:t>
            </w:r>
          </w:p>
        </w:tc>
        <w:tc>
          <w:tcPr>
            <w:tcW w:w="483" w:type="pct"/>
            <w:shd w:val="clear" w:color="000000" w:fill="FFFFFF"/>
            <w:vAlign w:val="center"/>
            <w:hideMark/>
          </w:tcPr>
          <w:p w14:paraId="613E7CDA"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2020</w:t>
            </w:r>
          </w:p>
          <w:p w14:paraId="35489D53" w14:textId="77777777" w:rsidR="007E2FD4" w:rsidRPr="00C001AC" w:rsidRDefault="007E2FD4" w:rsidP="007E2FD4">
            <w:pPr>
              <w:spacing w:before="0"/>
              <w:ind w:left="0"/>
              <w:jc w:val="center"/>
              <w:rPr>
                <w:rFonts w:ascii="Times New Roman" w:hAnsi="Times New Roman"/>
                <w:b/>
                <w:bCs/>
                <w:color w:val="000000"/>
                <w:sz w:val="20"/>
                <w:lang w:eastAsia="en-ID"/>
              </w:rPr>
            </w:pPr>
            <w:r w:rsidRPr="00C001AC">
              <w:rPr>
                <w:rFonts w:ascii="Times New Roman" w:hAnsi="Times New Roman"/>
                <w:b/>
                <w:bCs/>
                <w:color w:val="000000"/>
                <w:sz w:val="20"/>
                <w:lang w:eastAsia="en-ID"/>
              </w:rPr>
              <w:t>(pr.)</w:t>
            </w:r>
          </w:p>
        </w:tc>
      </w:tr>
      <w:tr w:rsidR="00C66FE9" w:rsidRPr="00C001AC" w14:paraId="0F974E90" w14:textId="77777777" w:rsidTr="00C66FE9">
        <w:trPr>
          <w:trHeight w:val="290"/>
        </w:trPr>
        <w:tc>
          <w:tcPr>
            <w:tcW w:w="1573" w:type="pct"/>
            <w:shd w:val="clear" w:color="000000" w:fill="FFFFFF"/>
            <w:vAlign w:val="center"/>
            <w:hideMark/>
          </w:tcPr>
          <w:p w14:paraId="46B4E802" w14:textId="77777777" w:rsidR="007E2FD4" w:rsidRPr="00C001AC" w:rsidRDefault="007E2FD4" w:rsidP="007E2FD4">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 xml:space="preserve">Real Economy </w:t>
            </w:r>
          </w:p>
        </w:tc>
        <w:tc>
          <w:tcPr>
            <w:tcW w:w="3427" w:type="pct"/>
            <w:gridSpan w:val="7"/>
            <w:shd w:val="clear" w:color="000000" w:fill="FFFFFF"/>
            <w:noWrap/>
            <w:vAlign w:val="center"/>
            <w:hideMark/>
          </w:tcPr>
          <w:p w14:paraId="25357A08" w14:textId="77777777" w:rsidR="007E2FD4" w:rsidRPr="00C001AC" w:rsidRDefault="007E2FD4" w:rsidP="007E2FD4">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Annual percentage change, unless otherwise indicated</w:t>
            </w:r>
          </w:p>
        </w:tc>
      </w:tr>
      <w:tr w:rsidR="00C66FE9" w:rsidRPr="00C001AC" w14:paraId="12497954" w14:textId="77777777" w:rsidTr="00C66FE9">
        <w:trPr>
          <w:trHeight w:val="290"/>
        </w:trPr>
        <w:tc>
          <w:tcPr>
            <w:tcW w:w="1573" w:type="pct"/>
            <w:shd w:val="clear" w:color="000000" w:fill="FFFFFF"/>
            <w:vAlign w:val="center"/>
            <w:hideMark/>
          </w:tcPr>
          <w:p w14:paraId="3AADB2FE"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Real GDP </w:t>
            </w:r>
          </w:p>
        </w:tc>
        <w:tc>
          <w:tcPr>
            <w:tcW w:w="492" w:type="pct"/>
            <w:shd w:val="clear" w:color="000000" w:fill="FFFFFF"/>
            <w:vAlign w:val="center"/>
            <w:hideMark/>
          </w:tcPr>
          <w:p w14:paraId="34B89B7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7,5</w:t>
            </w:r>
          </w:p>
        </w:tc>
        <w:tc>
          <w:tcPr>
            <w:tcW w:w="491" w:type="pct"/>
            <w:shd w:val="clear" w:color="000000" w:fill="FFFFFF"/>
            <w:vAlign w:val="center"/>
            <w:hideMark/>
          </w:tcPr>
          <w:p w14:paraId="2930A18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7,4</w:t>
            </w:r>
          </w:p>
        </w:tc>
        <w:tc>
          <w:tcPr>
            <w:tcW w:w="491" w:type="pct"/>
            <w:shd w:val="clear" w:color="000000" w:fill="FFFFFF"/>
            <w:vAlign w:val="center"/>
            <w:hideMark/>
          </w:tcPr>
          <w:p w14:paraId="49B1C9E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7,0</w:t>
            </w:r>
          </w:p>
        </w:tc>
        <w:tc>
          <w:tcPr>
            <w:tcW w:w="490" w:type="pct"/>
            <w:shd w:val="clear" w:color="000000" w:fill="FFFFFF"/>
            <w:vAlign w:val="center"/>
            <w:hideMark/>
          </w:tcPr>
          <w:p w14:paraId="449C7C0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6,7</w:t>
            </w:r>
          </w:p>
        </w:tc>
        <w:tc>
          <w:tcPr>
            <w:tcW w:w="491" w:type="pct"/>
            <w:shd w:val="clear" w:color="000000" w:fill="FFFFFF"/>
            <w:vAlign w:val="center"/>
            <w:hideMark/>
          </w:tcPr>
          <w:p w14:paraId="424F578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6,6</w:t>
            </w:r>
          </w:p>
        </w:tc>
        <w:tc>
          <w:tcPr>
            <w:tcW w:w="490" w:type="pct"/>
            <w:shd w:val="clear" w:color="000000" w:fill="FFFFFF"/>
            <w:vAlign w:val="center"/>
            <w:hideMark/>
          </w:tcPr>
          <w:p w14:paraId="78DDFCA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6,9</w:t>
            </w:r>
          </w:p>
        </w:tc>
        <w:tc>
          <w:tcPr>
            <w:tcW w:w="483" w:type="pct"/>
            <w:shd w:val="clear" w:color="000000" w:fill="FFFFFF"/>
            <w:vAlign w:val="center"/>
            <w:hideMark/>
          </w:tcPr>
          <w:p w14:paraId="77339E3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7,0</w:t>
            </w:r>
          </w:p>
        </w:tc>
      </w:tr>
      <w:tr w:rsidR="00C66FE9" w:rsidRPr="00C001AC" w14:paraId="77146D7C" w14:textId="77777777" w:rsidTr="00C66FE9">
        <w:trPr>
          <w:trHeight w:val="290"/>
        </w:trPr>
        <w:tc>
          <w:tcPr>
            <w:tcW w:w="1573" w:type="pct"/>
            <w:shd w:val="clear" w:color="000000" w:fill="FFFFFF"/>
            <w:vAlign w:val="center"/>
            <w:hideMark/>
          </w:tcPr>
          <w:p w14:paraId="27C03ACC"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GDP deflator </w:t>
            </w:r>
          </w:p>
        </w:tc>
        <w:tc>
          <w:tcPr>
            <w:tcW w:w="492" w:type="pct"/>
            <w:shd w:val="clear" w:color="000000" w:fill="FFFFFF"/>
            <w:vAlign w:val="center"/>
            <w:hideMark/>
          </w:tcPr>
          <w:p w14:paraId="149C6F3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-0,1</w:t>
            </w:r>
          </w:p>
        </w:tc>
        <w:tc>
          <w:tcPr>
            <w:tcW w:w="491" w:type="pct"/>
            <w:shd w:val="clear" w:color="000000" w:fill="FFFFFF"/>
            <w:vAlign w:val="center"/>
            <w:hideMark/>
          </w:tcPr>
          <w:p w14:paraId="50625E6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-0,7</w:t>
            </w:r>
          </w:p>
        </w:tc>
        <w:tc>
          <w:tcPr>
            <w:tcW w:w="491" w:type="pct"/>
            <w:shd w:val="clear" w:color="000000" w:fill="FFFFFF"/>
            <w:vAlign w:val="center"/>
            <w:hideMark/>
          </w:tcPr>
          <w:p w14:paraId="68CD5B3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w:t>
            </w:r>
          </w:p>
        </w:tc>
        <w:tc>
          <w:tcPr>
            <w:tcW w:w="490" w:type="pct"/>
            <w:shd w:val="clear" w:color="000000" w:fill="FFFFFF"/>
            <w:vAlign w:val="center"/>
            <w:hideMark/>
          </w:tcPr>
          <w:p w14:paraId="2930D16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2,5</w:t>
            </w:r>
          </w:p>
        </w:tc>
        <w:tc>
          <w:tcPr>
            <w:tcW w:w="491" w:type="pct"/>
            <w:shd w:val="clear" w:color="000000" w:fill="FFFFFF"/>
            <w:vAlign w:val="center"/>
            <w:hideMark/>
          </w:tcPr>
          <w:p w14:paraId="50DE2B6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2,8</w:t>
            </w:r>
          </w:p>
        </w:tc>
        <w:tc>
          <w:tcPr>
            <w:tcW w:w="490" w:type="pct"/>
            <w:shd w:val="clear" w:color="000000" w:fill="FFFFFF"/>
            <w:vAlign w:val="center"/>
            <w:hideMark/>
          </w:tcPr>
          <w:p w14:paraId="7633866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2,6</w:t>
            </w:r>
          </w:p>
        </w:tc>
        <w:tc>
          <w:tcPr>
            <w:tcW w:w="483" w:type="pct"/>
            <w:shd w:val="clear" w:color="000000" w:fill="FFFFFF"/>
            <w:vAlign w:val="center"/>
            <w:hideMark/>
          </w:tcPr>
          <w:p w14:paraId="31B7E68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2,5</w:t>
            </w:r>
          </w:p>
        </w:tc>
      </w:tr>
      <w:tr w:rsidR="00C66FE9" w:rsidRPr="00C001AC" w14:paraId="4E602C62" w14:textId="77777777" w:rsidTr="00C66FE9">
        <w:trPr>
          <w:trHeight w:val="290"/>
        </w:trPr>
        <w:tc>
          <w:tcPr>
            <w:tcW w:w="1573" w:type="pct"/>
            <w:shd w:val="clear" w:color="000000" w:fill="FFFFFF"/>
            <w:vAlign w:val="center"/>
            <w:hideMark/>
          </w:tcPr>
          <w:p w14:paraId="65B92C13"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CPI (average) </w:t>
            </w:r>
          </w:p>
        </w:tc>
        <w:tc>
          <w:tcPr>
            <w:tcW w:w="492" w:type="pct"/>
            <w:shd w:val="clear" w:color="000000" w:fill="FFFFFF"/>
            <w:vAlign w:val="center"/>
            <w:hideMark/>
          </w:tcPr>
          <w:p w14:paraId="0BDCC2D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4,2</w:t>
            </w:r>
          </w:p>
        </w:tc>
        <w:tc>
          <w:tcPr>
            <w:tcW w:w="491" w:type="pct"/>
            <w:shd w:val="clear" w:color="000000" w:fill="FFFFFF"/>
            <w:vAlign w:val="center"/>
            <w:hideMark/>
          </w:tcPr>
          <w:p w14:paraId="2F2ADE0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w:t>
            </w:r>
          </w:p>
        </w:tc>
        <w:tc>
          <w:tcPr>
            <w:tcW w:w="491" w:type="pct"/>
            <w:shd w:val="clear" w:color="000000" w:fill="FFFFFF"/>
            <w:vAlign w:val="center"/>
            <w:hideMark/>
          </w:tcPr>
          <w:p w14:paraId="1A94E0C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w:t>
            </w:r>
          </w:p>
        </w:tc>
        <w:tc>
          <w:tcPr>
            <w:tcW w:w="490" w:type="pct"/>
            <w:shd w:val="clear" w:color="000000" w:fill="FFFFFF"/>
            <w:vAlign w:val="center"/>
            <w:hideMark/>
          </w:tcPr>
          <w:p w14:paraId="5C7F0BA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2,0</w:t>
            </w:r>
          </w:p>
        </w:tc>
        <w:tc>
          <w:tcPr>
            <w:tcW w:w="491" w:type="pct"/>
            <w:shd w:val="clear" w:color="000000" w:fill="FFFFFF"/>
            <w:vAlign w:val="center"/>
            <w:hideMark/>
          </w:tcPr>
          <w:p w14:paraId="10EEE0B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3,0</w:t>
            </w:r>
          </w:p>
        </w:tc>
        <w:tc>
          <w:tcPr>
            <w:tcW w:w="490" w:type="pct"/>
            <w:shd w:val="clear" w:color="000000" w:fill="FFFFFF"/>
            <w:vAlign w:val="center"/>
            <w:hideMark/>
          </w:tcPr>
          <w:p w14:paraId="372F4DD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3,0</w:t>
            </w:r>
          </w:p>
        </w:tc>
        <w:tc>
          <w:tcPr>
            <w:tcW w:w="483" w:type="pct"/>
            <w:shd w:val="clear" w:color="000000" w:fill="FFFFFF"/>
            <w:vAlign w:val="center"/>
            <w:hideMark/>
          </w:tcPr>
          <w:p w14:paraId="2CC9A23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3,0</w:t>
            </w:r>
          </w:p>
        </w:tc>
      </w:tr>
      <w:tr w:rsidR="00C66FE9" w:rsidRPr="00C001AC" w14:paraId="6F2D6F81" w14:textId="77777777" w:rsidTr="00C66FE9">
        <w:trPr>
          <w:trHeight w:val="290"/>
        </w:trPr>
        <w:tc>
          <w:tcPr>
            <w:tcW w:w="1573" w:type="pct"/>
            <w:shd w:val="clear" w:color="000000" w:fill="FFFFFF"/>
            <w:vAlign w:val="center"/>
            <w:hideMark/>
          </w:tcPr>
          <w:p w14:paraId="5A938BBC"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Output gap</w:t>
            </w:r>
          </w:p>
        </w:tc>
        <w:tc>
          <w:tcPr>
            <w:tcW w:w="492" w:type="pct"/>
            <w:shd w:val="clear" w:color="000000" w:fill="FFFFFF"/>
            <w:vAlign w:val="center"/>
            <w:hideMark/>
          </w:tcPr>
          <w:p w14:paraId="696486DB"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0,9</w:t>
            </w:r>
          </w:p>
        </w:tc>
        <w:tc>
          <w:tcPr>
            <w:tcW w:w="491" w:type="pct"/>
            <w:shd w:val="clear" w:color="000000" w:fill="FFFFFF"/>
            <w:vAlign w:val="center"/>
            <w:hideMark/>
          </w:tcPr>
          <w:p w14:paraId="50967E6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0,6</w:t>
            </w:r>
          </w:p>
        </w:tc>
        <w:tc>
          <w:tcPr>
            <w:tcW w:w="491" w:type="pct"/>
            <w:shd w:val="clear" w:color="000000" w:fill="FFFFFF"/>
            <w:vAlign w:val="center"/>
            <w:hideMark/>
          </w:tcPr>
          <w:p w14:paraId="387C6FD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0,3</w:t>
            </w:r>
          </w:p>
        </w:tc>
        <w:tc>
          <w:tcPr>
            <w:tcW w:w="490" w:type="pct"/>
            <w:shd w:val="clear" w:color="000000" w:fill="FFFFFF"/>
            <w:vAlign w:val="center"/>
            <w:hideMark/>
          </w:tcPr>
          <w:p w14:paraId="18DB61F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0,0</w:t>
            </w:r>
          </w:p>
        </w:tc>
        <w:tc>
          <w:tcPr>
            <w:tcW w:w="491" w:type="pct"/>
            <w:shd w:val="clear" w:color="000000" w:fill="FFFFFF"/>
            <w:vAlign w:val="center"/>
            <w:hideMark/>
          </w:tcPr>
          <w:p w14:paraId="33496EC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-0,3</w:t>
            </w:r>
          </w:p>
        </w:tc>
        <w:tc>
          <w:tcPr>
            <w:tcW w:w="490" w:type="pct"/>
            <w:shd w:val="clear" w:color="000000" w:fill="FFFFFF"/>
            <w:vAlign w:val="center"/>
            <w:hideMark/>
          </w:tcPr>
          <w:p w14:paraId="232AED4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-0,1</w:t>
            </w:r>
          </w:p>
        </w:tc>
        <w:tc>
          <w:tcPr>
            <w:tcW w:w="483" w:type="pct"/>
            <w:shd w:val="clear" w:color="000000" w:fill="FFFFFF"/>
            <w:vAlign w:val="center"/>
            <w:hideMark/>
          </w:tcPr>
          <w:p w14:paraId="40DCBC3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w:t>
            </w:r>
          </w:p>
        </w:tc>
      </w:tr>
      <w:tr w:rsidR="00C66FE9" w:rsidRPr="00C001AC" w14:paraId="3269201E" w14:textId="77777777" w:rsidTr="00C66FE9">
        <w:trPr>
          <w:trHeight w:val="290"/>
        </w:trPr>
        <w:tc>
          <w:tcPr>
            <w:tcW w:w="1573" w:type="pct"/>
            <w:shd w:val="clear" w:color="000000" w:fill="FFFFFF"/>
            <w:vAlign w:val="center"/>
            <w:hideMark/>
          </w:tcPr>
          <w:p w14:paraId="3D1BACC9"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Real effective exchange rate</w:t>
            </w:r>
          </w:p>
        </w:tc>
        <w:tc>
          <w:tcPr>
            <w:tcW w:w="492" w:type="pct"/>
            <w:shd w:val="clear" w:color="000000" w:fill="FFFFFF"/>
            <w:vAlign w:val="center"/>
            <w:hideMark/>
          </w:tcPr>
          <w:p w14:paraId="69C07DD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142,6</w:t>
            </w:r>
          </w:p>
        </w:tc>
        <w:tc>
          <w:tcPr>
            <w:tcW w:w="491" w:type="pct"/>
            <w:shd w:val="clear" w:color="000000" w:fill="FFFFFF"/>
            <w:vAlign w:val="center"/>
            <w:hideMark/>
          </w:tcPr>
          <w:p w14:paraId="18A8DE1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163,5</w:t>
            </w:r>
          </w:p>
        </w:tc>
        <w:tc>
          <w:tcPr>
            <w:tcW w:w="491" w:type="pct"/>
            <w:shd w:val="clear" w:color="000000" w:fill="FFFFFF"/>
            <w:vAlign w:val="center"/>
            <w:hideMark/>
          </w:tcPr>
          <w:p w14:paraId="215C5C7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160,4</w:t>
            </w:r>
          </w:p>
        </w:tc>
        <w:tc>
          <w:tcPr>
            <w:tcW w:w="490" w:type="pct"/>
            <w:shd w:val="clear" w:color="000000" w:fill="FFFFFF"/>
            <w:vAlign w:val="center"/>
            <w:hideMark/>
          </w:tcPr>
          <w:p w14:paraId="6F54FC3A"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1" w:type="pct"/>
            <w:shd w:val="clear" w:color="000000" w:fill="FFFFFF"/>
            <w:vAlign w:val="center"/>
            <w:hideMark/>
          </w:tcPr>
          <w:p w14:paraId="2A5D2E97"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0" w:type="pct"/>
            <w:shd w:val="clear" w:color="000000" w:fill="FFFFFF"/>
            <w:vAlign w:val="center"/>
            <w:hideMark/>
          </w:tcPr>
          <w:p w14:paraId="53D11186" w14:textId="77777777" w:rsidR="007E2FD4" w:rsidRPr="00C001AC" w:rsidRDefault="007E2FD4" w:rsidP="007E2FD4">
            <w:pPr>
              <w:spacing w:before="0"/>
              <w:ind w:left="0"/>
              <w:jc w:val="center"/>
              <w:rPr>
                <w:rFonts w:ascii="Times New Roman" w:hAnsi="Times New Roman"/>
                <w:color w:val="000000"/>
                <w:sz w:val="20"/>
                <w:lang w:eastAsia="en-ID"/>
              </w:rPr>
            </w:pPr>
          </w:p>
        </w:tc>
        <w:tc>
          <w:tcPr>
            <w:tcW w:w="483" w:type="pct"/>
            <w:shd w:val="clear" w:color="000000" w:fill="FFFFFF"/>
            <w:vAlign w:val="center"/>
            <w:hideMark/>
          </w:tcPr>
          <w:p w14:paraId="169A2423" w14:textId="77777777" w:rsidR="007E2FD4" w:rsidRPr="00C001AC" w:rsidRDefault="007E2FD4" w:rsidP="007E2FD4">
            <w:pPr>
              <w:spacing w:before="0"/>
              <w:ind w:left="0"/>
              <w:jc w:val="center"/>
              <w:rPr>
                <w:rFonts w:ascii="Times New Roman" w:hAnsi="Times New Roman"/>
                <w:color w:val="000000"/>
                <w:sz w:val="20"/>
                <w:lang w:eastAsia="en-ID"/>
              </w:rPr>
            </w:pPr>
          </w:p>
        </w:tc>
      </w:tr>
      <w:tr w:rsidR="00C66FE9" w:rsidRPr="00C001AC" w14:paraId="3A9808B7" w14:textId="77777777" w:rsidTr="00C66FE9">
        <w:trPr>
          <w:trHeight w:val="290"/>
        </w:trPr>
        <w:tc>
          <w:tcPr>
            <w:tcW w:w="1573" w:type="pct"/>
            <w:shd w:val="clear" w:color="000000" w:fill="FFFFFF"/>
            <w:vAlign w:val="center"/>
            <w:hideMark/>
          </w:tcPr>
          <w:p w14:paraId="0601EABB" w14:textId="77777777" w:rsidR="007E2FD4" w:rsidRPr="00C001AC" w:rsidRDefault="007E2FD4" w:rsidP="007E2FD4">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Fiscal Accounts</w:t>
            </w:r>
          </w:p>
        </w:tc>
        <w:tc>
          <w:tcPr>
            <w:tcW w:w="3427" w:type="pct"/>
            <w:gridSpan w:val="7"/>
            <w:shd w:val="clear" w:color="000000" w:fill="FFFFFF"/>
            <w:noWrap/>
            <w:vAlign w:val="center"/>
            <w:hideMark/>
          </w:tcPr>
          <w:p w14:paraId="1296B485" w14:textId="77777777" w:rsidR="007E2FD4" w:rsidRPr="00C001AC" w:rsidRDefault="007E2FD4" w:rsidP="007E2FD4">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Percent of GDP</w:t>
            </w:r>
          </w:p>
        </w:tc>
      </w:tr>
      <w:tr w:rsidR="00C66FE9" w:rsidRPr="00C001AC" w14:paraId="4F41B735" w14:textId="77777777" w:rsidTr="00C66FE9">
        <w:trPr>
          <w:trHeight w:val="290"/>
        </w:trPr>
        <w:tc>
          <w:tcPr>
            <w:tcW w:w="1573" w:type="pct"/>
            <w:shd w:val="clear" w:color="000000" w:fill="FFFFFF"/>
            <w:vAlign w:val="center"/>
            <w:hideMark/>
          </w:tcPr>
          <w:p w14:paraId="7593295F" w14:textId="77777777" w:rsidR="007E2FD4" w:rsidRPr="00C001AC" w:rsidRDefault="007E2FD4" w:rsidP="007E2FD4">
            <w:pPr>
              <w:spacing w:before="0"/>
              <w:ind w:left="0"/>
              <w:jc w:val="left"/>
              <w:rPr>
                <w:rFonts w:ascii="Times New Roman" w:hAnsi="Times New Roman"/>
                <w:b/>
                <w:color w:val="000000"/>
                <w:sz w:val="20"/>
                <w:lang w:eastAsia="en-ID"/>
              </w:rPr>
            </w:pPr>
            <w:r w:rsidRPr="00C001AC">
              <w:rPr>
                <w:rFonts w:ascii="Times New Roman" w:hAnsi="Times New Roman"/>
                <w:b/>
                <w:color w:val="000000"/>
                <w:sz w:val="20"/>
                <w:lang w:eastAsia="en-ID"/>
              </w:rPr>
              <w:t xml:space="preserve">Revenues </w:t>
            </w:r>
          </w:p>
        </w:tc>
        <w:tc>
          <w:tcPr>
            <w:tcW w:w="492" w:type="pct"/>
            <w:shd w:val="clear" w:color="000000" w:fill="FFFFFF"/>
            <w:vAlign w:val="center"/>
            <w:hideMark/>
          </w:tcPr>
          <w:p w14:paraId="29A71A00"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24,1</w:t>
            </w:r>
          </w:p>
        </w:tc>
        <w:tc>
          <w:tcPr>
            <w:tcW w:w="491" w:type="pct"/>
            <w:shd w:val="clear" w:color="000000" w:fill="FFFFFF"/>
            <w:vAlign w:val="center"/>
            <w:hideMark/>
          </w:tcPr>
          <w:p w14:paraId="0A9D287A"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22,9</w:t>
            </w:r>
          </w:p>
        </w:tc>
        <w:tc>
          <w:tcPr>
            <w:tcW w:w="491" w:type="pct"/>
            <w:shd w:val="clear" w:color="000000" w:fill="FFFFFF"/>
            <w:vAlign w:val="center"/>
            <w:hideMark/>
          </w:tcPr>
          <w:p w14:paraId="4A2685D2"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19,6</w:t>
            </w:r>
          </w:p>
        </w:tc>
        <w:tc>
          <w:tcPr>
            <w:tcW w:w="490" w:type="pct"/>
            <w:shd w:val="clear" w:color="000000" w:fill="FFFFFF"/>
            <w:vAlign w:val="center"/>
            <w:hideMark/>
          </w:tcPr>
          <w:p w14:paraId="42E8974A"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19,5</w:t>
            </w:r>
          </w:p>
        </w:tc>
        <w:tc>
          <w:tcPr>
            <w:tcW w:w="491" w:type="pct"/>
            <w:shd w:val="clear" w:color="000000" w:fill="FFFFFF"/>
            <w:vAlign w:val="center"/>
            <w:hideMark/>
          </w:tcPr>
          <w:p w14:paraId="7000CF17"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20,1</w:t>
            </w:r>
          </w:p>
        </w:tc>
        <w:tc>
          <w:tcPr>
            <w:tcW w:w="490" w:type="pct"/>
            <w:shd w:val="clear" w:color="000000" w:fill="FFFFFF"/>
            <w:vAlign w:val="center"/>
            <w:hideMark/>
          </w:tcPr>
          <w:p w14:paraId="6A15A40F"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20,8</w:t>
            </w:r>
          </w:p>
        </w:tc>
        <w:tc>
          <w:tcPr>
            <w:tcW w:w="483" w:type="pct"/>
            <w:shd w:val="clear" w:color="000000" w:fill="FFFFFF"/>
            <w:vAlign w:val="center"/>
            <w:hideMark/>
          </w:tcPr>
          <w:p w14:paraId="5B43B348"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21,5</w:t>
            </w:r>
          </w:p>
        </w:tc>
      </w:tr>
      <w:tr w:rsidR="00C66FE9" w:rsidRPr="00C001AC" w14:paraId="12DE6CAF" w14:textId="77777777" w:rsidTr="00C66FE9">
        <w:trPr>
          <w:trHeight w:val="290"/>
        </w:trPr>
        <w:tc>
          <w:tcPr>
            <w:tcW w:w="1573" w:type="pct"/>
            <w:shd w:val="clear" w:color="000000" w:fill="FFFFFF"/>
            <w:vAlign w:val="center"/>
            <w:hideMark/>
          </w:tcPr>
          <w:p w14:paraId="271E553B"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Taxes</w:t>
            </w:r>
          </w:p>
        </w:tc>
        <w:tc>
          <w:tcPr>
            <w:tcW w:w="492" w:type="pct"/>
            <w:shd w:val="clear" w:color="000000" w:fill="FFFFFF"/>
            <w:vAlign w:val="center"/>
            <w:hideMark/>
          </w:tcPr>
          <w:p w14:paraId="51B87E4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15,6</w:t>
            </w:r>
          </w:p>
        </w:tc>
        <w:tc>
          <w:tcPr>
            <w:tcW w:w="491" w:type="pct"/>
            <w:shd w:val="clear" w:color="000000" w:fill="FFFFFF"/>
            <w:vAlign w:val="center"/>
            <w:hideMark/>
          </w:tcPr>
          <w:p w14:paraId="2DD0DBA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15,8</w:t>
            </w:r>
          </w:p>
        </w:tc>
        <w:tc>
          <w:tcPr>
            <w:tcW w:w="491" w:type="pct"/>
            <w:shd w:val="clear" w:color="000000" w:fill="FFFFFF"/>
            <w:vAlign w:val="center"/>
            <w:hideMark/>
          </w:tcPr>
          <w:p w14:paraId="4086A30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15,1</w:t>
            </w:r>
          </w:p>
        </w:tc>
        <w:tc>
          <w:tcPr>
            <w:tcW w:w="490" w:type="pct"/>
            <w:shd w:val="clear" w:color="000000" w:fill="FFFFFF"/>
            <w:vAlign w:val="center"/>
            <w:hideMark/>
          </w:tcPr>
          <w:p w14:paraId="082920D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15,0</w:t>
            </w:r>
          </w:p>
        </w:tc>
        <w:tc>
          <w:tcPr>
            <w:tcW w:w="491" w:type="pct"/>
            <w:shd w:val="clear" w:color="000000" w:fill="FFFFFF"/>
            <w:vAlign w:val="center"/>
            <w:hideMark/>
          </w:tcPr>
          <w:p w14:paraId="2CDD445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15,5</w:t>
            </w:r>
          </w:p>
        </w:tc>
        <w:tc>
          <w:tcPr>
            <w:tcW w:w="490" w:type="pct"/>
            <w:shd w:val="clear" w:color="000000" w:fill="FFFFFF"/>
            <w:vAlign w:val="center"/>
            <w:hideMark/>
          </w:tcPr>
          <w:p w14:paraId="3F92FFC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16,2</w:t>
            </w:r>
          </w:p>
        </w:tc>
        <w:tc>
          <w:tcPr>
            <w:tcW w:w="483" w:type="pct"/>
            <w:shd w:val="clear" w:color="000000" w:fill="FFFFFF"/>
            <w:vAlign w:val="center"/>
            <w:hideMark/>
          </w:tcPr>
          <w:p w14:paraId="056BC7D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16,8</w:t>
            </w:r>
          </w:p>
        </w:tc>
      </w:tr>
      <w:tr w:rsidR="00C66FE9" w:rsidRPr="00C001AC" w14:paraId="6729E2D4" w14:textId="77777777" w:rsidTr="00C66FE9">
        <w:trPr>
          <w:trHeight w:val="290"/>
        </w:trPr>
        <w:tc>
          <w:tcPr>
            <w:tcW w:w="1573" w:type="pct"/>
            <w:shd w:val="clear" w:color="000000" w:fill="FFFFFF"/>
            <w:vAlign w:val="center"/>
            <w:hideMark/>
          </w:tcPr>
          <w:p w14:paraId="79FC266D"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Non-tax</w:t>
            </w:r>
          </w:p>
        </w:tc>
        <w:tc>
          <w:tcPr>
            <w:tcW w:w="492" w:type="pct"/>
            <w:shd w:val="clear" w:color="000000" w:fill="FFFFFF"/>
            <w:vAlign w:val="center"/>
            <w:hideMark/>
          </w:tcPr>
          <w:p w14:paraId="595B0DEB"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2,9</w:t>
            </w:r>
          </w:p>
        </w:tc>
        <w:tc>
          <w:tcPr>
            <w:tcW w:w="491" w:type="pct"/>
            <w:shd w:val="clear" w:color="000000" w:fill="FFFFFF"/>
            <w:vAlign w:val="center"/>
            <w:hideMark/>
          </w:tcPr>
          <w:p w14:paraId="1531E6FC"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2,5</w:t>
            </w:r>
          </w:p>
        </w:tc>
        <w:tc>
          <w:tcPr>
            <w:tcW w:w="491" w:type="pct"/>
            <w:shd w:val="clear" w:color="000000" w:fill="FFFFFF"/>
            <w:vAlign w:val="center"/>
            <w:hideMark/>
          </w:tcPr>
          <w:p w14:paraId="367719A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2,6</w:t>
            </w:r>
          </w:p>
        </w:tc>
        <w:tc>
          <w:tcPr>
            <w:tcW w:w="490" w:type="pct"/>
            <w:shd w:val="clear" w:color="000000" w:fill="FFFFFF"/>
            <w:vAlign w:val="center"/>
            <w:hideMark/>
          </w:tcPr>
          <w:p w14:paraId="121F054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2,4</w:t>
            </w:r>
          </w:p>
        </w:tc>
        <w:tc>
          <w:tcPr>
            <w:tcW w:w="491" w:type="pct"/>
            <w:shd w:val="clear" w:color="000000" w:fill="FFFFFF"/>
            <w:vAlign w:val="center"/>
            <w:hideMark/>
          </w:tcPr>
          <w:p w14:paraId="4B1AAC8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2,5</w:t>
            </w:r>
          </w:p>
        </w:tc>
        <w:tc>
          <w:tcPr>
            <w:tcW w:w="490" w:type="pct"/>
            <w:shd w:val="clear" w:color="000000" w:fill="FFFFFF"/>
            <w:vAlign w:val="center"/>
            <w:hideMark/>
          </w:tcPr>
          <w:p w14:paraId="59592C7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2,5</w:t>
            </w:r>
          </w:p>
        </w:tc>
        <w:tc>
          <w:tcPr>
            <w:tcW w:w="483" w:type="pct"/>
            <w:shd w:val="clear" w:color="000000" w:fill="FFFFFF"/>
            <w:vAlign w:val="center"/>
            <w:hideMark/>
          </w:tcPr>
          <w:p w14:paraId="4D0C2D1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2,6</w:t>
            </w:r>
          </w:p>
        </w:tc>
      </w:tr>
      <w:tr w:rsidR="00C66FE9" w:rsidRPr="00C001AC" w14:paraId="277EC4F4" w14:textId="77777777" w:rsidTr="00C66FE9">
        <w:trPr>
          <w:trHeight w:val="290"/>
        </w:trPr>
        <w:tc>
          <w:tcPr>
            <w:tcW w:w="1573" w:type="pct"/>
            <w:shd w:val="clear" w:color="000000" w:fill="FFFFFF"/>
            <w:vAlign w:val="center"/>
            <w:hideMark/>
          </w:tcPr>
          <w:p w14:paraId="4CEFD04F"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Grants</w:t>
            </w:r>
          </w:p>
        </w:tc>
        <w:tc>
          <w:tcPr>
            <w:tcW w:w="492" w:type="pct"/>
            <w:shd w:val="clear" w:color="000000" w:fill="FFFFFF"/>
            <w:vAlign w:val="center"/>
            <w:hideMark/>
          </w:tcPr>
          <w:p w14:paraId="271732C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5,6</w:t>
            </w:r>
          </w:p>
        </w:tc>
        <w:tc>
          <w:tcPr>
            <w:tcW w:w="491" w:type="pct"/>
            <w:shd w:val="clear" w:color="000000" w:fill="FFFFFF"/>
            <w:vAlign w:val="center"/>
            <w:hideMark/>
          </w:tcPr>
          <w:p w14:paraId="4002D79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4,6</w:t>
            </w:r>
          </w:p>
        </w:tc>
        <w:tc>
          <w:tcPr>
            <w:tcW w:w="491" w:type="pct"/>
            <w:shd w:val="clear" w:color="000000" w:fill="FFFFFF"/>
            <w:vAlign w:val="center"/>
            <w:hideMark/>
          </w:tcPr>
          <w:p w14:paraId="4815FF5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1,8</w:t>
            </w:r>
          </w:p>
        </w:tc>
        <w:tc>
          <w:tcPr>
            <w:tcW w:w="490" w:type="pct"/>
            <w:shd w:val="clear" w:color="000000" w:fill="FFFFFF"/>
            <w:vAlign w:val="center"/>
            <w:hideMark/>
          </w:tcPr>
          <w:p w14:paraId="0EF1A8F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2,0</w:t>
            </w:r>
          </w:p>
        </w:tc>
        <w:tc>
          <w:tcPr>
            <w:tcW w:w="491" w:type="pct"/>
            <w:shd w:val="clear" w:color="000000" w:fill="FFFFFF"/>
            <w:vAlign w:val="center"/>
            <w:hideMark/>
          </w:tcPr>
          <w:p w14:paraId="67ECB97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2,1</w:t>
            </w:r>
          </w:p>
        </w:tc>
        <w:tc>
          <w:tcPr>
            <w:tcW w:w="490" w:type="pct"/>
            <w:shd w:val="clear" w:color="000000" w:fill="FFFFFF"/>
            <w:vAlign w:val="center"/>
            <w:hideMark/>
          </w:tcPr>
          <w:p w14:paraId="7F93F5F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2,1</w:t>
            </w:r>
          </w:p>
        </w:tc>
        <w:tc>
          <w:tcPr>
            <w:tcW w:w="483" w:type="pct"/>
            <w:shd w:val="clear" w:color="000000" w:fill="FFFFFF"/>
            <w:vAlign w:val="center"/>
            <w:hideMark/>
          </w:tcPr>
          <w:p w14:paraId="6A50594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2,1</w:t>
            </w:r>
          </w:p>
        </w:tc>
      </w:tr>
      <w:tr w:rsidR="00C66FE9" w:rsidRPr="00C001AC" w14:paraId="42C17741" w14:textId="77777777" w:rsidTr="00C66FE9">
        <w:trPr>
          <w:trHeight w:val="290"/>
        </w:trPr>
        <w:tc>
          <w:tcPr>
            <w:tcW w:w="1573" w:type="pct"/>
            <w:shd w:val="clear" w:color="000000" w:fill="FFFFFF"/>
            <w:vAlign w:val="center"/>
            <w:hideMark/>
          </w:tcPr>
          <w:p w14:paraId="45568049" w14:textId="77777777" w:rsidR="007E2FD4" w:rsidRPr="00C001AC" w:rsidRDefault="007E2FD4" w:rsidP="007E2FD4">
            <w:pPr>
              <w:spacing w:before="0"/>
              <w:ind w:left="0"/>
              <w:jc w:val="left"/>
              <w:rPr>
                <w:rFonts w:ascii="Times New Roman" w:hAnsi="Times New Roman"/>
                <w:b/>
                <w:color w:val="000000"/>
                <w:sz w:val="20"/>
                <w:lang w:eastAsia="en-ID"/>
              </w:rPr>
            </w:pPr>
            <w:r w:rsidRPr="00C001AC">
              <w:rPr>
                <w:rFonts w:ascii="Times New Roman" w:hAnsi="Times New Roman"/>
                <w:b/>
                <w:color w:val="000000"/>
                <w:sz w:val="20"/>
                <w:lang w:eastAsia="en-ID"/>
              </w:rPr>
              <w:t xml:space="preserve">Expenditures </w:t>
            </w:r>
          </w:p>
        </w:tc>
        <w:tc>
          <w:tcPr>
            <w:tcW w:w="492" w:type="pct"/>
            <w:shd w:val="clear" w:color="000000" w:fill="FFFFFF"/>
            <w:vAlign w:val="center"/>
            <w:hideMark/>
          </w:tcPr>
          <w:p w14:paraId="22843A7A"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28,0</w:t>
            </w:r>
          </w:p>
        </w:tc>
        <w:tc>
          <w:tcPr>
            <w:tcW w:w="491" w:type="pct"/>
            <w:shd w:val="clear" w:color="000000" w:fill="FFFFFF"/>
            <w:vAlign w:val="center"/>
            <w:hideMark/>
          </w:tcPr>
          <w:p w14:paraId="45C41883"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26,6</w:t>
            </w:r>
          </w:p>
        </w:tc>
        <w:tc>
          <w:tcPr>
            <w:tcW w:w="491" w:type="pct"/>
            <w:shd w:val="clear" w:color="000000" w:fill="FFFFFF"/>
            <w:vAlign w:val="center"/>
            <w:hideMark/>
          </w:tcPr>
          <w:p w14:paraId="0EED2A4A"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25,2</w:t>
            </w:r>
          </w:p>
        </w:tc>
        <w:tc>
          <w:tcPr>
            <w:tcW w:w="490" w:type="pct"/>
            <w:shd w:val="clear" w:color="000000" w:fill="FFFFFF"/>
            <w:vAlign w:val="center"/>
            <w:hideMark/>
          </w:tcPr>
          <w:p w14:paraId="3B7C2469"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25,7</w:t>
            </w:r>
          </w:p>
        </w:tc>
        <w:tc>
          <w:tcPr>
            <w:tcW w:w="491" w:type="pct"/>
            <w:shd w:val="clear" w:color="000000" w:fill="FFFFFF"/>
            <w:vAlign w:val="center"/>
            <w:hideMark/>
          </w:tcPr>
          <w:p w14:paraId="248DAD95"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25,0</w:t>
            </w:r>
          </w:p>
        </w:tc>
        <w:tc>
          <w:tcPr>
            <w:tcW w:w="490" w:type="pct"/>
            <w:shd w:val="clear" w:color="000000" w:fill="FFFFFF"/>
            <w:vAlign w:val="center"/>
            <w:hideMark/>
          </w:tcPr>
          <w:p w14:paraId="6A48F402"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24,3</w:t>
            </w:r>
          </w:p>
        </w:tc>
        <w:tc>
          <w:tcPr>
            <w:tcW w:w="483" w:type="pct"/>
            <w:shd w:val="clear" w:color="000000" w:fill="FFFFFF"/>
            <w:vAlign w:val="center"/>
            <w:hideMark/>
          </w:tcPr>
          <w:p w14:paraId="0BC5EA7D" w14:textId="77777777" w:rsidR="007E2FD4" w:rsidRPr="00C001AC" w:rsidRDefault="007E2FD4" w:rsidP="007E2FD4">
            <w:pPr>
              <w:spacing w:before="0"/>
              <w:ind w:left="0"/>
              <w:jc w:val="center"/>
              <w:rPr>
                <w:rFonts w:ascii="Times New Roman" w:hAnsi="Times New Roman"/>
                <w:b/>
                <w:color w:val="000000"/>
                <w:sz w:val="20"/>
                <w:lang w:eastAsia="en-ID"/>
              </w:rPr>
            </w:pPr>
            <w:r w:rsidRPr="00C001AC">
              <w:rPr>
                <w:rFonts w:ascii="Times New Roman" w:hAnsi="Times New Roman"/>
                <w:b/>
                <w:color w:val="000000"/>
                <w:sz w:val="20"/>
                <w:lang w:eastAsia="en-ID"/>
              </w:rPr>
              <w:t>24,0</w:t>
            </w:r>
          </w:p>
        </w:tc>
      </w:tr>
      <w:tr w:rsidR="00C66FE9" w:rsidRPr="00C001AC" w14:paraId="1BE17021" w14:textId="77777777" w:rsidTr="00C66FE9">
        <w:trPr>
          <w:trHeight w:val="290"/>
        </w:trPr>
        <w:tc>
          <w:tcPr>
            <w:tcW w:w="1573" w:type="pct"/>
            <w:shd w:val="clear" w:color="000000" w:fill="FFFFFF"/>
            <w:vAlign w:val="center"/>
            <w:hideMark/>
          </w:tcPr>
          <w:p w14:paraId="1308DB26"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Current primary expenditure</w:t>
            </w:r>
          </w:p>
        </w:tc>
        <w:tc>
          <w:tcPr>
            <w:tcW w:w="492" w:type="pct"/>
            <w:shd w:val="clear" w:color="000000" w:fill="FFFFFF"/>
            <w:vAlign w:val="center"/>
            <w:hideMark/>
          </w:tcPr>
          <w:p w14:paraId="55CBEEC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16,6</w:t>
            </w:r>
          </w:p>
        </w:tc>
        <w:tc>
          <w:tcPr>
            <w:tcW w:w="491" w:type="pct"/>
            <w:shd w:val="clear" w:color="000000" w:fill="FFFFFF"/>
            <w:vAlign w:val="center"/>
            <w:hideMark/>
          </w:tcPr>
          <w:p w14:paraId="0B95694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15,7</w:t>
            </w:r>
          </w:p>
        </w:tc>
        <w:tc>
          <w:tcPr>
            <w:tcW w:w="491" w:type="pct"/>
            <w:shd w:val="clear" w:color="000000" w:fill="FFFFFF"/>
            <w:vAlign w:val="center"/>
            <w:hideMark/>
          </w:tcPr>
          <w:p w14:paraId="7DF44F6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15,2</w:t>
            </w:r>
          </w:p>
        </w:tc>
        <w:tc>
          <w:tcPr>
            <w:tcW w:w="490" w:type="pct"/>
            <w:shd w:val="clear" w:color="000000" w:fill="FFFFFF"/>
            <w:vAlign w:val="center"/>
            <w:hideMark/>
          </w:tcPr>
          <w:p w14:paraId="2096623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14,3</w:t>
            </w:r>
          </w:p>
        </w:tc>
        <w:tc>
          <w:tcPr>
            <w:tcW w:w="491" w:type="pct"/>
            <w:shd w:val="clear" w:color="000000" w:fill="FFFFFF"/>
            <w:vAlign w:val="center"/>
            <w:hideMark/>
          </w:tcPr>
          <w:p w14:paraId="44424B9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14,0</w:t>
            </w:r>
          </w:p>
        </w:tc>
        <w:tc>
          <w:tcPr>
            <w:tcW w:w="490" w:type="pct"/>
            <w:shd w:val="clear" w:color="000000" w:fill="FFFFFF"/>
            <w:vAlign w:val="center"/>
            <w:hideMark/>
          </w:tcPr>
          <w:p w14:paraId="3E5BC75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13,5</w:t>
            </w:r>
          </w:p>
        </w:tc>
        <w:tc>
          <w:tcPr>
            <w:tcW w:w="483" w:type="pct"/>
            <w:shd w:val="clear" w:color="000000" w:fill="FFFFFF"/>
            <w:vAlign w:val="center"/>
            <w:hideMark/>
          </w:tcPr>
          <w:p w14:paraId="61FC01E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13,2</w:t>
            </w:r>
          </w:p>
        </w:tc>
      </w:tr>
      <w:tr w:rsidR="00C66FE9" w:rsidRPr="00C001AC" w14:paraId="7A7DCF59" w14:textId="77777777" w:rsidTr="00C66FE9">
        <w:trPr>
          <w:trHeight w:val="290"/>
        </w:trPr>
        <w:tc>
          <w:tcPr>
            <w:tcW w:w="1573" w:type="pct"/>
            <w:shd w:val="clear" w:color="000000" w:fill="FFFFFF"/>
            <w:vAlign w:val="center"/>
            <w:hideMark/>
          </w:tcPr>
          <w:p w14:paraId="329775D6"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Interest payment</w:t>
            </w:r>
          </w:p>
        </w:tc>
        <w:tc>
          <w:tcPr>
            <w:tcW w:w="492" w:type="pct"/>
            <w:shd w:val="clear" w:color="000000" w:fill="FFFFFF"/>
            <w:vAlign w:val="center"/>
            <w:hideMark/>
          </w:tcPr>
          <w:p w14:paraId="7790500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w:t>
            </w:r>
          </w:p>
        </w:tc>
        <w:tc>
          <w:tcPr>
            <w:tcW w:w="491" w:type="pct"/>
            <w:shd w:val="clear" w:color="000000" w:fill="FFFFFF"/>
            <w:vAlign w:val="center"/>
            <w:hideMark/>
          </w:tcPr>
          <w:p w14:paraId="765B331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1,1</w:t>
            </w:r>
          </w:p>
        </w:tc>
        <w:tc>
          <w:tcPr>
            <w:tcW w:w="491" w:type="pct"/>
            <w:shd w:val="clear" w:color="000000" w:fill="FFFFFF"/>
            <w:vAlign w:val="center"/>
            <w:hideMark/>
          </w:tcPr>
          <w:p w14:paraId="23C3369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w:t>
            </w:r>
          </w:p>
        </w:tc>
        <w:tc>
          <w:tcPr>
            <w:tcW w:w="490" w:type="pct"/>
            <w:shd w:val="clear" w:color="000000" w:fill="FFFFFF"/>
            <w:vAlign w:val="center"/>
            <w:hideMark/>
          </w:tcPr>
          <w:p w14:paraId="1312453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w:t>
            </w:r>
          </w:p>
        </w:tc>
        <w:tc>
          <w:tcPr>
            <w:tcW w:w="491" w:type="pct"/>
            <w:shd w:val="clear" w:color="000000" w:fill="FFFFFF"/>
            <w:vAlign w:val="center"/>
            <w:hideMark/>
          </w:tcPr>
          <w:p w14:paraId="3EF5A98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w:t>
            </w:r>
          </w:p>
        </w:tc>
        <w:tc>
          <w:tcPr>
            <w:tcW w:w="490" w:type="pct"/>
            <w:shd w:val="clear" w:color="000000" w:fill="FFFFFF"/>
            <w:vAlign w:val="center"/>
            <w:hideMark/>
          </w:tcPr>
          <w:p w14:paraId="71750DA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w:t>
            </w:r>
          </w:p>
        </w:tc>
        <w:tc>
          <w:tcPr>
            <w:tcW w:w="483" w:type="pct"/>
            <w:shd w:val="clear" w:color="000000" w:fill="FFFFFF"/>
            <w:vAlign w:val="center"/>
            <w:hideMark/>
          </w:tcPr>
          <w:p w14:paraId="329ADF8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w:t>
            </w:r>
          </w:p>
        </w:tc>
      </w:tr>
      <w:tr w:rsidR="00C66FE9" w:rsidRPr="00C001AC" w14:paraId="1D165BAE" w14:textId="77777777" w:rsidTr="00C66FE9">
        <w:trPr>
          <w:trHeight w:val="290"/>
        </w:trPr>
        <w:tc>
          <w:tcPr>
            <w:tcW w:w="1573" w:type="pct"/>
            <w:shd w:val="clear" w:color="000000" w:fill="FFFFFF"/>
            <w:vAlign w:val="center"/>
            <w:hideMark/>
          </w:tcPr>
          <w:p w14:paraId="478887F6"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Capital expenditure </w:t>
            </w:r>
          </w:p>
        </w:tc>
        <w:tc>
          <w:tcPr>
            <w:tcW w:w="492" w:type="pct"/>
            <w:shd w:val="clear" w:color="000000" w:fill="FFFFFF"/>
            <w:vAlign w:val="center"/>
            <w:hideMark/>
          </w:tcPr>
          <w:p w14:paraId="5BD4C14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10,4</w:t>
            </w:r>
          </w:p>
        </w:tc>
        <w:tc>
          <w:tcPr>
            <w:tcW w:w="491" w:type="pct"/>
            <w:shd w:val="clear" w:color="000000" w:fill="FFFFFF"/>
            <w:vAlign w:val="center"/>
            <w:hideMark/>
          </w:tcPr>
          <w:p w14:paraId="0C08BE7B"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9,8</w:t>
            </w:r>
          </w:p>
        </w:tc>
        <w:tc>
          <w:tcPr>
            <w:tcW w:w="491" w:type="pct"/>
            <w:shd w:val="clear" w:color="000000" w:fill="FFFFFF"/>
            <w:vAlign w:val="center"/>
            <w:hideMark/>
          </w:tcPr>
          <w:p w14:paraId="468032C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8,8</w:t>
            </w:r>
          </w:p>
        </w:tc>
        <w:tc>
          <w:tcPr>
            <w:tcW w:w="490" w:type="pct"/>
            <w:shd w:val="clear" w:color="000000" w:fill="FFFFFF"/>
            <w:vAlign w:val="center"/>
            <w:hideMark/>
          </w:tcPr>
          <w:p w14:paraId="3F29AC3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10,1</w:t>
            </w:r>
          </w:p>
        </w:tc>
        <w:tc>
          <w:tcPr>
            <w:tcW w:w="491" w:type="pct"/>
            <w:shd w:val="clear" w:color="000000" w:fill="FFFFFF"/>
            <w:vAlign w:val="center"/>
            <w:hideMark/>
          </w:tcPr>
          <w:p w14:paraId="3CC0168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9,7</w:t>
            </w:r>
          </w:p>
        </w:tc>
        <w:tc>
          <w:tcPr>
            <w:tcW w:w="490" w:type="pct"/>
            <w:shd w:val="clear" w:color="000000" w:fill="FFFFFF"/>
            <w:vAlign w:val="center"/>
            <w:hideMark/>
          </w:tcPr>
          <w:p w14:paraId="302D893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9,3</w:t>
            </w:r>
          </w:p>
        </w:tc>
        <w:tc>
          <w:tcPr>
            <w:tcW w:w="483" w:type="pct"/>
            <w:shd w:val="clear" w:color="000000" w:fill="FFFFFF"/>
            <w:vAlign w:val="center"/>
            <w:hideMark/>
          </w:tcPr>
          <w:p w14:paraId="5DF50D9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9,2</w:t>
            </w:r>
          </w:p>
        </w:tc>
      </w:tr>
      <w:tr w:rsidR="00C66FE9" w:rsidRPr="00C001AC" w14:paraId="338A4746" w14:textId="77777777" w:rsidTr="00C66FE9">
        <w:trPr>
          <w:trHeight w:val="290"/>
        </w:trPr>
        <w:tc>
          <w:tcPr>
            <w:tcW w:w="1573" w:type="pct"/>
            <w:shd w:val="clear" w:color="000000" w:fill="FFFFFF"/>
            <w:vAlign w:val="center"/>
            <w:hideMark/>
          </w:tcPr>
          <w:p w14:paraId="7DC7DA2E"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General Government Balance </w:t>
            </w:r>
          </w:p>
        </w:tc>
        <w:tc>
          <w:tcPr>
            <w:tcW w:w="492" w:type="pct"/>
            <w:shd w:val="clear" w:color="000000" w:fill="FFFFFF"/>
            <w:vAlign w:val="center"/>
            <w:hideMark/>
          </w:tcPr>
          <w:p w14:paraId="770A0AD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-3,8</w:t>
            </w:r>
          </w:p>
        </w:tc>
        <w:tc>
          <w:tcPr>
            <w:tcW w:w="491" w:type="pct"/>
            <w:shd w:val="clear" w:color="000000" w:fill="FFFFFF"/>
            <w:vAlign w:val="center"/>
            <w:hideMark/>
          </w:tcPr>
          <w:p w14:paraId="574F15A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-3,7</w:t>
            </w:r>
          </w:p>
        </w:tc>
        <w:tc>
          <w:tcPr>
            <w:tcW w:w="491" w:type="pct"/>
            <w:shd w:val="clear" w:color="000000" w:fill="FFFFFF"/>
            <w:vAlign w:val="center"/>
            <w:hideMark/>
          </w:tcPr>
          <w:p w14:paraId="0FFE740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-5,7</w:t>
            </w:r>
          </w:p>
        </w:tc>
        <w:tc>
          <w:tcPr>
            <w:tcW w:w="490" w:type="pct"/>
            <w:shd w:val="clear" w:color="000000" w:fill="FFFFFF"/>
            <w:vAlign w:val="center"/>
            <w:hideMark/>
          </w:tcPr>
          <w:p w14:paraId="2FB5C12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-6,2</w:t>
            </w:r>
          </w:p>
        </w:tc>
        <w:tc>
          <w:tcPr>
            <w:tcW w:w="491" w:type="pct"/>
            <w:shd w:val="clear" w:color="000000" w:fill="FFFFFF"/>
            <w:vAlign w:val="center"/>
            <w:hideMark/>
          </w:tcPr>
          <w:p w14:paraId="6AC0C19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-4,8</w:t>
            </w:r>
          </w:p>
        </w:tc>
        <w:tc>
          <w:tcPr>
            <w:tcW w:w="490" w:type="pct"/>
            <w:shd w:val="clear" w:color="000000" w:fill="FFFFFF"/>
            <w:vAlign w:val="center"/>
            <w:hideMark/>
          </w:tcPr>
          <w:p w14:paraId="7FD0EEA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-3,5</w:t>
            </w:r>
          </w:p>
        </w:tc>
        <w:tc>
          <w:tcPr>
            <w:tcW w:w="483" w:type="pct"/>
            <w:shd w:val="clear" w:color="000000" w:fill="FFFFFF"/>
            <w:vAlign w:val="center"/>
            <w:hideMark/>
          </w:tcPr>
          <w:p w14:paraId="0D5FE96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-2,5</w:t>
            </w:r>
          </w:p>
        </w:tc>
      </w:tr>
      <w:tr w:rsidR="00C66FE9" w:rsidRPr="00C001AC" w14:paraId="4645BFB1" w14:textId="77777777" w:rsidTr="00C66FE9">
        <w:trPr>
          <w:trHeight w:val="290"/>
        </w:trPr>
        <w:tc>
          <w:tcPr>
            <w:tcW w:w="1573" w:type="pct"/>
            <w:shd w:val="clear" w:color="000000" w:fill="FFFFFF"/>
            <w:vAlign w:val="center"/>
            <w:hideMark/>
          </w:tcPr>
          <w:p w14:paraId="5ADD1202"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General Government Total Debt </w:t>
            </w:r>
          </w:p>
        </w:tc>
        <w:tc>
          <w:tcPr>
            <w:tcW w:w="492" w:type="pct"/>
            <w:shd w:val="clear" w:color="000000" w:fill="FFFFFF"/>
            <w:vAlign w:val="center"/>
            <w:hideMark/>
          </w:tcPr>
          <w:p w14:paraId="6E08BEC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64,9</w:t>
            </w:r>
          </w:p>
        </w:tc>
        <w:tc>
          <w:tcPr>
            <w:tcW w:w="491" w:type="pct"/>
            <w:shd w:val="clear" w:color="000000" w:fill="FFFFFF"/>
            <w:vAlign w:val="center"/>
            <w:hideMark/>
          </w:tcPr>
          <w:p w14:paraId="608CA3C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65,8</w:t>
            </w:r>
          </w:p>
        </w:tc>
        <w:tc>
          <w:tcPr>
            <w:tcW w:w="491" w:type="pct"/>
            <w:shd w:val="clear" w:color="000000" w:fill="FFFFFF"/>
            <w:vAlign w:val="center"/>
            <w:hideMark/>
          </w:tcPr>
          <w:p w14:paraId="0E73D2F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68,0</w:t>
            </w:r>
          </w:p>
        </w:tc>
        <w:tc>
          <w:tcPr>
            <w:tcW w:w="490" w:type="pct"/>
            <w:shd w:val="clear" w:color="000000" w:fill="FFFFFF"/>
            <w:vAlign w:val="center"/>
            <w:hideMark/>
          </w:tcPr>
          <w:p w14:paraId="0C707CF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70,5</w:t>
            </w:r>
          </w:p>
        </w:tc>
        <w:tc>
          <w:tcPr>
            <w:tcW w:w="491" w:type="pct"/>
            <w:shd w:val="clear" w:color="000000" w:fill="FFFFFF"/>
            <w:vAlign w:val="center"/>
            <w:hideMark/>
          </w:tcPr>
          <w:p w14:paraId="5276A42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70,4</w:t>
            </w:r>
          </w:p>
        </w:tc>
        <w:tc>
          <w:tcPr>
            <w:tcW w:w="490" w:type="pct"/>
            <w:shd w:val="clear" w:color="000000" w:fill="FFFFFF"/>
            <w:vAlign w:val="center"/>
            <w:hideMark/>
          </w:tcPr>
          <w:p w14:paraId="2C858F7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68,4</w:t>
            </w:r>
          </w:p>
        </w:tc>
        <w:tc>
          <w:tcPr>
            <w:tcW w:w="483" w:type="pct"/>
            <w:shd w:val="clear" w:color="000000" w:fill="FFFFFF"/>
            <w:vAlign w:val="center"/>
            <w:hideMark/>
          </w:tcPr>
          <w:p w14:paraId="1ADDB3C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65,0</w:t>
            </w:r>
          </w:p>
        </w:tc>
      </w:tr>
      <w:tr w:rsidR="00C66FE9" w:rsidRPr="00C001AC" w14:paraId="5301687A" w14:textId="77777777" w:rsidTr="00C66FE9">
        <w:trPr>
          <w:trHeight w:val="290"/>
        </w:trPr>
        <w:tc>
          <w:tcPr>
            <w:tcW w:w="1573" w:type="pct"/>
            <w:shd w:val="clear" w:color="000000" w:fill="FFFFFF"/>
            <w:vAlign w:val="center"/>
            <w:hideMark/>
          </w:tcPr>
          <w:p w14:paraId="7CD7B533" w14:textId="2D4688A8" w:rsidR="007E2FD4" w:rsidRPr="00C001AC" w:rsidRDefault="007E2FD4" w:rsidP="00443332">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B</w:t>
            </w:r>
            <w:r w:rsidR="00443332">
              <w:rPr>
                <w:rFonts w:ascii="Times New Roman" w:hAnsi="Times New Roman"/>
                <w:b/>
                <w:bCs/>
                <w:color w:val="000000"/>
                <w:sz w:val="20"/>
                <w:lang w:eastAsia="en-ID"/>
              </w:rPr>
              <w:t xml:space="preserve">alance </w:t>
            </w:r>
            <w:r w:rsidRPr="00C001AC">
              <w:rPr>
                <w:rFonts w:ascii="Times New Roman" w:hAnsi="Times New Roman"/>
                <w:b/>
                <w:bCs/>
                <w:color w:val="000000"/>
                <w:sz w:val="20"/>
                <w:lang w:eastAsia="en-ID"/>
              </w:rPr>
              <w:t>o</w:t>
            </w:r>
            <w:r w:rsidR="00443332">
              <w:rPr>
                <w:rFonts w:ascii="Times New Roman" w:hAnsi="Times New Roman"/>
                <w:b/>
                <w:bCs/>
                <w:color w:val="000000"/>
                <w:sz w:val="20"/>
                <w:lang w:eastAsia="en-ID"/>
              </w:rPr>
              <w:t xml:space="preserve">f </w:t>
            </w:r>
            <w:r w:rsidRPr="00C001AC">
              <w:rPr>
                <w:rFonts w:ascii="Times New Roman" w:hAnsi="Times New Roman"/>
                <w:b/>
                <w:bCs/>
                <w:color w:val="000000"/>
                <w:sz w:val="20"/>
                <w:lang w:eastAsia="en-ID"/>
              </w:rPr>
              <w:t>P</w:t>
            </w:r>
            <w:r w:rsidR="00443332">
              <w:rPr>
                <w:rFonts w:ascii="Times New Roman" w:hAnsi="Times New Roman"/>
                <w:b/>
                <w:bCs/>
                <w:color w:val="000000"/>
                <w:sz w:val="20"/>
                <w:lang w:eastAsia="en-ID"/>
              </w:rPr>
              <w:t>ayment</w:t>
            </w:r>
            <w:r w:rsidRPr="00C001AC">
              <w:rPr>
                <w:rFonts w:ascii="Times New Roman" w:hAnsi="Times New Roman"/>
                <w:b/>
                <w:bCs/>
                <w:color w:val="000000"/>
                <w:sz w:val="20"/>
                <w:lang w:eastAsia="en-ID"/>
              </w:rPr>
              <w:t xml:space="preserve"> </w:t>
            </w:r>
          </w:p>
        </w:tc>
        <w:tc>
          <w:tcPr>
            <w:tcW w:w="3427" w:type="pct"/>
            <w:gridSpan w:val="7"/>
            <w:shd w:val="clear" w:color="000000" w:fill="FFFFFF"/>
            <w:noWrap/>
            <w:vAlign w:val="center"/>
            <w:hideMark/>
          </w:tcPr>
          <w:p w14:paraId="7A4F65CD" w14:textId="77777777" w:rsidR="007E2FD4" w:rsidRPr="00C001AC" w:rsidRDefault="007E2FD4" w:rsidP="007E2FD4">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Percent of GDP, unless otherwise indicated</w:t>
            </w:r>
          </w:p>
        </w:tc>
      </w:tr>
      <w:tr w:rsidR="00C66FE9" w:rsidRPr="00C001AC" w14:paraId="3BC7F363" w14:textId="77777777" w:rsidTr="00C66FE9">
        <w:trPr>
          <w:trHeight w:val="290"/>
        </w:trPr>
        <w:tc>
          <w:tcPr>
            <w:tcW w:w="1573" w:type="pct"/>
            <w:shd w:val="clear" w:color="000000" w:fill="FFFFFF"/>
            <w:vAlign w:val="center"/>
            <w:hideMark/>
          </w:tcPr>
          <w:p w14:paraId="7811E5A9"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Current Account Balance </w:t>
            </w:r>
          </w:p>
        </w:tc>
        <w:tc>
          <w:tcPr>
            <w:tcW w:w="492" w:type="pct"/>
            <w:shd w:val="clear" w:color="000000" w:fill="FFFFFF"/>
            <w:vAlign w:val="center"/>
            <w:hideMark/>
          </w:tcPr>
          <w:p w14:paraId="61A4805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-17,7</w:t>
            </w:r>
          </w:p>
        </w:tc>
        <w:tc>
          <w:tcPr>
            <w:tcW w:w="491" w:type="pct"/>
            <w:shd w:val="clear" w:color="000000" w:fill="FFFFFF"/>
            <w:vAlign w:val="center"/>
            <w:hideMark/>
          </w:tcPr>
          <w:p w14:paraId="7EDBDAC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-17,3</w:t>
            </w:r>
          </w:p>
        </w:tc>
        <w:tc>
          <w:tcPr>
            <w:tcW w:w="491" w:type="pct"/>
            <w:shd w:val="clear" w:color="000000" w:fill="FFFFFF"/>
            <w:vAlign w:val="center"/>
            <w:hideMark/>
          </w:tcPr>
          <w:p w14:paraId="5364C9F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-14,2</w:t>
            </w:r>
          </w:p>
        </w:tc>
        <w:tc>
          <w:tcPr>
            <w:tcW w:w="490" w:type="pct"/>
            <w:shd w:val="clear" w:color="000000" w:fill="FFFFFF"/>
            <w:vAlign w:val="center"/>
            <w:hideMark/>
          </w:tcPr>
          <w:p w14:paraId="5CA552F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-14,0</w:t>
            </w:r>
          </w:p>
        </w:tc>
        <w:tc>
          <w:tcPr>
            <w:tcW w:w="491" w:type="pct"/>
            <w:shd w:val="clear" w:color="000000" w:fill="FFFFFF"/>
            <w:vAlign w:val="center"/>
            <w:hideMark/>
          </w:tcPr>
          <w:p w14:paraId="4D6C8AB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-17,0</w:t>
            </w:r>
          </w:p>
        </w:tc>
        <w:tc>
          <w:tcPr>
            <w:tcW w:w="490" w:type="pct"/>
            <w:shd w:val="clear" w:color="000000" w:fill="FFFFFF"/>
            <w:vAlign w:val="center"/>
            <w:hideMark/>
          </w:tcPr>
          <w:p w14:paraId="5812AF8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-16,6</w:t>
            </w:r>
          </w:p>
        </w:tc>
        <w:tc>
          <w:tcPr>
            <w:tcW w:w="483" w:type="pct"/>
            <w:shd w:val="clear" w:color="000000" w:fill="FFFFFF"/>
            <w:vAlign w:val="center"/>
            <w:hideMark/>
          </w:tcPr>
          <w:p w14:paraId="5FE3A89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-15,8</w:t>
            </w:r>
          </w:p>
        </w:tc>
      </w:tr>
      <w:tr w:rsidR="00C66FE9" w:rsidRPr="00C001AC" w14:paraId="521E6033" w14:textId="77777777" w:rsidTr="00C66FE9">
        <w:trPr>
          <w:trHeight w:val="290"/>
        </w:trPr>
        <w:tc>
          <w:tcPr>
            <w:tcW w:w="1573" w:type="pct"/>
            <w:shd w:val="clear" w:color="000000" w:fill="FFFFFF"/>
            <w:vAlign w:val="center"/>
            <w:hideMark/>
          </w:tcPr>
          <w:p w14:paraId="00D0F5D5"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Merchandise exports </w:t>
            </w:r>
          </w:p>
        </w:tc>
        <w:tc>
          <w:tcPr>
            <w:tcW w:w="492" w:type="pct"/>
            <w:shd w:val="clear" w:color="000000" w:fill="FFFFFF"/>
            <w:vAlign w:val="center"/>
            <w:hideMark/>
          </w:tcPr>
          <w:p w14:paraId="6B73B03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35</w:t>
            </w:r>
          </w:p>
        </w:tc>
        <w:tc>
          <w:tcPr>
            <w:tcW w:w="491" w:type="pct"/>
            <w:shd w:val="clear" w:color="000000" w:fill="FFFFFF"/>
            <w:vAlign w:val="center"/>
            <w:hideMark/>
          </w:tcPr>
          <w:p w14:paraId="503B0A0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31</w:t>
            </w:r>
          </w:p>
        </w:tc>
        <w:tc>
          <w:tcPr>
            <w:tcW w:w="491" w:type="pct"/>
            <w:shd w:val="clear" w:color="000000" w:fill="FFFFFF"/>
            <w:vAlign w:val="center"/>
            <w:hideMark/>
          </w:tcPr>
          <w:p w14:paraId="03FCF68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29</w:t>
            </w:r>
          </w:p>
        </w:tc>
        <w:tc>
          <w:tcPr>
            <w:tcW w:w="490" w:type="pct"/>
            <w:shd w:val="clear" w:color="000000" w:fill="FFFFFF"/>
            <w:vAlign w:val="center"/>
            <w:hideMark/>
          </w:tcPr>
          <w:p w14:paraId="1A8A6B2B"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30</w:t>
            </w:r>
          </w:p>
        </w:tc>
        <w:tc>
          <w:tcPr>
            <w:tcW w:w="491" w:type="pct"/>
            <w:shd w:val="clear" w:color="000000" w:fill="FFFFFF"/>
            <w:vAlign w:val="center"/>
            <w:hideMark/>
          </w:tcPr>
          <w:p w14:paraId="4B3E071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29</w:t>
            </w:r>
          </w:p>
        </w:tc>
        <w:tc>
          <w:tcPr>
            <w:tcW w:w="490" w:type="pct"/>
            <w:shd w:val="clear" w:color="000000" w:fill="FFFFFF"/>
            <w:vAlign w:val="center"/>
            <w:hideMark/>
          </w:tcPr>
          <w:p w14:paraId="25A2FF9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30</w:t>
            </w:r>
          </w:p>
        </w:tc>
        <w:tc>
          <w:tcPr>
            <w:tcW w:w="483" w:type="pct"/>
            <w:shd w:val="clear" w:color="000000" w:fill="FFFFFF"/>
            <w:vAlign w:val="center"/>
            <w:hideMark/>
          </w:tcPr>
          <w:p w14:paraId="7933C52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31</w:t>
            </w:r>
          </w:p>
        </w:tc>
      </w:tr>
      <w:tr w:rsidR="00C66FE9" w:rsidRPr="00C001AC" w14:paraId="54DA402D" w14:textId="77777777" w:rsidTr="00C66FE9">
        <w:trPr>
          <w:trHeight w:val="290"/>
        </w:trPr>
        <w:tc>
          <w:tcPr>
            <w:tcW w:w="1573" w:type="pct"/>
            <w:shd w:val="clear" w:color="000000" w:fill="FFFFFF"/>
            <w:vAlign w:val="center"/>
            <w:hideMark/>
          </w:tcPr>
          <w:p w14:paraId="725D5CDD"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Merchandise imports </w:t>
            </w:r>
          </w:p>
        </w:tc>
        <w:tc>
          <w:tcPr>
            <w:tcW w:w="492" w:type="pct"/>
            <w:shd w:val="clear" w:color="000000" w:fill="FFFFFF"/>
            <w:vAlign w:val="center"/>
            <w:hideMark/>
          </w:tcPr>
          <w:p w14:paraId="02C0906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54</w:t>
            </w:r>
          </w:p>
        </w:tc>
        <w:tc>
          <w:tcPr>
            <w:tcW w:w="491" w:type="pct"/>
            <w:shd w:val="clear" w:color="000000" w:fill="FFFFFF"/>
            <w:vAlign w:val="center"/>
            <w:hideMark/>
          </w:tcPr>
          <w:p w14:paraId="3070C50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49</w:t>
            </w:r>
          </w:p>
        </w:tc>
        <w:tc>
          <w:tcPr>
            <w:tcW w:w="491" w:type="pct"/>
            <w:shd w:val="clear" w:color="000000" w:fill="FFFFFF"/>
            <w:vAlign w:val="center"/>
            <w:hideMark/>
          </w:tcPr>
          <w:p w14:paraId="7142FF1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44</w:t>
            </w:r>
          </w:p>
        </w:tc>
        <w:tc>
          <w:tcPr>
            <w:tcW w:w="490" w:type="pct"/>
            <w:shd w:val="clear" w:color="000000" w:fill="FFFFFF"/>
            <w:vAlign w:val="center"/>
            <w:hideMark/>
          </w:tcPr>
          <w:p w14:paraId="324242D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43</w:t>
            </w:r>
          </w:p>
        </w:tc>
        <w:tc>
          <w:tcPr>
            <w:tcW w:w="491" w:type="pct"/>
            <w:shd w:val="clear" w:color="000000" w:fill="FFFFFF"/>
            <w:vAlign w:val="center"/>
            <w:hideMark/>
          </w:tcPr>
          <w:p w14:paraId="330B389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45</w:t>
            </w:r>
          </w:p>
        </w:tc>
        <w:tc>
          <w:tcPr>
            <w:tcW w:w="490" w:type="pct"/>
            <w:shd w:val="clear" w:color="000000" w:fill="FFFFFF"/>
            <w:vAlign w:val="center"/>
            <w:hideMark/>
          </w:tcPr>
          <w:p w14:paraId="5087478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45</w:t>
            </w:r>
          </w:p>
        </w:tc>
        <w:tc>
          <w:tcPr>
            <w:tcW w:w="483" w:type="pct"/>
            <w:shd w:val="clear" w:color="000000" w:fill="FFFFFF"/>
            <w:vAlign w:val="center"/>
            <w:hideMark/>
          </w:tcPr>
          <w:p w14:paraId="70CF1EB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44</w:t>
            </w:r>
          </w:p>
        </w:tc>
      </w:tr>
      <w:tr w:rsidR="00C66FE9" w:rsidRPr="00C001AC" w14:paraId="2FCFB14A" w14:textId="77777777" w:rsidTr="00C66FE9">
        <w:trPr>
          <w:trHeight w:val="290"/>
        </w:trPr>
        <w:tc>
          <w:tcPr>
            <w:tcW w:w="1573" w:type="pct"/>
            <w:shd w:val="clear" w:color="000000" w:fill="FFFFFF"/>
            <w:vAlign w:val="center"/>
            <w:hideMark/>
          </w:tcPr>
          <w:p w14:paraId="53DCD530"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Services, net </w:t>
            </w:r>
          </w:p>
        </w:tc>
        <w:tc>
          <w:tcPr>
            <w:tcW w:w="492" w:type="pct"/>
            <w:shd w:val="clear" w:color="000000" w:fill="FFFFFF"/>
            <w:vAlign w:val="center"/>
            <w:hideMark/>
          </w:tcPr>
          <w:p w14:paraId="59EB804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3,6</w:t>
            </w:r>
          </w:p>
        </w:tc>
        <w:tc>
          <w:tcPr>
            <w:tcW w:w="491" w:type="pct"/>
            <w:shd w:val="clear" w:color="000000" w:fill="FFFFFF"/>
            <w:vAlign w:val="center"/>
            <w:hideMark/>
          </w:tcPr>
          <w:p w14:paraId="3AA52EE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3,6</w:t>
            </w:r>
          </w:p>
        </w:tc>
        <w:tc>
          <w:tcPr>
            <w:tcW w:w="491" w:type="pct"/>
            <w:shd w:val="clear" w:color="000000" w:fill="FFFFFF"/>
            <w:vAlign w:val="center"/>
            <w:hideMark/>
          </w:tcPr>
          <w:p w14:paraId="6E066C6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3,3</w:t>
            </w:r>
          </w:p>
        </w:tc>
        <w:tc>
          <w:tcPr>
            <w:tcW w:w="490" w:type="pct"/>
            <w:shd w:val="clear" w:color="000000" w:fill="FFFFFF"/>
            <w:vAlign w:val="center"/>
            <w:hideMark/>
          </w:tcPr>
          <w:p w14:paraId="077A772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2,1</w:t>
            </w:r>
          </w:p>
        </w:tc>
        <w:tc>
          <w:tcPr>
            <w:tcW w:w="491" w:type="pct"/>
            <w:shd w:val="clear" w:color="000000" w:fill="FFFFFF"/>
            <w:vAlign w:val="center"/>
            <w:hideMark/>
          </w:tcPr>
          <w:p w14:paraId="0038E54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w:t>
            </w:r>
          </w:p>
        </w:tc>
        <w:tc>
          <w:tcPr>
            <w:tcW w:w="490" w:type="pct"/>
            <w:shd w:val="clear" w:color="000000" w:fill="FFFFFF"/>
            <w:vAlign w:val="center"/>
            <w:hideMark/>
          </w:tcPr>
          <w:p w14:paraId="21BFFEA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1,1</w:t>
            </w:r>
          </w:p>
        </w:tc>
        <w:tc>
          <w:tcPr>
            <w:tcW w:w="483" w:type="pct"/>
            <w:shd w:val="clear" w:color="000000" w:fill="FFFFFF"/>
            <w:vAlign w:val="center"/>
            <w:hideMark/>
          </w:tcPr>
          <w:p w14:paraId="5D981E4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0,9</w:t>
            </w:r>
          </w:p>
        </w:tc>
      </w:tr>
      <w:tr w:rsidR="00C66FE9" w:rsidRPr="00C001AC" w14:paraId="2B352EB0" w14:textId="77777777" w:rsidTr="00C66FE9">
        <w:trPr>
          <w:trHeight w:val="290"/>
        </w:trPr>
        <w:tc>
          <w:tcPr>
            <w:tcW w:w="1573" w:type="pct"/>
            <w:shd w:val="clear" w:color="000000" w:fill="FFFFFF"/>
            <w:vAlign w:val="center"/>
            <w:hideMark/>
          </w:tcPr>
          <w:p w14:paraId="4DD12FA3"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Foreign Direct Investment</w:t>
            </w:r>
          </w:p>
        </w:tc>
        <w:tc>
          <w:tcPr>
            <w:tcW w:w="492" w:type="pct"/>
            <w:shd w:val="clear" w:color="000000" w:fill="FFFFFF"/>
            <w:vAlign w:val="center"/>
            <w:hideMark/>
          </w:tcPr>
          <w:p w14:paraId="6D1D4C3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12,1</w:t>
            </w:r>
          </w:p>
        </w:tc>
        <w:tc>
          <w:tcPr>
            <w:tcW w:w="491" w:type="pct"/>
            <w:shd w:val="clear" w:color="000000" w:fill="FFFFFF"/>
            <w:vAlign w:val="center"/>
            <w:hideMark/>
          </w:tcPr>
          <w:p w14:paraId="1800D4B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12,4</w:t>
            </w:r>
          </w:p>
        </w:tc>
        <w:tc>
          <w:tcPr>
            <w:tcW w:w="491" w:type="pct"/>
            <w:shd w:val="clear" w:color="000000" w:fill="FFFFFF"/>
            <w:vAlign w:val="center"/>
            <w:hideMark/>
          </w:tcPr>
          <w:p w14:paraId="72EC122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8,7</w:t>
            </w:r>
          </w:p>
        </w:tc>
        <w:tc>
          <w:tcPr>
            <w:tcW w:w="490" w:type="pct"/>
            <w:shd w:val="clear" w:color="000000" w:fill="FFFFFF"/>
            <w:vAlign w:val="center"/>
            <w:hideMark/>
          </w:tcPr>
          <w:p w14:paraId="6581D83B"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10,8</w:t>
            </w:r>
          </w:p>
        </w:tc>
        <w:tc>
          <w:tcPr>
            <w:tcW w:w="491" w:type="pct"/>
            <w:shd w:val="clear" w:color="000000" w:fill="FFFFFF"/>
            <w:vAlign w:val="center"/>
            <w:hideMark/>
          </w:tcPr>
          <w:p w14:paraId="41513CC1"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12,5</w:t>
            </w:r>
          </w:p>
        </w:tc>
        <w:tc>
          <w:tcPr>
            <w:tcW w:w="490" w:type="pct"/>
            <w:shd w:val="clear" w:color="000000" w:fill="FFFFFF"/>
            <w:vAlign w:val="center"/>
            <w:hideMark/>
          </w:tcPr>
          <w:p w14:paraId="6494927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12,7</w:t>
            </w:r>
          </w:p>
        </w:tc>
        <w:tc>
          <w:tcPr>
            <w:tcW w:w="483" w:type="pct"/>
            <w:shd w:val="clear" w:color="000000" w:fill="FFFFFF"/>
            <w:vAlign w:val="center"/>
            <w:hideMark/>
          </w:tcPr>
          <w:p w14:paraId="32C42E6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10,7</w:t>
            </w:r>
          </w:p>
        </w:tc>
      </w:tr>
      <w:tr w:rsidR="00C66FE9" w:rsidRPr="00C001AC" w14:paraId="0463A0B6" w14:textId="77777777" w:rsidTr="00C66FE9">
        <w:trPr>
          <w:trHeight w:val="290"/>
        </w:trPr>
        <w:tc>
          <w:tcPr>
            <w:tcW w:w="1573" w:type="pct"/>
            <w:shd w:val="clear" w:color="000000" w:fill="FFFFFF"/>
            <w:vAlign w:val="center"/>
            <w:hideMark/>
          </w:tcPr>
          <w:p w14:paraId="324CE6C9" w14:textId="05F5722C"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Gross Reserves (in US$ million) </w:t>
            </w:r>
          </w:p>
        </w:tc>
        <w:tc>
          <w:tcPr>
            <w:tcW w:w="492" w:type="pct"/>
            <w:shd w:val="clear" w:color="000000" w:fill="FFFFFF"/>
            <w:vAlign w:val="center"/>
            <w:hideMark/>
          </w:tcPr>
          <w:p w14:paraId="4B3E867C"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816</w:t>
            </w:r>
          </w:p>
        </w:tc>
        <w:tc>
          <w:tcPr>
            <w:tcW w:w="491" w:type="pct"/>
            <w:shd w:val="clear" w:color="000000" w:fill="FFFFFF"/>
            <w:vAlign w:val="center"/>
            <w:hideMark/>
          </w:tcPr>
          <w:p w14:paraId="38BA183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987</w:t>
            </w:r>
          </w:p>
        </w:tc>
        <w:tc>
          <w:tcPr>
            <w:tcW w:w="491" w:type="pct"/>
            <w:shd w:val="clear" w:color="000000" w:fill="FFFFFF"/>
            <w:vAlign w:val="center"/>
            <w:hideMark/>
          </w:tcPr>
          <w:p w14:paraId="5640CA2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815</w:t>
            </w:r>
          </w:p>
        </w:tc>
        <w:tc>
          <w:tcPr>
            <w:tcW w:w="490" w:type="pct"/>
            <w:shd w:val="clear" w:color="000000" w:fill="FFFFFF"/>
            <w:vAlign w:val="center"/>
            <w:hideMark/>
          </w:tcPr>
          <w:p w14:paraId="0E982CE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986</w:t>
            </w:r>
          </w:p>
        </w:tc>
        <w:tc>
          <w:tcPr>
            <w:tcW w:w="491" w:type="pct"/>
            <w:shd w:val="clear" w:color="000000" w:fill="FFFFFF"/>
            <w:vAlign w:val="center"/>
            <w:hideMark/>
          </w:tcPr>
          <w:p w14:paraId="7EFEB77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1.134</w:t>
            </w:r>
          </w:p>
        </w:tc>
        <w:tc>
          <w:tcPr>
            <w:tcW w:w="490" w:type="pct"/>
            <w:shd w:val="clear" w:color="000000" w:fill="FFFFFF"/>
            <w:vAlign w:val="center"/>
            <w:hideMark/>
          </w:tcPr>
          <w:p w14:paraId="0CD1102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1.299</w:t>
            </w:r>
          </w:p>
        </w:tc>
        <w:tc>
          <w:tcPr>
            <w:tcW w:w="483" w:type="pct"/>
            <w:shd w:val="clear" w:color="000000" w:fill="FFFFFF"/>
            <w:vAlign w:val="center"/>
            <w:hideMark/>
          </w:tcPr>
          <w:p w14:paraId="4B65330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1.437</w:t>
            </w:r>
          </w:p>
        </w:tc>
      </w:tr>
      <w:tr w:rsidR="00C66FE9" w:rsidRPr="00C001AC" w14:paraId="086DFA81" w14:textId="77777777" w:rsidTr="00C66FE9">
        <w:trPr>
          <w:trHeight w:val="290"/>
        </w:trPr>
        <w:tc>
          <w:tcPr>
            <w:tcW w:w="1573" w:type="pct"/>
            <w:shd w:val="clear" w:color="000000" w:fill="FFFFFF"/>
            <w:vAlign w:val="center"/>
            <w:hideMark/>
          </w:tcPr>
          <w:p w14:paraId="7D1921AF"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In months of imports </w:t>
            </w:r>
          </w:p>
        </w:tc>
        <w:tc>
          <w:tcPr>
            <w:tcW w:w="492" w:type="pct"/>
            <w:shd w:val="clear" w:color="000000" w:fill="FFFFFF"/>
            <w:vAlign w:val="center"/>
            <w:hideMark/>
          </w:tcPr>
          <w:p w14:paraId="482E1FEC"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1,7</w:t>
            </w:r>
          </w:p>
        </w:tc>
        <w:tc>
          <w:tcPr>
            <w:tcW w:w="491" w:type="pct"/>
            <w:shd w:val="clear" w:color="000000" w:fill="FFFFFF"/>
            <w:vAlign w:val="center"/>
            <w:hideMark/>
          </w:tcPr>
          <w:p w14:paraId="2C8B899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2,2</w:t>
            </w:r>
          </w:p>
        </w:tc>
        <w:tc>
          <w:tcPr>
            <w:tcW w:w="491" w:type="pct"/>
            <w:shd w:val="clear" w:color="000000" w:fill="FFFFFF"/>
            <w:vAlign w:val="center"/>
            <w:hideMark/>
          </w:tcPr>
          <w:p w14:paraId="0029113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1,6</w:t>
            </w:r>
          </w:p>
        </w:tc>
        <w:tc>
          <w:tcPr>
            <w:tcW w:w="490" w:type="pct"/>
            <w:shd w:val="clear" w:color="000000" w:fill="FFFFFF"/>
            <w:vAlign w:val="center"/>
            <w:hideMark/>
          </w:tcPr>
          <w:p w14:paraId="42860B6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1,8</w:t>
            </w:r>
          </w:p>
        </w:tc>
        <w:tc>
          <w:tcPr>
            <w:tcW w:w="491" w:type="pct"/>
            <w:shd w:val="clear" w:color="000000" w:fill="FFFFFF"/>
            <w:vAlign w:val="center"/>
            <w:hideMark/>
          </w:tcPr>
          <w:p w14:paraId="2B71210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1,8</w:t>
            </w:r>
          </w:p>
        </w:tc>
        <w:tc>
          <w:tcPr>
            <w:tcW w:w="490" w:type="pct"/>
            <w:shd w:val="clear" w:color="000000" w:fill="FFFFFF"/>
            <w:vAlign w:val="center"/>
            <w:hideMark/>
          </w:tcPr>
          <w:p w14:paraId="2E0CD5E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1,9</w:t>
            </w:r>
          </w:p>
        </w:tc>
        <w:tc>
          <w:tcPr>
            <w:tcW w:w="483" w:type="pct"/>
            <w:shd w:val="clear" w:color="000000" w:fill="FFFFFF"/>
            <w:vAlign w:val="center"/>
            <w:hideMark/>
          </w:tcPr>
          <w:p w14:paraId="3D768F8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2,0</w:t>
            </w:r>
          </w:p>
        </w:tc>
      </w:tr>
      <w:tr w:rsidR="00C66FE9" w:rsidRPr="00C001AC" w14:paraId="30B2184D" w14:textId="77777777" w:rsidTr="00C66FE9">
        <w:trPr>
          <w:trHeight w:val="290"/>
        </w:trPr>
        <w:tc>
          <w:tcPr>
            <w:tcW w:w="1573" w:type="pct"/>
            <w:shd w:val="clear" w:color="000000" w:fill="FFFFFF"/>
            <w:vAlign w:val="center"/>
            <w:hideMark/>
          </w:tcPr>
          <w:p w14:paraId="7E2FD803"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Exchange Rate, US$ (average) </w:t>
            </w:r>
          </w:p>
        </w:tc>
        <w:tc>
          <w:tcPr>
            <w:tcW w:w="492" w:type="pct"/>
            <w:shd w:val="clear" w:color="000000" w:fill="FFFFFF"/>
            <w:vAlign w:val="center"/>
            <w:hideMark/>
          </w:tcPr>
          <w:p w14:paraId="0C7EF14A"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8.035</w:t>
            </w:r>
          </w:p>
        </w:tc>
        <w:tc>
          <w:tcPr>
            <w:tcW w:w="491" w:type="pct"/>
            <w:shd w:val="clear" w:color="000000" w:fill="FFFFFF"/>
            <w:vAlign w:val="center"/>
            <w:hideMark/>
          </w:tcPr>
          <w:p w14:paraId="7CFB63A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8.117</w:t>
            </w:r>
          </w:p>
        </w:tc>
        <w:tc>
          <w:tcPr>
            <w:tcW w:w="491" w:type="pct"/>
            <w:shd w:val="clear" w:color="000000" w:fill="FFFFFF"/>
            <w:vAlign w:val="center"/>
            <w:hideMark/>
          </w:tcPr>
          <w:p w14:paraId="532AA0E2"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8.198</w:t>
            </w:r>
          </w:p>
        </w:tc>
        <w:tc>
          <w:tcPr>
            <w:tcW w:w="490" w:type="pct"/>
            <w:shd w:val="clear" w:color="000000" w:fill="FFFFFF"/>
            <w:vAlign w:val="center"/>
            <w:hideMark/>
          </w:tcPr>
          <w:p w14:paraId="256AE65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8.280</w:t>
            </w:r>
          </w:p>
        </w:tc>
        <w:tc>
          <w:tcPr>
            <w:tcW w:w="491" w:type="pct"/>
            <w:shd w:val="clear" w:color="000000" w:fill="FFFFFF"/>
            <w:vAlign w:val="center"/>
            <w:hideMark/>
          </w:tcPr>
          <w:p w14:paraId="1112F165"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8.363</w:t>
            </w:r>
          </w:p>
        </w:tc>
        <w:tc>
          <w:tcPr>
            <w:tcW w:w="490" w:type="pct"/>
            <w:shd w:val="clear" w:color="000000" w:fill="FFFFFF"/>
            <w:vAlign w:val="center"/>
            <w:hideMark/>
          </w:tcPr>
          <w:p w14:paraId="1EC3711B"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8.447</w:t>
            </w:r>
          </w:p>
        </w:tc>
        <w:tc>
          <w:tcPr>
            <w:tcW w:w="483" w:type="pct"/>
            <w:shd w:val="clear" w:color="000000" w:fill="FFFFFF"/>
            <w:vAlign w:val="center"/>
            <w:hideMark/>
          </w:tcPr>
          <w:p w14:paraId="4AD6E23D"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8.531</w:t>
            </w:r>
          </w:p>
        </w:tc>
      </w:tr>
      <w:tr w:rsidR="00C66FE9" w:rsidRPr="00C001AC" w14:paraId="4AC33EA7" w14:textId="77777777" w:rsidTr="00C66FE9">
        <w:trPr>
          <w:trHeight w:val="290"/>
        </w:trPr>
        <w:tc>
          <w:tcPr>
            <w:tcW w:w="1573" w:type="pct"/>
            <w:shd w:val="clear" w:color="000000" w:fill="FFFFFF"/>
            <w:vAlign w:val="center"/>
            <w:hideMark/>
          </w:tcPr>
          <w:p w14:paraId="3B5B0928" w14:textId="77777777" w:rsidR="007E2FD4" w:rsidRPr="00C001AC" w:rsidRDefault="007E2FD4" w:rsidP="007E2FD4">
            <w:pPr>
              <w:spacing w:before="0"/>
              <w:ind w:left="0"/>
              <w:jc w:val="left"/>
              <w:rPr>
                <w:rFonts w:ascii="Times New Roman" w:hAnsi="Times New Roman"/>
                <w:b/>
                <w:bCs/>
                <w:color w:val="000000"/>
                <w:sz w:val="20"/>
                <w:lang w:eastAsia="en-ID"/>
              </w:rPr>
            </w:pPr>
            <w:r w:rsidRPr="00C001AC">
              <w:rPr>
                <w:rFonts w:ascii="Times New Roman" w:hAnsi="Times New Roman"/>
                <w:b/>
                <w:bCs/>
                <w:color w:val="000000"/>
                <w:sz w:val="20"/>
                <w:lang w:eastAsia="en-ID"/>
              </w:rPr>
              <w:t xml:space="preserve">Other items </w:t>
            </w:r>
          </w:p>
        </w:tc>
        <w:tc>
          <w:tcPr>
            <w:tcW w:w="492" w:type="pct"/>
            <w:shd w:val="clear" w:color="000000" w:fill="FFFFFF"/>
            <w:vAlign w:val="center"/>
            <w:hideMark/>
          </w:tcPr>
          <w:p w14:paraId="2E7B0C70"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1" w:type="pct"/>
            <w:shd w:val="clear" w:color="000000" w:fill="FFFFFF"/>
            <w:vAlign w:val="center"/>
            <w:hideMark/>
          </w:tcPr>
          <w:p w14:paraId="4198F469"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1" w:type="pct"/>
            <w:shd w:val="clear" w:color="000000" w:fill="FFFFFF"/>
            <w:vAlign w:val="center"/>
            <w:hideMark/>
          </w:tcPr>
          <w:p w14:paraId="23E5442D"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0" w:type="pct"/>
            <w:shd w:val="clear" w:color="000000" w:fill="FFFFFF"/>
            <w:vAlign w:val="center"/>
            <w:hideMark/>
          </w:tcPr>
          <w:p w14:paraId="2D7538A2"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1" w:type="pct"/>
            <w:shd w:val="clear" w:color="000000" w:fill="FFFFFF"/>
            <w:noWrap/>
            <w:vAlign w:val="center"/>
            <w:hideMark/>
          </w:tcPr>
          <w:p w14:paraId="050A60DE" w14:textId="77777777" w:rsidR="007E2FD4" w:rsidRPr="00C001AC" w:rsidRDefault="007E2FD4" w:rsidP="007E2FD4">
            <w:pPr>
              <w:spacing w:before="0"/>
              <w:ind w:left="0"/>
              <w:jc w:val="center"/>
              <w:rPr>
                <w:rFonts w:ascii="Times New Roman" w:hAnsi="Times New Roman"/>
                <w:color w:val="000000"/>
                <w:sz w:val="20"/>
                <w:lang w:eastAsia="en-ID"/>
              </w:rPr>
            </w:pPr>
          </w:p>
        </w:tc>
        <w:tc>
          <w:tcPr>
            <w:tcW w:w="490" w:type="pct"/>
            <w:shd w:val="clear" w:color="000000" w:fill="FFFFFF"/>
            <w:vAlign w:val="center"/>
            <w:hideMark/>
          </w:tcPr>
          <w:p w14:paraId="7A32D918" w14:textId="77777777" w:rsidR="007E2FD4" w:rsidRPr="00C001AC" w:rsidRDefault="007E2FD4" w:rsidP="007E2FD4">
            <w:pPr>
              <w:spacing w:before="0"/>
              <w:ind w:left="0"/>
              <w:jc w:val="center"/>
              <w:rPr>
                <w:rFonts w:ascii="Times New Roman" w:hAnsi="Times New Roman"/>
                <w:color w:val="000000"/>
                <w:sz w:val="20"/>
                <w:lang w:eastAsia="en-ID"/>
              </w:rPr>
            </w:pPr>
          </w:p>
        </w:tc>
        <w:tc>
          <w:tcPr>
            <w:tcW w:w="483" w:type="pct"/>
            <w:shd w:val="clear" w:color="000000" w:fill="FFFFFF"/>
            <w:vAlign w:val="center"/>
            <w:hideMark/>
          </w:tcPr>
          <w:p w14:paraId="0BBF739E" w14:textId="77777777" w:rsidR="007E2FD4" w:rsidRPr="00C001AC" w:rsidRDefault="007E2FD4" w:rsidP="007E2FD4">
            <w:pPr>
              <w:spacing w:before="0"/>
              <w:ind w:left="0"/>
              <w:jc w:val="center"/>
              <w:rPr>
                <w:rFonts w:ascii="Times New Roman" w:hAnsi="Times New Roman"/>
                <w:color w:val="000000"/>
                <w:sz w:val="20"/>
                <w:lang w:eastAsia="en-ID"/>
              </w:rPr>
            </w:pPr>
          </w:p>
        </w:tc>
      </w:tr>
      <w:tr w:rsidR="00C66FE9" w:rsidRPr="00C001AC" w14:paraId="29513DFC" w14:textId="77777777" w:rsidTr="00C66FE9">
        <w:trPr>
          <w:trHeight w:val="290"/>
        </w:trPr>
        <w:tc>
          <w:tcPr>
            <w:tcW w:w="1573" w:type="pct"/>
            <w:shd w:val="clear" w:color="000000" w:fill="FFFFFF"/>
            <w:vAlign w:val="center"/>
            <w:hideMark/>
          </w:tcPr>
          <w:p w14:paraId="3F4766BB" w14:textId="3429ACFF"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GDP (nominal, billion </w:t>
            </w:r>
            <w:r w:rsidR="006C28B8">
              <w:rPr>
                <w:rFonts w:ascii="Times New Roman" w:hAnsi="Times New Roman"/>
                <w:color w:val="000000"/>
                <w:sz w:val="20"/>
                <w:lang w:eastAsia="en-ID"/>
              </w:rPr>
              <w:t>KIP</w:t>
            </w:r>
            <w:r w:rsidRPr="00C001AC">
              <w:rPr>
                <w:rFonts w:ascii="Times New Roman" w:hAnsi="Times New Roman"/>
                <w:color w:val="000000"/>
                <w:sz w:val="20"/>
                <w:lang w:eastAsia="en-ID"/>
              </w:rPr>
              <w:t xml:space="preserve">) </w:t>
            </w:r>
          </w:p>
        </w:tc>
        <w:tc>
          <w:tcPr>
            <w:tcW w:w="492" w:type="pct"/>
            <w:shd w:val="clear" w:color="000000" w:fill="FFFFFF"/>
            <w:vAlign w:val="center"/>
            <w:hideMark/>
          </w:tcPr>
          <w:p w14:paraId="313CFA83"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94</w:t>
            </w:r>
          </w:p>
        </w:tc>
        <w:tc>
          <w:tcPr>
            <w:tcW w:w="491" w:type="pct"/>
            <w:shd w:val="clear" w:color="000000" w:fill="FFFFFF"/>
            <w:vAlign w:val="center"/>
            <w:hideMark/>
          </w:tcPr>
          <w:p w14:paraId="0B63409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101</w:t>
            </w:r>
          </w:p>
        </w:tc>
        <w:tc>
          <w:tcPr>
            <w:tcW w:w="491" w:type="pct"/>
            <w:shd w:val="clear" w:color="000000" w:fill="FFFFFF"/>
            <w:vAlign w:val="center"/>
            <w:hideMark/>
          </w:tcPr>
          <w:p w14:paraId="79B2BCB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109</w:t>
            </w:r>
          </w:p>
        </w:tc>
        <w:tc>
          <w:tcPr>
            <w:tcW w:w="490" w:type="pct"/>
            <w:shd w:val="clear" w:color="000000" w:fill="FFFFFF"/>
            <w:vAlign w:val="center"/>
            <w:hideMark/>
          </w:tcPr>
          <w:p w14:paraId="58FFD2F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120</w:t>
            </w:r>
          </w:p>
        </w:tc>
        <w:tc>
          <w:tcPr>
            <w:tcW w:w="491" w:type="pct"/>
            <w:shd w:val="clear" w:color="000000" w:fill="FFFFFF"/>
            <w:vAlign w:val="center"/>
            <w:hideMark/>
          </w:tcPr>
          <w:p w14:paraId="694C1C39"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131</w:t>
            </w:r>
          </w:p>
        </w:tc>
        <w:tc>
          <w:tcPr>
            <w:tcW w:w="490" w:type="pct"/>
            <w:shd w:val="clear" w:color="000000" w:fill="FFFFFF"/>
            <w:vAlign w:val="center"/>
            <w:hideMark/>
          </w:tcPr>
          <w:p w14:paraId="27E3AB26"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144</w:t>
            </w:r>
          </w:p>
        </w:tc>
        <w:tc>
          <w:tcPr>
            <w:tcW w:w="483" w:type="pct"/>
            <w:shd w:val="clear" w:color="000000" w:fill="FFFFFF"/>
            <w:vAlign w:val="center"/>
            <w:hideMark/>
          </w:tcPr>
          <w:p w14:paraId="64298E9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158</w:t>
            </w:r>
          </w:p>
        </w:tc>
      </w:tr>
      <w:tr w:rsidR="00C66FE9" w:rsidRPr="00C001AC" w14:paraId="7EA8DF36" w14:textId="77777777" w:rsidTr="00C66FE9">
        <w:trPr>
          <w:trHeight w:val="290"/>
        </w:trPr>
        <w:tc>
          <w:tcPr>
            <w:tcW w:w="1573" w:type="pct"/>
            <w:shd w:val="clear" w:color="000000" w:fill="FFFFFF"/>
            <w:vAlign w:val="center"/>
            <w:hideMark/>
          </w:tcPr>
          <w:p w14:paraId="2CC3A651" w14:textId="77777777" w:rsidR="007E2FD4" w:rsidRPr="00C001AC" w:rsidRDefault="007E2FD4" w:rsidP="007E2FD4">
            <w:pPr>
              <w:spacing w:before="0"/>
              <w:ind w:left="0"/>
              <w:jc w:val="left"/>
              <w:rPr>
                <w:rFonts w:ascii="Times New Roman" w:hAnsi="Times New Roman"/>
                <w:color w:val="000000"/>
                <w:sz w:val="20"/>
                <w:lang w:eastAsia="en-ID"/>
              </w:rPr>
            </w:pPr>
            <w:r w:rsidRPr="00C001AC">
              <w:rPr>
                <w:rFonts w:ascii="Times New Roman" w:hAnsi="Times New Roman"/>
                <w:color w:val="000000"/>
                <w:sz w:val="20"/>
                <w:lang w:eastAsia="en-ID"/>
              </w:rPr>
              <w:t xml:space="preserve">GDP nominal in US$ billion </w:t>
            </w:r>
          </w:p>
        </w:tc>
        <w:tc>
          <w:tcPr>
            <w:tcW w:w="492" w:type="pct"/>
            <w:shd w:val="clear" w:color="000000" w:fill="FFFFFF"/>
            <w:vAlign w:val="center"/>
            <w:hideMark/>
          </w:tcPr>
          <w:p w14:paraId="68D04CFC"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11,8</w:t>
            </w:r>
          </w:p>
        </w:tc>
        <w:tc>
          <w:tcPr>
            <w:tcW w:w="491" w:type="pct"/>
            <w:shd w:val="clear" w:color="000000" w:fill="FFFFFF"/>
            <w:vAlign w:val="center"/>
            <w:hideMark/>
          </w:tcPr>
          <w:p w14:paraId="1A265E67"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12,4</w:t>
            </w:r>
          </w:p>
        </w:tc>
        <w:tc>
          <w:tcPr>
            <w:tcW w:w="491" w:type="pct"/>
            <w:shd w:val="clear" w:color="000000" w:fill="FFFFFF"/>
            <w:vAlign w:val="center"/>
            <w:hideMark/>
          </w:tcPr>
          <w:p w14:paraId="4D005CC0"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13,4</w:t>
            </w:r>
          </w:p>
        </w:tc>
        <w:tc>
          <w:tcPr>
            <w:tcW w:w="490" w:type="pct"/>
            <w:shd w:val="clear" w:color="000000" w:fill="FFFFFF"/>
            <w:vAlign w:val="center"/>
            <w:hideMark/>
          </w:tcPr>
          <w:p w14:paraId="21F30898"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14,5</w:t>
            </w:r>
          </w:p>
        </w:tc>
        <w:tc>
          <w:tcPr>
            <w:tcW w:w="491" w:type="pct"/>
            <w:shd w:val="clear" w:color="000000" w:fill="FFFFFF"/>
            <w:vAlign w:val="center"/>
            <w:hideMark/>
          </w:tcPr>
          <w:p w14:paraId="039D76B4"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15,7</w:t>
            </w:r>
          </w:p>
        </w:tc>
        <w:tc>
          <w:tcPr>
            <w:tcW w:w="490" w:type="pct"/>
            <w:shd w:val="clear" w:color="000000" w:fill="FFFFFF"/>
            <w:vAlign w:val="center"/>
            <w:hideMark/>
          </w:tcPr>
          <w:p w14:paraId="4ADF95CE"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17,0</w:t>
            </w:r>
          </w:p>
        </w:tc>
        <w:tc>
          <w:tcPr>
            <w:tcW w:w="483" w:type="pct"/>
            <w:shd w:val="clear" w:color="000000" w:fill="FFFFFF"/>
            <w:vAlign w:val="center"/>
            <w:hideMark/>
          </w:tcPr>
          <w:p w14:paraId="7E82E56F" w14:textId="77777777" w:rsidR="007E2FD4" w:rsidRPr="00C001AC" w:rsidRDefault="007E2FD4" w:rsidP="007E2FD4">
            <w:pPr>
              <w:spacing w:before="0"/>
              <w:ind w:left="0"/>
              <w:jc w:val="center"/>
              <w:rPr>
                <w:rFonts w:ascii="Times New Roman" w:hAnsi="Times New Roman"/>
                <w:color w:val="000000"/>
                <w:sz w:val="20"/>
                <w:lang w:eastAsia="en-ID"/>
              </w:rPr>
            </w:pPr>
            <w:r w:rsidRPr="00C001AC">
              <w:rPr>
                <w:rFonts w:ascii="Times New Roman" w:hAnsi="Times New Roman"/>
                <w:color w:val="000000"/>
                <w:sz w:val="20"/>
                <w:lang w:eastAsia="en-ID"/>
              </w:rPr>
              <w:t>18,5</w:t>
            </w:r>
          </w:p>
        </w:tc>
      </w:tr>
    </w:tbl>
    <w:p w14:paraId="2F881F9E" w14:textId="77777777" w:rsidR="007E2FD4" w:rsidRPr="00725543" w:rsidRDefault="007E2FD4" w:rsidP="007E2FD4">
      <w:pPr>
        <w:widowControl w:val="0"/>
        <w:spacing w:before="0"/>
        <w:ind w:left="0"/>
        <w:rPr>
          <w:rFonts w:ascii="Times New Roman" w:hAnsi="Times New Roman"/>
          <w:sz w:val="20"/>
          <w:szCs w:val="20"/>
        </w:rPr>
      </w:pPr>
      <w:r w:rsidRPr="00725543">
        <w:rPr>
          <w:rFonts w:ascii="Times New Roman" w:hAnsi="Times New Roman"/>
          <w:sz w:val="20"/>
          <w:szCs w:val="20"/>
        </w:rPr>
        <w:t>Source: World Bank, 2014 to 2016 (actual) and 2017 (with forward estimates)</w:t>
      </w:r>
    </w:p>
    <w:p w14:paraId="1431B3C3" w14:textId="77777777" w:rsidR="007E2FD4" w:rsidRPr="00725543" w:rsidRDefault="007E2FD4" w:rsidP="007E2FD4">
      <w:pPr>
        <w:widowControl w:val="0"/>
        <w:spacing w:before="0"/>
        <w:ind w:left="0"/>
        <w:rPr>
          <w:rFonts w:ascii="Times New Roman" w:hAnsi="Times New Roman"/>
          <w:sz w:val="20"/>
          <w:szCs w:val="20"/>
        </w:rPr>
      </w:pPr>
      <w:r w:rsidRPr="00725543">
        <w:rPr>
          <w:rFonts w:ascii="Times New Roman" w:hAnsi="Times New Roman"/>
          <w:sz w:val="20"/>
          <w:szCs w:val="20"/>
        </w:rPr>
        <w:t>Note: As per Government fiscal calendar, the date from 2014 to 2016 cover the period from October to September and from 2017 onward the data covers the new fiscal calendar year from January to December.</w:t>
      </w:r>
    </w:p>
    <w:bookmarkEnd w:id="19"/>
    <w:p w14:paraId="51C9FEA1" w14:textId="77777777" w:rsidR="007E2FD4" w:rsidRPr="00725543"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lang w:val="en-MY"/>
        </w:rPr>
      </w:pPr>
      <w:r w:rsidRPr="00725543">
        <w:rPr>
          <w:rFonts w:ascii="Times New Roman" w:eastAsiaTheme="minorHAnsi" w:hAnsi="Times New Roman"/>
          <w:b/>
          <w:sz w:val="24"/>
        </w:rPr>
        <w:t>Structural transformation is necessary to achieve sustained and inclusive growth.</w:t>
      </w:r>
      <w:r w:rsidRPr="00725543">
        <w:rPr>
          <w:rFonts w:ascii="Times New Roman" w:eastAsiaTheme="minorHAnsi" w:hAnsi="Times New Roman"/>
          <w:sz w:val="24"/>
        </w:rPr>
        <w:t xml:space="preserve"> The largest percentage of the population continues to be engaged in agriculture which is mostly characterized by subsistence farming. Two-thirds of the population lives in rural areas, although </w:t>
      </w:r>
      <w:r>
        <w:rPr>
          <w:rFonts w:ascii="Times New Roman" w:eastAsiaTheme="minorHAnsi" w:hAnsi="Times New Roman"/>
          <w:sz w:val="24"/>
        </w:rPr>
        <w:t xml:space="preserve">the </w:t>
      </w:r>
      <w:r w:rsidRPr="00725543">
        <w:rPr>
          <w:rFonts w:ascii="Times New Roman" w:eastAsiaTheme="minorHAnsi" w:hAnsi="Times New Roman"/>
          <w:sz w:val="24"/>
        </w:rPr>
        <w:t>urban population increased 40 percent between 2005 and 2015.</w:t>
      </w:r>
      <w:r>
        <w:rPr>
          <w:rFonts w:ascii="Times New Roman" w:eastAsiaTheme="minorHAnsi" w:hAnsi="Times New Roman"/>
          <w:sz w:val="24"/>
        </w:rPr>
        <w:t xml:space="preserve">  </w:t>
      </w:r>
      <w:r w:rsidRPr="00725543">
        <w:rPr>
          <w:rFonts w:ascii="Times New Roman" w:eastAsiaTheme="minorHAnsi" w:hAnsi="Times New Roman"/>
          <w:sz w:val="24"/>
        </w:rPr>
        <w:t>Despite the robust growth over the last decade, wealth has been concentrated in the natural resource sectors, which are capital intensive and create relatively few jobs. With low productivity in agriculture and weak performance in manufacturing, consumption has increased at only 2 percent per year. 82 percent of workers were in agriculture or self-employed in 2015</w:t>
      </w:r>
      <w:r w:rsidRPr="00C001AC">
        <w:rPr>
          <w:rFonts w:eastAsiaTheme="minorHAnsi"/>
          <w:vertAlign w:val="superscript"/>
        </w:rPr>
        <w:footnoteReference w:id="10"/>
      </w:r>
      <w:r w:rsidR="009D64BB">
        <w:rPr>
          <w:rFonts w:ascii="Times New Roman" w:eastAsiaTheme="minorHAnsi" w:hAnsi="Times New Roman"/>
          <w:sz w:val="24"/>
        </w:rPr>
        <w:t xml:space="preserve">. </w:t>
      </w:r>
      <w:r w:rsidRPr="00725543">
        <w:rPr>
          <w:rFonts w:ascii="Times New Roman" w:eastAsiaTheme="minorHAnsi" w:hAnsi="Times New Roman"/>
          <w:sz w:val="24"/>
        </w:rPr>
        <w:t xml:space="preserve">Other significant sectors of employment include: trade (11 percent), manufacturing (7 percent), and public services (6 </w:t>
      </w:r>
      <w:r w:rsidRPr="00725543">
        <w:rPr>
          <w:rFonts w:ascii="Times New Roman" w:eastAsiaTheme="minorHAnsi" w:hAnsi="Times New Roman"/>
          <w:sz w:val="24"/>
        </w:rPr>
        <w:lastRenderedPageBreak/>
        <w:t xml:space="preserve">percent) as of 2013. </w:t>
      </w:r>
    </w:p>
    <w:p w14:paraId="4D3A4892" w14:textId="77777777" w:rsidR="007E2FD4" w:rsidRPr="00725543" w:rsidRDefault="007E2FD4" w:rsidP="007E2FD4">
      <w:pPr>
        <w:spacing w:after="240"/>
        <w:ind w:left="0"/>
        <w:rPr>
          <w:rFonts w:ascii="Times New Roman" w:hAnsi="Times New Roman"/>
          <w:b/>
          <w:sz w:val="24"/>
        </w:rPr>
      </w:pPr>
      <w:bookmarkStart w:id="20" w:name="_Toc504974016"/>
      <w:r>
        <w:rPr>
          <w:rFonts w:ascii="Times New Roman" w:hAnsi="Times New Roman"/>
          <w:b/>
          <w:sz w:val="24"/>
        </w:rPr>
        <w:t xml:space="preserve">2.2. </w:t>
      </w:r>
      <w:r w:rsidRPr="00725543">
        <w:rPr>
          <w:rFonts w:ascii="Times New Roman" w:hAnsi="Times New Roman"/>
          <w:b/>
          <w:sz w:val="24"/>
        </w:rPr>
        <w:t>Fiscal and budgetary trends</w:t>
      </w:r>
      <w:bookmarkEnd w:id="20"/>
    </w:p>
    <w:p w14:paraId="4FFED9F6" w14:textId="77777777" w:rsidR="007E2FD4" w:rsidRPr="00725543" w:rsidRDefault="007E2FD4" w:rsidP="007E2FD4">
      <w:pPr>
        <w:spacing w:after="240"/>
        <w:ind w:left="0"/>
        <w:rPr>
          <w:rFonts w:ascii="Times New Roman" w:hAnsi="Times New Roman"/>
          <w:b/>
          <w:sz w:val="24"/>
        </w:rPr>
      </w:pPr>
      <w:r w:rsidRPr="00725543">
        <w:rPr>
          <w:rFonts w:ascii="Times New Roman" w:hAnsi="Times New Roman"/>
          <w:b/>
          <w:sz w:val="24"/>
        </w:rPr>
        <w:t>Fiscal Performance</w:t>
      </w:r>
      <w:bookmarkStart w:id="21" w:name="_Toc504664502"/>
    </w:p>
    <w:p w14:paraId="7EFC92CC"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5543">
        <w:rPr>
          <w:rFonts w:ascii="Times New Roman" w:eastAsiaTheme="minorHAnsi" w:hAnsi="Times New Roman"/>
          <w:b/>
          <w:sz w:val="24"/>
        </w:rPr>
        <w:t xml:space="preserve">In recent years, Lao PDR has maintained a fiscal deficit with debt levels considered high for the region. </w:t>
      </w:r>
      <w:r w:rsidRPr="00725543">
        <w:rPr>
          <w:rFonts w:ascii="Times New Roman" w:eastAsiaTheme="minorHAnsi" w:hAnsi="Times New Roman"/>
          <w:sz w:val="24"/>
        </w:rPr>
        <w:t xml:space="preserve">Public debt is now around 67 percent of GDP, compared to 38 percent in other developing countries in the region. </w:t>
      </w:r>
      <w:r w:rsidRPr="00725543">
        <w:rPr>
          <w:rFonts w:ascii="Times New Roman" w:hAnsi="Times New Roman"/>
          <w:sz w:val="24"/>
        </w:rPr>
        <w:t>The latest 2017 Debt Sustainability Analysis by</w:t>
      </w:r>
      <w:r w:rsidR="00D1361D">
        <w:rPr>
          <w:rFonts w:ascii="Times New Roman" w:hAnsi="Times New Roman"/>
          <w:sz w:val="24"/>
        </w:rPr>
        <w:t xml:space="preserve"> IMF/WB confirms that Lao PDR</w:t>
      </w:r>
      <w:r w:rsidRPr="00725543">
        <w:rPr>
          <w:rFonts w:ascii="Times New Roman" w:hAnsi="Times New Roman"/>
          <w:sz w:val="24"/>
        </w:rPr>
        <w:t xml:space="preserve"> faces a high risk of debt distress. </w:t>
      </w:r>
      <w:r w:rsidRPr="00725543">
        <w:rPr>
          <w:rFonts w:ascii="Times New Roman" w:eastAsiaTheme="minorHAnsi" w:hAnsi="Times New Roman"/>
          <w:sz w:val="24"/>
        </w:rPr>
        <w:t xml:space="preserve">Lao PDR’s external public and publicly guaranteed (PPG) debt has risen for the past few years. The nominal stock of PPG external debt increased from US$5.4 billion at end-2013 to about US$6.5 billion at end-2015, due mainly to higher borrowing from Thailand and China and sovereign bond issuance in the Thai market. Debt financing needs are expected to grow as the deficit is gradually reduced and non-concessionary loans coming to maturity. The stock of public debt arrears is unclear and Government agencies have reported significant differences in numbers. As a result, an inter-Ministerial Committee has been set up to validate actual stocks. In addition, there are plans to set up a public investment management division in the MoF to monitor planning and disbursements of investment funds.  </w:t>
      </w:r>
    </w:p>
    <w:p w14:paraId="3A98938C" w14:textId="77777777" w:rsidR="007E2FD4" w:rsidRPr="009D64B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pacing w:val="-2"/>
          <w:sz w:val="24"/>
        </w:rPr>
      </w:pPr>
      <w:r w:rsidRPr="00725543">
        <w:rPr>
          <w:rFonts w:ascii="Times New Roman" w:eastAsiaTheme="minorHAnsi" w:hAnsi="Times New Roman"/>
          <w:b/>
          <w:sz w:val="24"/>
        </w:rPr>
        <w:t xml:space="preserve">Fiscal policy over the medium term aims to improve the sustainability of the fiscal position. </w:t>
      </w:r>
      <w:r w:rsidRPr="00725543">
        <w:rPr>
          <w:rFonts w:ascii="Times New Roman" w:eastAsiaTheme="minorHAnsi" w:hAnsi="Times New Roman"/>
          <w:sz w:val="24"/>
        </w:rPr>
        <w:t>Turning to bilateral borrowing and fewer concessionary sources to finance the budget and investment projects can expose the country to more fiscal risk. Fiscal consolidation through improved revenue collection and spending efficiency are required to help stabilize and eventually reduce the public debt burden. The fiscal deficit is projected to stabilize in 2017 resulting from the Government’s effort in strengthening non-resource taxation, reviewing exemptions and improving public finance management. The macroeconomic policy dialogue under the Vision to 2030 and the National Socio-Economic Development Plan (NSEDP) 2025 include measures that would facilitate a stronger fiscal adjustment to reduce the deficit by around 1 percentage point of GDP on average per year and lowering public debt ratio to 65 percent of GDP by 2020 and 55 percent of GDP by 2022. A National Economic Steering Committee was recently established to better coordinate economic policies. Failure to make progress on fiscal consolidation, strengthen debt management, deal with weak banks and increase confidence in the exchange rate will test macroeconomic stability with severe implications for growth, public service delivery and poverty reduction. Tax policy and administration reforms are likely to require significant improvements in data gathering and revisions to tax</w:t>
      </w:r>
      <w:r w:rsidR="009D64BB">
        <w:rPr>
          <w:rFonts w:ascii="Times New Roman" w:eastAsiaTheme="minorHAnsi" w:hAnsi="Times New Roman"/>
          <w:sz w:val="24"/>
        </w:rPr>
        <w:t xml:space="preserve"> laws in 2018–19. The GoL</w:t>
      </w:r>
      <w:r w:rsidRPr="00725543">
        <w:rPr>
          <w:rFonts w:ascii="Times New Roman" w:eastAsiaTheme="minorHAnsi" w:hAnsi="Times New Roman"/>
          <w:sz w:val="24"/>
        </w:rPr>
        <w:t xml:space="preserve"> plans to </w:t>
      </w:r>
      <w:r w:rsidRPr="009D64BB">
        <w:rPr>
          <w:rFonts w:ascii="Times New Roman" w:eastAsiaTheme="minorHAnsi" w:hAnsi="Times New Roman"/>
          <w:spacing w:val="-2"/>
          <w:sz w:val="24"/>
        </w:rPr>
        <w:t xml:space="preserve">institute reforms under the new Public Debt Management Law and the new Public Procurement Law will start to address the high level of debt and put a limit on annual borrowing and restrict new debt to concessional terms, as well as establishing an official medium-term target. </w:t>
      </w:r>
    </w:p>
    <w:p w14:paraId="0A612A05"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5543">
        <w:rPr>
          <w:rFonts w:ascii="Times New Roman" w:eastAsiaTheme="minorHAnsi" w:hAnsi="Times New Roman"/>
          <w:b/>
          <w:sz w:val="24"/>
        </w:rPr>
        <w:t xml:space="preserve">On the revenue side, new policies reflect the efforts by the authorities to reduce the fiscal gap and strengthen the revenue administration. </w:t>
      </w:r>
      <w:r w:rsidRPr="00725543">
        <w:rPr>
          <w:rFonts w:ascii="Times New Roman" w:eastAsiaTheme="minorHAnsi" w:hAnsi="Times New Roman"/>
          <w:sz w:val="24"/>
        </w:rPr>
        <w:t xml:space="preserve">The fiscal position deteriorated in FY2015/16 due to revenues falling short of target. The revenue to GDP ratio is estimated to have declined to 19 percent in FY2015/16 (about 20.4 trillion </w:t>
      </w:r>
      <w:r w:rsidR="00D1361D">
        <w:rPr>
          <w:rFonts w:ascii="Times New Roman" w:eastAsiaTheme="minorHAnsi" w:hAnsi="Times New Roman"/>
          <w:sz w:val="24"/>
        </w:rPr>
        <w:t>KIP</w:t>
      </w:r>
      <w:r w:rsidRPr="00725543">
        <w:rPr>
          <w:rFonts w:ascii="Times New Roman" w:eastAsiaTheme="minorHAnsi" w:hAnsi="Times New Roman"/>
          <w:sz w:val="24"/>
        </w:rPr>
        <w:t xml:space="preserve"> or US$2.5 billion) from 23 percent of GDP in FY2014/15. Revenue collection increased slightly through improved VAT enforcement and profit tax shares, while relevant commodity prices (gold and copper) and foreign grants declined. Effective fiscal measures have been implemented since early 2016, for instance the calculation of import duties on fuel and vehicles on actual invoice price rather than outdated reference prices, and most fuel tax exemptions for investment projects were removed </w:t>
      </w:r>
      <w:r w:rsidRPr="00725543">
        <w:rPr>
          <w:rFonts w:ascii="Times New Roman" w:eastAsiaTheme="minorHAnsi" w:hAnsi="Times New Roman"/>
          <w:sz w:val="24"/>
        </w:rPr>
        <w:lastRenderedPageBreak/>
        <w:t>in August 2016</w:t>
      </w:r>
      <w:r w:rsidRPr="00C001AC">
        <w:rPr>
          <w:rFonts w:ascii="Times New Roman" w:eastAsiaTheme="minorHAnsi" w:hAnsi="Times New Roman"/>
          <w:sz w:val="24"/>
          <w:vertAlign w:val="superscript"/>
        </w:rPr>
        <w:footnoteReference w:id="11"/>
      </w:r>
      <w:r w:rsidRPr="00725543">
        <w:rPr>
          <w:rFonts w:ascii="Times New Roman" w:eastAsiaTheme="minorHAnsi" w:hAnsi="Times New Roman"/>
          <w:sz w:val="24"/>
        </w:rPr>
        <w:t>. The Tax Law was amended in December 2015 to increase the excise tax rates on imported goods (to be effective from 2018), and new taxes are being considered (land, environment and property taxes). The VAT Law was also revised in 2015 to simplify filing and implementing instructions were prepared to ensure more effective enforcement.</w:t>
      </w:r>
    </w:p>
    <w:p w14:paraId="4C95B238" w14:textId="77777777" w:rsidR="007E2FD4" w:rsidRPr="00FA4ACE"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5543">
        <w:rPr>
          <w:rFonts w:ascii="Times New Roman" w:eastAsiaTheme="minorHAnsi" w:hAnsi="Times New Roman"/>
          <w:b/>
          <w:sz w:val="24"/>
        </w:rPr>
        <w:t>On the expenditure side, the annual State Budget Plan 2017, revised and approved by the National Assembly in December 2016, promotes budgetary oversight in budget preparation and presentation</w:t>
      </w:r>
      <w:r w:rsidRPr="00725543">
        <w:rPr>
          <w:rFonts w:ascii="Times New Roman" w:eastAsiaTheme="minorHAnsi" w:hAnsi="Times New Roman"/>
          <w:sz w:val="24"/>
        </w:rPr>
        <w:t>, and introduces an annual medium-term budget and public debt framework, with the aim of achieving a more efficient allocation and execution of public resources. The Government budget for FY2015/16 was approximately US$3.3 billion equivalent, of which for example about US$466 million was allocated to the education sector (US$258 per student) and US$237 million to the health sector (US$36 per person). Wages represented approximately US$1,120 million in FY2015/16 (above 8 percent of GDP), and their share was particularly high in these sectors. There are also significant funds from development partners which are implemented directly and thus are not included in the budget.</w:t>
      </w:r>
    </w:p>
    <w:p w14:paraId="25E2F539" w14:textId="77777777" w:rsidR="007E2FD4" w:rsidRPr="00177AD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pacing w:val="-2"/>
          <w:sz w:val="24"/>
        </w:rPr>
      </w:pPr>
      <w:r w:rsidRPr="00725543">
        <w:rPr>
          <w:rFonts w:ascii="Times New Roman" w:eastAsiaTheme="minorHAnsi" w:hAnsi="Times New Roman"/>
          <w:b/>
          <w:sz w:val="24"/>
        </w:rPr>
        <w:t xml:space="preserve">The </w:t>
      </w:r>
      <w:r w:rsidRPr="00177ADB">
        <w:rPr>
          <w:rFonts w:ascii="Times New Roman" w:eastAsiaTheme="minorHAnsi" w:hAnsi="Times New Roman"/>
          <w:b/>
          <w:spacing w:val="-2"/>
          <w:sz w:val="24"/>
        </w:rPr>
        <w:t xml:space="preserve">authorities have envisaged measures to improve fiscal discipline and create some fiscal space. </w:t>
      </w:r>
      <w:r w:rsidRPr="00177ADB">
        <w:rPr>
          <w:rFonts w:ascii="Times New Roman" w:eastAsiaTheme="minorHAnsi" w:hAnsi="Times New Roman"/>
          <w:spacing w:val="-2"/>
          <w:sz w:val="24"/>
        </w:rPr>
        <w:t xml:space="preserve">As revenue from the mining industry will increasingly be replaced by growing revenues from the power sector (around US$100 million in 2016), the Government intends to keep a tight control over employment and wage spending, upgrade the framework for </w:t>
      </w:r>
      <w:r w:rsidRPr="00D1361D">
        <w:rPr>
          <w:rFonts w:ascii="Times New Roman" w:eastAsiaTheme="minorHAnsi" w:hAnsi="Times New Roman"/>
          <w:spacing w:val="-4"/>
          <w:sz w:val="24"/>
        </w:rPr>
        <w:t>public procurement and improve public investment management.</w:t>
      </w:r>
      <w:r w:rsidR="00D1361D" w:rsidRPr="00D1361D">
        <w:rPr>
          <w:rFonts w:ascii="Times New Roman" w:eastAsiaTheme="minorHAnsi" w:hAnsi="Times New Roman"/>
          <w:spacing w:val="-4"/>
          <w:sz w:val="24"/>
        </w:rPr>
        <w:t xml:space="preserve"> </w:t>
      </w:r>
      <w:r w:rsidRPr="00D1361D">
        <w:rPr>
          <w:rFonts w:ascii="Times New Roman" w:eastAsiaTheme="minorHAnsi" w:hAnsi="Times New Roman"/>
          <w:spacing w:val="-4"/>
          <w:sz w:val="24"/>
        </w:rPr>
        <w:t>Stronger controls</w:t>
      </w:r>
      <w:r w:rsidRPr="00177ADB">
        <w:rPr>
          <w:rFonts w:ascii="Times New Roman" w:eastAsiaTheme="minorHAnsi" w:hAnsi="Times New Roman"/>
          <w:spacing w:val="-2"/>
          <w:sz w:val="24"/>
        </w:rPr>
        <w:t>, renegotiation of the terms of existing liabilities, as well as the requirement to allocate 30 percent of capital spending to clearance of arrears, is expected to gradually resolve the arrears issue.</w:t>
      </w:r>
      <w:r w:rsidRPr="00177ADB">
        <w:rPr>
          <w:rFonts w:ascii="Times New Roman" w:eastAsiaTheme="minorHAnsi" w:hAnsi="Times New Roman"/>
          <w:b/>
          <w:spacing w:val="-2"/>
          <w:sz w:val="24"/>
        </w:rPr>
        <w:t xml:space="preserve"> </w:t>
      </w:r>
    </w:p>
    <w:p w14:paraId="0EE64E3F"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5543">
        <w:rPr>
          <w:rFonts w:ascii="Times New Roman" w:eastAsiaTheme="minorHAnsi" w:hAnsi="Times New Roman"/>
          <w:b/>
          <w:sz w:val="24"/>
        </w:rPr>
        <w:t>Public Expenditure reform is needed to improve the efficiency and transparency of public expenditure and reorient spending towards better social sector outcomes.</w:t>
      </w:r>
      <w:r w:rsidRPr="00725543">
        <w:rPr>
          <w:rFonts w:ascii="Times New Roman" w:eastAsiaTheme="minorHAnsi" w:hAnsi="Times New Roman"/>
          <w:sz w:val="24"/>
        </w:rPr>
        <w:t xml:space="preserve"> Over the past decade overall public spending has incr</w:t>
      </w:r>
      <w:r w:rsidR="00D1361D">
        <w:rPr>
          <w:rFonts w:ascii="Times New Roman" w:eastAsiaTheme="minorHAnsi" w:hAnsi="Times New Roman"/>
          <w:sz w:val="24"/>
        </w:rPr>
        <w:t>eased more rapidly in Lao PDR</w:t>
      </w:r>
      <w:r w:rsidRPr="00725543">
        <w:rPr>
          <w:rFonts w:ascii="Times New Roman" w:eastAsiaTheme="minorHAnsi" w:hAnsi="Times New Roman"/>
          <w:sz w:val="24"/>
        </w:rPr>
        <w:t xml:space="preserve"> compared to regional peers, yet spending on social assistance is lower, and the public-sector wage bill is among the highest. Health and education outcomes are also below regional averages and need higher and targeted investment. At the same time, public investment has been volatile as the government has attempted to deal with poor coordination between central and local authorities and governance issues in part by closing investment proje</w:t>
      </w:r>
      <w:r>
        <w:rPr>
          <w:rFonts w:ascii="Times New Roman" w:eastAsiaTheme="minorHAnsi" w:hAnsi="Times New Roman"/>
          <w:sz w:val="24"/>
        </w:rPr>
        <w:t>cts and settling arrears. Lao PDR</w:t>
      </w:r>
      <w:r w:rsidRPr="00725543">
        <w:rPr>
          <w:rFonts w:ascii="Times New Roman" w:eastAsiaTheme="minorHAnsi" w:hAnsi="Times New Roman"/>
          <w:sz w:val="24"/>
        </w:rPr>
        <w:t xml:space="preserve"> is ranked low (123) on Transparency International’s corruption perception index. The government has already set a goal of better targeting investment and s</w:t>
      </w:r>
      <w:r w:rsidR="009D64BB">
        <w:rPr>
          <w:rFonts w:ascii="Times New Roman" w:eastAsiaTheme="minorHAnsi" w:hAnsi="Times New Roman"/>
          <w:sz w:val="24"/>
        </w:rPr>
        <w:t>ocial spending</w:t>
      </w:r>
      <w:r w:rsidRPr="00725543">
        <w:rPr>
          <w:rFonts w:ascii="Times New Roman" w:eastAsiaTheme="minorHAnsi" w:hAnsi="Times New Roman"/>
          <w:sz w:val="24"/>
        </w:rPr>
        <w:t xml:space="preserve"> and had already moved to better control public investments projects.</w:t>
      </w:r>
    </w:p>
    <w:p w14:paraId="345485C1"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E42308">
        <w:rPr>
          <w:rFonts w:ascii="Times New Roman" w:eastAsiaTheme="minorHAnsi" w:hAnsi="Times New Roman"/>
          <w:b/>
          <w:sz w:val="24"/>
        </w:rPr>
        <w:t>Table 2.2 presents aggregate fiscal data.</w:t>
      </w:r>
      <w:r>
        <w:rPr>
          <w:rFonts w:ascii="Times New Roman" w:eastAsiaTheme="minorHAnsi" w:hAnsi="Times New Roman"/>
          <w:sz w:val="24"/>
        </w:rPr>
        <w:t xml:space="preserve">  This shows that there was an overall</w:t>
      </w:r>
      <w:r w:rsidR="009D64BB">
        <w:rPr>
          <w:rFonts w:ascii="Times New Roman" w:eastAsiaTheme="minorHAnsi" w:hAnsi="Times New Roman"/>
          <w:sz w:val="24"/>
        </w:rPr>
        <w:t xml:space="preserve"> fiscal deficit greater than 10 percent</w:t>
      </w:r>
      <w:r>
        <w:rPr>
          <w:rFonts w:ascii="Times New Roman" w:eastAsiaTheme="minorHAnsi" w:hAnsi="Times New Roman"/>
          <w:sz w:val="24"/>
        </w:rPr>
        <w:t xml:space="preserve"> of GDP in </w:t>
      </w:r>
      <w:r w:rsidR="009D64BB">
        <w:rPr>
          <w:rFonts w:ascii="Times New Roman" w:eastAsiaTheme="minorHAnsi" w:hAnsi="Times New Roman"/>
          <w:sz w:val="24"/>
        </w:rPr>
        <w:t>2014/15 but this fell to 7.7 percent</w:t>
      </w:r>
      <w:r>
        <w:rPr>
          <w:rFonts w:ascii="Times New Roman" w:eastAsiaTheme="minorHAnsi" w:hAnsi="Times New Roman"/>
          <w:sz w:val="24"/>
        </w:rPr>
        <w:t xml:space="preserve"> in 2015/16 as the fall in expenditure was greater than the fall in domestic revenue. Grants fell significantly in 2015/16 which placed a greater burden on domestic revenue. Foreign financing of the deficit is more important than domestic sources.</w:t>
      </w:r>
    </w:p>
    <w:p w14:paraId="299BFFCD" w14:textId="77777777" w:rsidR="0024261E" w:rsidRDefault="0024261E">
      <w:pPr>
        <w:spacing w:after="240" w:line="276" w:lineRule="auto"/>
        <w:rPr>
          <w:rFonts w:ascii="Times New Roman" w:eastAsiaTheme="minorHAnsi" w:hAnsi="Times New Roman"/>
          <w:sz w:val="24"/>
        </w:rPr>
      </w:pPr>
      <w:r>
        <w:rPr>
          <w:rFonts w:ascii="Times New Roman" w:eastAsiaTheme="minorHAnsi" w:hAnsi="Times New Roman"/>
          <w:sz w:val="24"/>
        </w:rPr>
        <w:br w:type="page"/>
      </w:r>
    </w:p>
    <w:tbl>
      <w:tblPr>
        <w:tblW w:w="8193" w:type="dxa"/>
        <w:jc w:val="center"/>
        <w:tblLook w:val="04A0" w:firstRow="1" w:lastRow="0" w:firstColumn="1" w:lastColumn="0" w:noHBand="0" w:noVBand="1"/>
      </w:tblPr>
      <w:tblGrid>
        <w:gridCol w:w="3497"/>
        <w:gridCol w:w="1659"/>
        <w:gridCol w:w="1659"/>
        <w:gridCol w:w="1378"/>
      </w:tblGrid>
      <w:tr w:rsidR="0024261E" w:rsidRPr="005B0C54" w14:paraId="0762E63E" w14:textId="77777777" w:rsidTr="0024261E">
        <w:trPr>
          <w:trHeight w:val="300"/>
          <w:jc w:val="center"/>
        </w:trPr>
        <w:tc>
          <w:tcPr>
            <w:tcW w:w="81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12846" w14:textId="77777777" w:rsidR="0024261E" w:rsidRDefault="0024261E" w:rsidP="0024261E">
            <w:pPr>
              <w:spacing w:before="0"/>
              <w:ind w:left="0"/>
              <w:jc w:val="center"/>
              <w:rPr>
                <w:rFonts w:ascii="Times New Roman" w:hAnsi="Times New Roman"/>
                <w:color w:val="000000"/>
                <w:lang w:val="en-GB" w:eastAsia="en-GB"/>
              </w:rPr>
            </w:pPr>
            <w:r>
              <w:rPr>
                <w:rFonts w:ascii="Times New Roman" w:hAnsi="Times New Roman"/>
                <w:color w:val="000000"/>
                <w:szCs w:val="22"/>
                <w:lang w:val="en-GB" w:eastAsia="en-GB"/>
              </w:rPr>
              <w:lastRenderedPageBreak/>
              <w:t>Table 2.2 Aggregate Fiscal Data</w:t>
            </w:r>
          </w:p>
        </w:tc>
      </w:tr>
      <w:tr w:rsidR="00435FC6" w:rsidRPr="005B0C54" w14:paraId="3F7475F7"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7FB5"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1E5B42E2"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2014/15</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2E21A2F5"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2015/16</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5B755616" w14:textId="77777777" w:rsidR="00435FC6" w:rsidRPr="005B0C54" w:rsidRDefault="00435FC6" w:rsidP="00435FC6">
            <w:pPr>
              <w:spacing w:before="0"/>
              <w:ind w:left="0"/>
              <w:jc w:val="left"/>
              <w:rPr>
                <w:rFonts w:ascii="Times New Roman" w:hAnsi="Times New Roman"/>
                <w:color w:val="000000"/>
                <w:lang w:val="en-GB" w:eastAsia="en-GB"/>
              </w:rPr>
            </w:pPr>
            <w:r>
              <w:rPr>
                <w:rFonts w:ascii="Times New Roman" w:hAnsi="Times New Roman"/>
                <w:color w:val="000000"/>
                <w:szCs w:val="22"/>
                <w:lang w:val="en-GB" w:eastAsia="en-GB"/>
              </w:rPr>
              <w:t>2017</w:t>
            </w:r>
          </w:p>
        </w:tc>
      </w:tr>
      <w:tr w:rsidR="00435FC6" w:rsidRPr="005B0C54" w14:paraId="64275650"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E54C0"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Total revenue</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796649A6" w14:textId="44C1BE84"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17.9</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642467E7" w14:textId="57B6961C"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15.8</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63B2F9D5" w14:textId="77777777" w:rsidR="00435FC6" w:rsidRPr="005B0C54" w:rsidRDefault="00624C80" w:rsidP="00D13368">
            <w:pPr>
              <w:spacing w:before="0"/>
              <w:ind w:left="0"/>
              <w:jc w:val="center"/>
              <w:rPr>
                <w:rFonts w:ascii="Times New Roman" w:hAnsi="Times New Roman"/>
                <w:color w:val="000000"/>
                <w:lang w:val="en-GB" w:eastAsia="en-GB"/>
              </w:rPr>
            </w:pPr>
            <w:r>
              <w:rPr>
                <w:rFonts w:ascii="Times New Roman" w:hAnsi="Times New Roman"/>
                <w:color w:val="000000"/>
                <w:lang w:val="en-GB" w:eastAsia="en-GB"/>
              </w:rPr>
              <w:t>16.2</w:t>
            </w:r>
          </w:p>
        </w:tc>
      </w:tr>
      <w:tr w:rsidR="00435FC6" w:rsidRPr="005B0C54" w14:paraId="3C4CDCA3"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73784"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xml:space="preserve">  Domestic Revenue</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7F89B7D6" w14:textId="12A986F1"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w:t>
            </w:r>
            <w:r w:rsidR="00624C80">
              <w:rPr>
                <w:rFonts w:ascii="Times New Roman" w:hAnsi="Times New Roman"/>
                <w:color w:val="000000"/>
                <w:szCs w:val="22"/>
                <w:lang w:val="en-GB" w:eastAsia="en-GB"/>
              </w:rPr>
              <w:t>5</w:t>
            </w:r>
            <w:r w:rsidRPr="005B0C54">
              <w:rPr>
                <w:rFonts w:ascii="Times New Roman" w:hAnsi="Times New Roman"/>
                <w:color w:val="000000"/>
                <w:szCs w:val="22"/>
                <w:lang w:val="en-GB" w:eastAsia="en-GB"/>
              </w:rPr>
              <w:t>.4</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615E9ABB" w14:textId="0CAA8C11"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w:t>
            </w:r>
            <w:r w:rsidR="00624C80">
              <w:rPr>
                <w:rFonts w:ascii="Times New Roman" w:hAnsi="Times New Roman"/>
                <w:color w:val="000000"/>
                <w:szCs w:val="22"/>
                <w:lang w:val="en-GB" w:eastAsia="en-GB"/>
              </w:rPr>
              <w:t>4.7</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0562D9DE" w14:textId="05CC2AB7"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14.6</w:t>
            </w:r>
          </w:p>
        </w:tc>
      </w:tr>
      <w:tr w:rsidR="00435FC6" w:rsidRPr="005B0C54" w14:paraId="2D897544"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91B86"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xml:space="preserve">  Grants</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3761DA5E" w14:textId="048F6D59"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2.5</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40031733" w14:textId="0D62B206"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w:t>
            </w:r>
            <w:r w:rsidR="00624C80">
              <w:rPr>
                <w:rFonts w:ascii="Times New Roman" w:hAnsi="Times New Roman"/>
                <w:color w:val="000000"/>
                <w:szCs w:val="22"/>
                <w:lang w:val="en-GB" w:eastAsia="en-GB"/>
              </w:rPr>
              <w:t>1</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519DCB34" w14:textId="77777777"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lang w:val="en-GB" w:eastAsia="en-GB"/>
              </w:rPr>
              <w:t>1.7</w:t>
            </w:r>
          </w:p>
        </w:tc>
      </w:tr>
      <w:tr w:rsidR="00435FC6" w:rsidRPr="005B0C54" w14:paraId="5C5DC53B"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47059"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Total Expenditure</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6136B41D" w14:textId="1E54369F"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22.3</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0AA895B4" w14:textId="1FC02C35"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20.5</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0083D3B7" w14:textId="77777777"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lang w:val="en-GB" w:eastAsia="en-GB"/>
              </w:rPr>
              <w:t>21.5</w:t>
            </w:r>
          </w:p>
        </w:tc>
      </w:tr>
      <w:tr w:rsidR="00435FC6" w:rsidRPr="005B0C54" w14:paraId="253AFE00"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459A8"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xml:space="preserve">  Current</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68D02C37" w14:textId="2A6CBACE"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w:t>
            </w:r>
            <w:r w:rsidR="00624C80">
              <w:rPr>
                <w:rFonts w:ascii="Times New Roman" w:hAnsi="Times New Roman"/>
                <w:color w:val="000000"/>
                <w:szCs w:val="22"/>
                <w:lang w:val="en-GB" w:eastAsia="en-GB"/>
              </w:rPr>
              <w:t>2.6</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153D1DF0" w14:textId="28474A9A"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w:t>
            </w:r>
            <w:r w:rsidR="00624C80">
              <w:rPr>
                <w:rFonts w:ascii="Times New Roman" w:hAnsi="Times New Roman"/>
                <w:color w:val="000000"/>
                <w:szCs w:val="22"/>
                <w:lang w:val="en-GB" w:eastAsia="en-GB"/>
              </w:rPr>
              <w:t>3</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64B23F80" w14:textId="5205C0A6" w:rsidR="00435FC6" w:rsidRPr="005B0C54" w:rsidRDefault="00E502FD" w:rsidP="00435FC6">
            <w:pPr>
              <w:spacing w:before="0"/>
              <w:ind w:left="0"/>
              <w:jc w:val="right"/>
              <w:rPr>
                <w:rFonts w:ascii="Times New Roman" w:hAnsi="Times New Roman"/>
                <w:color w:val="000000"/>
                <w:lang w:val="en-GB" w:eastAsia="en-GB"/>
              </w:rPr>
            </w:pPr>
            <w:r>
              <w:rPr>
                <w:rFonts w:ascii="Times New Roman" w:hAnsi="Times New Roman"/>
                <w:color w:val="000000"/>
                <w:lang w:val="en-GB" w:eastAsia="en-GB"/>
              </w:rPr>
              <w:t>1</w:t>
            </w:r>
            <w:r w:rsidR="00624C80">
              <w:rPr>
                <w:rFonts w:ascii="Times New Roman" w:hAnsi="Times New Roman"/>
                <w:color w:val="000000"/>
                <w:lang w:val="en-GB" w:eastAsia="en-GB"/>
              </w:rPr>
              <w:t>2</w:t>
            </w:r>
            <w:r>
              <w:rPr>
                <w:rFonts w:ascii="Times New Roman" w:hAnsi="Times New Roman"/>
                <w:color w:val="000000"/>
                <w:lang w:val="en-GB" w:eastAsia="en-GB"/>
              </w:rPr>
              <w:t>.5</w:t>
            </w:r>
          </w:p>
        </w:tc>
      </w:tr>
      <w:tr w:rsidR="00435FC6" w:rsidRPr="005B0C54" w14:paraId="1154CC41"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EFA13"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xml:space="preserve">  Capital and on-lending</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1C3C8DF6" w14:textId="41BC7DD1"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9.7</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5A1ECEC9" w14:textId="773388C6"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szCs w:val="22"/>
                <w:lang w:val="en-GB" w:eastAsia="en-GB"/>
              </w:rPr>
              <w:t>7.5</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6AEFEC9A" w14:textId="0F130992"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lang w:val="en-GB" w:eastAsia="en-GB"/>
              </w:rPr>
              <w:t>9</w:t>
            </w:r>
          </w:p>
        </w:tc>
      </w:tr>
      <w:tr w:rsidR="00435FC6" w:rsidRPr="005B0C54" w14:paraId="7FF8A432"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C9A46"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Aggregate Deficit (incl</w:t>
            </w:r>
            <w:r>
              <w:rPr>
                <w:rFonts w:ascii="Times New Roman" w:hAnsi="Times New Roman"/>
                <w:color w:val="000000"/>
                <w:szCs w:val="22"/>
                <w:lang w:val="en-GB" w:eastAsia="en-GB"/>
              </w:rPr>
              <w:t>.</w:t>
            </w:r>
            <w:r w:rsidRPr="005B0C54">
              <w:rPr>
                <w:rFonts w:ascii="Times New Roman" w:hAnsi="Times New Roman"/>
                <w:color w:val="000000"/>
                <w:szCs w:val="22"/>
                <w:lang w:val="en-GB" w:eastAsia="en-GB"/>
              </w:rPr>
              <w:t xml:space="preserve"> grants)</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33276644" w14:textId="6862E068"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w:t>
            </w:r>
            <w:r w:rsidR="00624C80">
              <w:rPr>
                <w:rFonts w:ascii="Times New Roman" w:hAnsi="Times New Roman"/>
                <w:color w:val="000000"/>
                <w:szCs w:val="22"/>
                <w:lang w:val="en-GB" w:eastAsia="en-GB"/>
              </w:rPr>
              <w:t>4.4</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098B1BD8" w14:textId="3447E2BA"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w:t>
            </w:r>
            <w:r w:rsidR="00624C80">
              <w:rPr>
                <w:rFonts w:ascii="Times New Roman" w:hAnsi="Times New Roman"/>
                <w:color w:val="000000"/>
                <w:szCs w:val="22"/>
                <w:lang w:val="en-GB" w:eastAsia="en-GB"/>
              </w:rPr>
              <w:t>4.7</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38B7D87A" w14:textId="77777777"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lang w:val="en-GB" w:eastAsia="en-GB"/>
              </w:rPr>
              <w:t>-5.3</w:t>
            </w:r>
          </w:p>
        </w:tc>
      </w:tr>
      <w:tr w:rsidR="00435FC6" w:rsidRPr="005B0C54" w14:paraId="7FD59AA2"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0173E"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Aggregate Deficit (excl</w:t>
            </w:r>
            <w:r>
              <w:rPr>
                <w:rFonts w:ascii="Times New Roman" w:hAnsi="Times New Roman"/>
                <w:color w:val="000000"/>
                <w:szCs w:val="22"/>
                <w:lang w:val="en-GB" w:eastAsia="en-GB"/>
              </w:rPr>
              <w:t>.</w:t>
            </w:r>
            <w:r w:rsidRPr="005B0C54">
              <w:rPr>
                <w:rFonts w:ascii="Times New Roman" w:hAnsi="Times New Roman"/>
                <w:color w:val="000000"/>
                <w:szCs w:val="22"/>
                <w:lang w:val="en-GB" w:eastAsia="en-GB"/>
              </w:rPr>
              <w:t xml:space="preserve"> grants)</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6448496A" w14:textId="44D1D775"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w:t>
            </w:r>
            <w:r w:rsidR="00624C80">
              <w:rPr>
                <w:rFonts w:ascii="Times New Roman" w:hAnsi="Times New Roman"/>
                <w:color w:val="000000"/>
                <w:szCs w:val="22"/>
                <w:lang w:val="en-GB" w:eastAsia="en-GB"/>
              </w:rPr>
              <w:t>6.9</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44354193" w14:textId="41436DD5"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w:t>
            </w:r>
            <w:r w:rsidR="00624C80">
              <w:rPr>
                <w:rFonts w:ascii="Times New Roman" w:hAnsi="Times New Roman"/>
                <w:color w:val="000000"/>
                <w:szCs w:val="22"/>
                <w:lang w:val="en-GB" w:eastAsia="en-GB"/>
              </w:rPr>
              <w:t>5</w:t>
            </w:r>
            <w:r w:rsidRPr="005B0C54">
              <w:rPr>
                <w:rFonts w:ascii="Times New Roman" w:hAnsi="Times New Roman"/>
                <w:color w:val="000000"/>
                <w:szCs w:val="22"/>
                <w:lang w:val="en-GB" w:eastAsia="en-GB"/>
              </w:rPr>
              <w:t>.8</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4A217014" w14:textId="77777777" w:rsidR="00435FC6" w:rsidRPr="005B0C54" w:rsidRDefault="00624C80" w:rsidP="00435FC6">
            <w:pPr>
              <w:spacing w:before="0"/>
              <w:ind w:left="0"/>
              <w:jc w:val="right"/>
              <w:rPr>
                <w:rFonts w:ascii="Times New Roman" w:hAnsi="Times New Roman"/>
                <w:color w:val="000000"/>
                <w:lang w:val="en-GB" w:eastAsia="en-GB"/>
              </w:rPr>
            </w:pPr>
            <w:r>
              <w:rPr>
                <w:rFonts w:ascii="Times New Roman" w:hAnsi="Times New Roman"/>
                <w:color w:val="000000"/>
                <w:lang w:val="en-GB" w:eastAsia="en-GB"/>
              </w:rPr>
              <w:t>-7.0</w:t>
            </w:r>
          </w:p>
        </w:tc>
      </w:tr>
      <w:tr w:rsidR="00435FC6" w:rsidRPr="005B0C54" w14:paraId="3F949EED"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A4438"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Net Financing</w:t>
            </w:r>
          </w:p>
        </w:tc>
        <w:tc>
          <w:tcPr>
            <w:tcW w:w="1659" w:type="dxa"/>
            <w:tcBorders>
              <w:top w:val="single" w:sz="4" w:space="0" w:color="auto"/>
              <w:left w:val="nil"/>
              <w:bottom w:val="single" w:sz="4" w:space="0" w:color="auto"/>
              <w:right w:val="single" w:sz="4" w:space="0" w:color="auto"/>
            </w:tcBorders>
            <w:shd w:val="clear" w:color="auto" w:fill="auto"/>
            <w:noWrap/>
            <w:vAlign w:val="bottom"/>
            <w:hideMark/>
          </w:tcPr>
          <w:p w14:paraId="7937EC7C" w14:textId="77777777" w:rsidR="00435FC6" w:rsidRPr="005B0C54" w:rsidRDefault="00435FC6" w:rsidP="00435FC6">
            <w:pPr>
              <w:spacing w:before="0"/>
              <w:ind w:left="0"/>
              <w:jc w:val="left"/>
              <w:rPr>
                <w:rFonts w:ascii="Times New Roman" w:hAnsi="Times New Roman"/>
                <w:color w:val="000000"/>
                <w:lang w:val="en-GB" w:eastAsia="en-GB"/>
              </w:rPr>
            </w:pP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71785092" w14:textId="77777777" w:rsidR="00435FC6" w:rsidRPr="005B0C54" w:rsidRDefault="00435FC6" w:rsidP="00435FC6">
            <w:pPr>
              <w:spacing w:before="0"/>
              <w:ind w:left="0"/>
              <w:jc w:val="left"/>
              <w:rPr>
                <w:rFonts w:ascii="Times New Roman" w:hAnsi="Times New Roman"/>
                <w:color w:val="000000"/>
                <w:lang w:val="en-GB" w:eastAsia="en-GB"/>
              </w:rPr>
            </w:pP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2FB7F73D" w14:textId="77777777" w:rsidR="00435FC6" w:rsidRPr="005B0C54" w:rsidRDefault="00435FC6" w:rsidP="00435FC6">
            <w:pPr>
              <w:spacing w:before="0"/>
              <w:ind w:left="0"/>
              <w:jc w:val="left"/>
              <w:rPr>
                <w:rFonts w:ascii="Times New Roman" w:hAnsi="Times New Roman"/>
                <w:color w:val="000000"/>
                <w:lang w:val="en-GB" w:eastAsia="en-GB"/>
              </w:rPr>
            </w:pPr>
          </w:p>
        </w:tc>
      </w:tr>
      <w:tr w:rsidR="00435FC6" w:rsidRPr="005B0C54" w14:paraId="44E44690"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B3AD"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xml:space="preserve">  - external</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2D76DBED" w14:textId="77777777"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4.8</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43DFD20A" w14:textId="77777777"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4.7</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7C899349" w14:textId="77777777" w:rsidR="00435FC6" w:rsidRPr="005B0C54" w:rsidRDefault="00C712A1" w:rsidP="00435FC6">
            <w:pPr>
              <w:spacing w:before="0"/>
              <w:ind w:left="0"/>
              <w:jc w:val="right"/>
              <w:rPr>
                <w:rFonts w:ascii="Times New Roman" w:hAnsi="Times New Roman"/>
                <w:color w:val="000000"/>
                <w:lang w:val="en-GB" w:eastAsia="en-GB"/>
              </w:rPr>
            </w:pPr>
            <w:proofErr w:type="spellStart"/>
            <w:proofErr w:type="gramStart"/>
            <w:r>
              <w:rPr>
                <w:rFonts w:ascii="Times New Roman" w:hAnsi="Times New Roman"/>
                <w:color w:val="000000"/>
                <w:lang w:val="en-GB" w:eastAsia="en-GB"/>
              </w:rPr>
              <w:t>n.a</w:t>
            </w:r>
            <w:proofErr w:type="spellEnd"/>
            <w:proofErr w:type="gramEnd"/>
          </w:p>
        </w:tc>
      </w:tr>
      <w:tr w:rsidR="00435FC6" w:rsidRPr="005B0C54" w14:paraId="37B5BC62" w14:textId="77777777" w:rsidTr="00D13368">
        <w:trPr>
          <w:trHeight w:val="300"/>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3E3A6" w14:textId="77777777"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 xml:space="preserve"> - domestic </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6CF108E8" w14:textId="77777777"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0.4</w:t>
            </w:r>
          </w:p>
        </w:tc>
        <w:tc>
          <w:tcPr>
            <w:tcW w:w="1659" w:type="dxa"/>
            <w:tcBorders>
              <w:top w:val="single" w:sz="4" w:space="0" w:color="auto"/>
              <w:left w:val="nil"/>
              <w:bottom w:val="single" w:sz="4" w:space="0" w:color="auto"/>
              <w:right w:val="single" w:sz="4" w:space="0" w:color="auto"/>
            </w:tcBorders>
            <w:shd w:val="clear" w:color="auto" w:fill="auto"/>
            <w:noWrap/>
            <w:vAlign w:val="bottom"/>
          </w:tcPr>
          <w:p w14:paraId="75EF8F8F" w14:textId="77777777" w:rsidR="00435FC6" w:rsidRPr="005B0C54" w:rsidRDefault="00435FC6" w:rsidP="00435FC6">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1.2</w:t>
            </w:r>
          </w:p>
        </w:tc>
        <w:tc>
          <w:tcPr>
            <w:tcW w:w="1378" w:type="dxa"/>
            <w:tcBorders>
              <w:top w:val="single" w:sz="4" w:space="0" w:color="auto"/>
              <w:left w:val="nil"/>
              <w:bottom w:val="single" w:sz="4" w:space="0" w:color="auto"/>
              <w:right w:val="single" w:sz="4" w:space="0" w:color="auto"/>
            </w:tcBorders>
            <w:shd w:val="clear" w:color="auto" w:fill="auto"/>
            <w:noWrap/>
            <w:vAlign w:val="bottom"/>
          </w:tcPr>
          <w:p w14:paraId="026354B8" w14:textId="77777777" w:rsidR="00435FC6" w:rsidRPr="005B0C54" w:rsidRDefault="00C712A1" w:rsidP="00435FC6">
            <w:pPr>
              <w:spacing w:before="0"/>
              <w:ind w:left="0"/>
              <w:jc w:val="right"/>
              <w:rPr>
                <w:rFonts w:ascii="Times New Roman" w:hAnsi="Times New Roman"/>
                <w:color w:val="000000"/>
                <w:lang w:val="en-GB" w:eastAsia="en-GB"/>
              </w:rPr>
            </w:pPr>
            <w:proofErr w:type="spellStart"/>
            <w:proofErr w:type="gramStart"/>
            <w:r>
              <w:rPr>
                <w:rFonts w:ascii="Times New Roman" w:hAnsi="Times New Roman"/>
                <w:color w:val="000000"/>
                <w:lang w:val="en-GB" w:eastAsia="en-GB"/>
              </w:rPr>
              <w:t>n.a</w:t>
            </w:r>
            <w:proofErr w:type="spellEnd"/>
            <w:proofErr w:type="gramEnd"/>
          </w:p>
        </w:tc>
      </w:tr>
      <w:tr w:rsidR="00435FC6" w:rsidRPr="005B0C54" w14:paraId="37F41899" w14:textId="77777777" w:rsidTr="00D13368">
        <w:trPr>
          <w:trHeight w:val="300"/>
          <w:jc w:val="center"/>
        </w:trPr>
        <w:tc>
          <w:tcPr>
            <w:tcW w:w="81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8D584" w14:textId="77777777" w:rsidR="00435FC6" w:rsidRPr="005B0C54" w:rsidRDefault="00435FC6" w:rsidP="00435FC6">
            <w:pPr>
              <w:spacing w:before="0"/>
              <w:ind w:left="0"/>
              <w:jc w:val="left"/>
              <w:rPr>
                <w:rFonts w:ascii="Times New Roman" w:hAnsi="Times New Roman"/>
                <w:color w:val="000000"/>
                <w:lang w:val="en-GB" w:eastAsia="en-GB"/>
              </w:rPr>
            </w:pPr>
            <w:r>
              <w:rPr>
                <w:rFonts w:ascii="Times New Roman" w:hAnsi="Times New Roman"/>
                <w:color w:val="000000"/>
                <w:szCs w:val="22"/>
                <w:lang w:val="en-GB" w:eastAsia="en-GB"/>
              </w:rPr>
              <w:t xml:space="preserve">Note: </w:t>
            </w:r>
            <w:r w:rsidR="00310D44" w:rsidRPr="00310D44">
              <w:rPr>
                <w:rFonts w:ascii="Times New Roman" w:hAnsi="Times New Roman"/>
                <w:color w:val="000000"/>
                <w:sz w:val="18"/>
                <w:szCs w:val="22"/>
                <w:lang w:val="en-GB" w:eastAsia="en-GB"/>
              </w:rPr>
              <w:t>Totals may not add up due to rounding</w:t>
            </w:r>
          </w:p>
        </w:tc>
      </w:tr>
      <w:tr w:rsidR="00435FC6" w:rsidRPr="005B0C54" w14:paraId="50F9FB71" w14:textId="77777777" w:rsidTr="00D13368">
        <w:trPr>
          <w:trHeight w:val="300"/>
          <w:jc w:val="center"/>
        </w:trPr>
        <w:tc>
          <w:tcPr>
            <w:tcW w:w="81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71C9" w14:textId="52D96569" w:rsidR="00435FC6" w:rsidRPr="005B0C54" w:rsidRDefault="00435FC6" w:rsidP="00435FC6">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Source</w:t>
            </w:r>
            <w:r w:rsidR="00C712A1">
              <w:rPr>
                <w:rFonts w:ascii="Times New Roman" w:hAnsi="Times New Roman"/>
                <w:color w:val="000000"/>
                <w:szCs w:val="22"/>
                <w:lang w:val="en-GB" w:eastAsia="en-GB"/>
              </w:rPr>
              <w:t xml:space="preserve"> World Bank data</w:t>
            </w:r>
          </w:p>
        </w:tc>
      </w:tr>
    </w:tbl>
    <w:p w14:paraId="21300C92" w14:textId="0878CFC3" w:rsidR="003E4C9A"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E42308">
        <w:rPr>
          <w:rFonts w:ascii="Times New Roman" w:eastAsiaTheme="minorHAnsi" w:hAnsi="Times New Roman"/>
          <w:b/>
          <w:sz w:val="24"/>
        </w:rPr>
        <w:t>Given the structure of the chart of account, expenditure is not classified by function.</w:t>
      </w:r>
      <w:r w:rsidR="009D64BB">
        <w:rPr>
          <w:rFonts w:ascii="Times New Roman" w:eastAsiaTheme="minorHAnsi" w:hAnsi="Times New Roman"/>
          <w:sz w:val="24"/>
        </w:rPr>
        <w:t xml:space="preserve"> </w:t>
      </w:r>
      <w:r w:rsidR="000C61A6">
        <w:rPr>
          <w:rFonts w:ascii="Times New Roman" w:eastAsiaTheme="minorHAnsi" w:hAnsi="Times New Roman"/>
          <w:sz w:val="24"/>
        </w:rPr>
        <w:t xml:space="preserve">The </w:t>
      </w:r>
      <w:r w:rsidR="003E4C9A">
        <w:rPr>
          <w:rFonts w:ascii="Times New Roman" w:eastAsiaTheme="minorHAnsi" w:hAnsi="Times New Roman"/>
          <w:sz w:val="24"/>
        </w:rPr>
        <w:t xml:space="preserve">only information available on the </w:t>
      </w:r>
      <w:r w:rsidR="000C61A6">
        <w:rPr>
          <w:rFonts w:ascii="Times New Roman" w:eastAsiaTheme="minorHAnsi" w:hAnsi="Times New Roman"/>
          <w:sz w:val="24"/>
        </w:rPr>
        <w:t>breakdown</w:t>
      </w:r>
      <w:r w:rsidR="00635522">
        <w:rPr>
          <w:rFonts w:ascii="Times New Roman" w:eastAsiaTheme="minorHAnsi" w:hAnsi="Times New Roman"/>
          <w:sz w:val="24"/>
        </w:rPr>
        <w:t xml:space="preserve"> </w:t>
      </w:r>
      <w:r w:rsidR="003E4C9A">
        <w:rPr>
          <w:rFonts w:ascii="Times New Roman" w:eastAsiaTheme="minorHAnsi" w:hAnsi="Times New Roman"/>
          <w:sz w:val="24"/>
        </w:rPr>
        <w:t>of expenditures by government sectors for 2017 and 2018 is</w:t>
      </w:r>
      <w:r w:rsidR="00003E42">
        <w:rPr>
          <w:rFonts w:ascii="Times New Roman" w:eastAsiaTheme="minorHAnsi" w:hAnsi="Times New Roman"/>
          <w:sz w:val="24"/>
        </w:rPr>
        <w:t xml:space="preserve"> presented in Table 2.3</w:t>
      </w:r>
      <w:r w:rsidR="003E4C9A">
        <w:rPr>
          <w:rFonts w:ascii="Times New Roman" w:eastAsiaTheme="minorHAnsi" w:hAnsi="Times New Roman"/>
          <w:sz w:val="24"/>
        </w:rPr>
        <w:t xml:space="preserve"> as follows:</w:t>
      </w:r>
    </w:p>
    <w:tbl>
      <w:tblPr>
        <w:tblW w:w="7340" w:type="dxa"/>
        <w:tblCellMar>
          <w:left w:w="70" w:type="dxa"/>
          <w:right w:w="70" w:type="dxa"/>
        </w:tblCellMar>
        <w:tblLook w:val="04A0" w:firstRow="1" w:lastRow="0" w:firstColumn="1" w:lastColumn="0" w:noHBand="0" w:noVBand="1"/>
      </w:tblPr>
      <w:tblGrid>
        <w:gridCol w:w="620"/>
        <w:gridCol w:w="3220"/>
        <w:gridCol w:w="1645"/>
        <w:gridCol w:w="1855"/>
      </w:tblGrid>
      <w:tr w:rsidR="00003E42" w:rsidRPr="00003E42" w14:paraId="1987ACB7" w14:textId="77777777" w:rsidTr="003648EB">
        <w:trPr>
          <w:trHeight w:val="404"/>
        </w:trPr>
        <w:tc>
          <w:tcPr>
            <w:tcW w:w="7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F13CE" w14:textId="77777777" w:rsidR="00003E42" w:rsidRPr="00E0065F" w:rsidRDefault="00003E42" w:rsidP="003E4C9A">
            <w:pPr>
              <w:spacing w:before="0"/>
              <w:ind w:left="0"/>
              <w:jc w:val="center"/>
              <w:rPr>
                <w:rFonts w:ascii="Times New Roman" w:hAnsi="Times New Roman"/>
                <w:b/>
                <w:bCs/>
                <w:color w:val="000000"/>
                <w:szCs w:val="22"/>
                <w:lang w:val="en-MY" w:eastAsia="fr-FR"/>
              </w:rPr>
            </w:pPr>
            <w:r w:rsidRPr="00E0065F">
              <w:rPr>
                <w:rFonts w:ascii="Times New Roman" w:hAnsi="Times New Roman"/>
                <w:b/>
                <w:bCs/>
                <w:color w:val="000000"/>
                <w:szCs w:val="22"/>
                <w:lang w:val="en-MY" w:eastAsia="fr-FR"/>
              </w:rPr>
              <w:t>Table 2.3 Budget allocations by governme</w:t>
            </w:r>
            <w:r>
              <w:rPr>
                <w:rFonts w:ascii="Times New Roman" w:hAnsi="Times New Roman"/>
                <w:b/>
                <w:bCs/>
                <w:color w:val="000000"/>
                <w:szCs w:val="22"/>
                <w:lang w:val="en-MY" w:eastAsia="fr-FR"/>
              </w:rPr>
              <w:t>nt sectors</w:t>
            </w:r>
          </w:p>
        </w:tc>
      </w:tr>
      <w:tr w:rsidR="00003E42" w:rsidRPr="003E4C9A" w14:paraId="434B0DA0" w14:textId="77777777" w:rsidTr="00003E42">
        <w:trPr>
          <w:trHeight w:val="404"/>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9AB05"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No.</w:t>
            </w:r>
          </w:p>
        </w:tc>
        <w:tc>
          <w:tcPr>
            <w:tcW w:w="3220" w:type="dxa"/>
            <w:tcBorders>
              <w:top w:val="single" w:sz="4" w:space="0" w:color="auto"/>
              <w:left w:val="nil"/>
              <w:bottom w:val="single" w:sz="4" w:space="0" w:color="auto"/>
              <w:right w:val="single" w:sz="4" w:space="0" w:color="auto"/>
            </w:tcBorders>
            <w:shd w:val="clear" w:color="auto" w:fill="auto"/>
            <w:noWrap/>
            <w:vAlign w:val="center"/>
          </w:tcPr>
          <w:p w14:paraId="79229DAE"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 xml:space="preserve"> Description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40080543"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 xml:space="preserve"> Total 2017 </w:t>
            </w:r>
          </w:p>
        </w:tc>
        <w:tc>
          <w:tcPr>
            <w:tcW w:w="1855" w:type="dxa"/>
            <w:tcBorders>
              <w:top w:val="single" w:sz="4" w:space="0" w:color="auto"/>
              <w:left w:val="nil"/>
              <w:bottom w:val="single" w:sz="4" w:space="0" w:color="auto"/>
              <w:right w:val="single" w:sz="4" w:space="0" w:color="auto"/>
            </w:tcBorders>
            <w:shd w:val="clear" w:color="auto" w:fill="auto"/>
            <w:noWrap/>
            <w:vAlign w:val="center"/>
          </w:tcPr>
          <w:p w14:paraId="0EBEA84B"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 xml:space="preserve"> Total 2018 </w:t>
            </w:r>
          </w:p>
        </w:tc>
      </w:tr>
      <w:tr w:rsidR="00003E42" w:rsidRPr="003E4C9A" w14:paraId="269CFF53" w14:textId="77777777" w:rsidTr="00E0065F">
        <w:trPr>
          <w:trHeight w:val="68"/>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69ECC"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 </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6316D29F" w14:textId="77777777" w:rsidR="00003E42" w:rsidRPr="003E4C9A" w:rsidRDefault="00003E42" w:rsidP="00003E42">
            <w:pPr>
              <w:spacing w:before="0"/>
              <w:ind w:left="0"/>
              <w:jc w:val="lef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 Total </w:t>
            </w:r>
            <w:proofErr w:type="spellStart"/>
            <w:r w:rsidRPr="003E4C9A">
              <w:rPr>
                <w:rFonts w:ascii="Times New Roman" w:hAnsi="Times New Roman"/>
                <w:b/>
                <w:bCs/>
                <w:color w:val="000000"/>
                <w:szCs w:val="22"/>
                <w:u w:val="single"/>
                <w:lang w:val="fr-FR" w:eastAsia="fr-FR"/>
              </w:rPr>
              <w:t>Expenditure</w:t>
            </w:r>
            <w:proofErr w:type="spellEnd"/>
            <w:r w:rsidRPr="003E4C9A">
              <w:rPr>
                <w:rFonts w:ascii="Times New Roman" w:hAnsi="Times New Roman"/>
                <w:b/>
                <w:bCs/>
                <w:color w:val="000000"/>
                <w:szCs w:val="22"/>
                <w:u w:val="single"/>
                <w:lang w:val="fr-FR" w:eastAsia="fr-FR"/>
              </w:rPr>
              <w:t xml:space="preserve"> </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7D9B07C8" w14:textId="77777777" w:rsidR="00003E42" w:rsidRPr="003E4C9A" w:rsidRDefault="00003E42" w:rsidP="00E0065F">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32,402,000 </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3F8684AF" w14:textId="77777777" w:rsidR="00003E42" w:rsidRPr="003E4C9A" w:rsidRDefault="00003E42" w:rsidP="00003E42">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32,809,412 </w:t>
            </w:r>
          </w:p>
        </w:tc>
      </w:tr>
      <w:tr w:rsidR="00003E42" w:rsidRPr="003E4C9A" w14:paraId="455BDA22" w14:textId="77777777" w:rsidTr="00E0065F">
        <w:trPr>
          <w:trHeight w:val="287"/>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FFBCD25"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I</w:t>
            </w:r>
          </w:p>
        </w:tc>
        <w:tc>
          <w:tcPr>
            <w:tcW w:w="3220" w:type="dxa"/>
            <w:tcBorders>
              <w:top w:val="nil"/>
              <w:left w:val="nil"/>
              <w:bottom w:val="single" w:sz="4" w:space="0" w:color="auto"/>
              <w:right w:val="single" w:sz="4" w:space="0" w:color="auto"/>
            </w:tcBorders>
            <w:shd w:val="clear" w:color="auto" w:fill="auto"/>
            <w:noWrap/>
            <w:vAlign w:val="bottom"/>
            <w:hideMark/>
          </w:tcPr>
          <w:p w14:paraId="29F9F4E9" w14:textId="77777777" w:rsidR="00003E42" w:rsidRPr="003E4C9A" w:rsidRDefault="00003E42" w:rsidP="00003E42">
            <w:pPr>
              <w:spacing w:before="0"/>
              <w:ind w:left="0"/>
              <w:jc w:val="lef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 </w:t>
            </w:r>
            <w:proofErr w:type="spellStart"/>
            <w:r w:rsidRPr="003E4C9A">
              <w:rPr>
                <w:rFonts w:ascii="Times New Roman" w:hAnsi="Times New Roman"/>
                <w:b/>
                <w:bCs/>
                <w:color w:val="000000"/>
                <w:szCs w:val="22"/>
                <w:u w:val="single"/>
                <w:lang w:val="fr-FR" w:eastAsia="fr-FR"/>
              </w:rPr>
              <w:t>Economic</w:t>
            </w:r>
            <w:proofErr w:type="spellEnd"/>
            <w:r w:rsidRPr="003E4C9A">
              <w:rPr>
                <w:rFonts w:ascii="Times New Roman" w:hAnsi="Times New Roman"/>
                <w:b/>
                <w:bCs/>
                <w:color w:val="000000"/>
                <w:szCs w:val="22"/>
                <w:u w:val="single"/>
                <w:lang w:val="fr-FR" w:eastAsia="fr-FR"/>
              </w:rPr>
              <w:t xml:space="preserve"> </w:t>
            </w:r>
            <w:proofErr w:type="spellStart"/>
            <w:r w:rsidRPr="003E4C9A">
              <w:rPr>
                <w:rFonts w:ascii="Times New Roman" w:hAnsi="Times New Roman"/>
                <w:b/>
                <w:bCs/>
                <w:color w:val="000000"/>
                <w:szCs w:val="22"/>
                <w:u w:val="single"/>
                <w:lang w:val="fr-FR" w:eastAsia="fr-FR"/>
              </w:rPr>
              <w:t>sector</w:t>
            </w:r>
            <w:proofErr w:type="spellEnd"/>
            <w:r w:rsidRPr="003E4C9A">
              <w:rPr>
                <w:rFonts w:ascii="Times New Roman" w:hAnsi="Times New Roman"/>
                <w:b/>
                <w:bCs/>
                <w:color w:val="000000"/>
                <w:szCs w:val="22"/>
                <w:u w:val="single"/>
                <w:lang w:val="fr-FR" w:eastAsia="fr-FR"/>
              </w:rPr>
              <w:t xml:space="preserve"> </w:t>
            </w:r>
          </w:p>
        </w:tc>
        <w:tc>
          <w:tcPr>
            <w:tcW w:w="1645" w:type="dxa"/>
            <w:tcBorders>
              <w:top w:val="nil"/>
              <w:left w:val="nil"/>
              <w:bottom w:val="single" w:sz="4" w:space="0" w:color="auto"/>
              <w:right w:val="single" w:sz="4" w:space="0" w:color="auto"/>
            </w:tcBorders>
            <w:shd w:val="clear" w:color="auto" w:fill="auto"/>
            <w:noWrap/>
            <w:vAlign w:val="bottom"/>
            <w:hideMark/>
          </w:tcPr>
          <w:p w14:paraId="75355AD8" w14:textId="77777777" w:rsidR="00003E42" w:rsidRPr="003E4C9A" w:rsidRDefault="00003E42" w:rsidP="00E0065F">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1,910,847 </w:t>
            </w:r>
          </w:p>
        </w:tc>
        <w:tc>
          <w:tcPr>
            <w:tcW w:w="1855" w:type="dxa"/>
            <w:tcBorders>
              <w:top w:val="nil"/>
              <w:left w:val="nil"/>
              <w:bottom w:val="single" w:sz="4" w:space="0" w:color="auto"/>
              <w:right w:val="single" w:sz="4" w:space="0" w:color="auto"/>
            </w:tcBorders>
            <w:shd w:val="clear" w:color="auto" w:fill="auto"/>
            <w:noWrap/>
            <w:vAlign w:val="bottom"/>
            <w:hideMark/>
          </w:tcPr>
          <w:p w14:paraId="1AEB0642" w14:textId="77777777" w:rsidR="00003E42" w:rsidRPr="003E4C9A" w:rsidRDefault="00003E42" w:rsidP="00003E42">
            <w:pPr>
              <w:spacing w:before="0"/>
              <w:ind w:left="0"/>
              <w:jc w:val="right"/>
              <w:rPr>
                <w:rFonts w:ascii="Times New Roman" w:hAnsi="Times New Roman"/>
                <w:color w:val="000000"/>
                <w:szCs w:val="22"/>
                <w:u w:val="single"/>
                <w:lang w:val="fr-FR" w:eastAsia="fr-FR"/>
              </w:rPr>
            </w:pPr>
            <w:r w:rsidRPr="003E4C9A">
              <w:rPr>
                <w:rFonts w:ascii="Times New Roman" w:hAnsi="Times New Roman"/>
                <w:color w:val="000000"/>
                <w:szCs w:val="22"/>
                <w:u w:val="single"/>
                <w:lang w:val="fr-FR" w:eastAsia="fr-FR"/>
              </w:rPr>
              <w:t xml:space="preserve">6,100,193 </w:t>
            </w:r>
          </w:p>
        </w:tc>
      </w:tr>
      <w:tr w:rsidR="00003E42" w:rsidRPr="003E4C9A" w14:paraId="1DB17D77"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FCC211E"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1</w:t>
            </w:r>
          </w:p>
        </w:tc>
        <w:tc>
          <w:tcPr>
            <w:tcW w:w="3220" w:type="dxa"/>
            <w:tcBorders>
              <w:top w:val="nil"/>
              <w:left w:val="nil"/>
              <w:bottom w:val="single" w:sz="4" w:space="0" w:color="auto"/>
              <w:right w:val="single" w:sz="4" w:space="0" w:color="auto"/>
            </w:tcBorders>
            <w:shd w:val="clear" w:color="auto" w:fill="auto"/>
            <w:noWrap/>
            <w:hideMark/>
          </w:tcPr>
          <w:p w14:paraId="051F62C7"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Finance  </w:t>
            </w:r>
          </w:p>
        </w:tc>
        <w:tc>
          <w:tcPr>
            <w:tcW w:w="1645" w:type="dxa"/>
            <w:tcBorders>
              <w:top w:val="nil"/>
              <w:left w:val="nil"/>
              <w:bottom w:val="single" w:sz="4" w:space="0" w:color="auto"/>
              <w:right w:val="single" w:sz="4" w:space="0" w:color="auto"/>
            </w:tcBorders>
            <w:shd w:val="clear" w:color="auto" w:fill="auto"/>
            <w:noWrap/>
            <w:hideMark/>
          </w:tcPr>
          <w:p w14:paraId="201D2EE8"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436,553 </w:t>
            </w:r>
          </w:p>
        </w:tc>
        <w:tc>
          <w:tcPr>
            <w:tcW w:w="1855" w:type="dxa"/>
            <w:tcBorders>
              <w:top w:val="nil"/>
              <w:left w:val="nil"/>
              <w:bottom w:val="single" w:sz="4" w:space="0" w:color="auto"/>
              <w:right w:val="single" w:sz="4" w:space="0" w:color="auto"/>
            </w:tcBorders>
            <w:shd w:val="clear" w:color="auto" w:fill="auto"/>
            <w:noWrap/>
            <w:vAlign w:val="bottom"/>
            <w:hideMark/>
          </w:tcPr>
          <w:p w14:paraId="1A9D401E"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2,035,247 </w:t>
            </w:r>
          </w:p>
        </w:tc>
      </w:tr>
      <w:tr w:rsidR="00003E42" w:rsidRPr="003E4C9A" w14:paraId="23000609"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D270B68"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2</w:t>
            </w:r>
          </w:p>
        </w:tc>
        <w:tc>
          <w:tcPr>
            <w:tcW w:w="3220" w:type="dxa"/>
            <w:tcBorders>
              <w:top w:val="nil"/>
              <w:left w:val="nil"/>
              <w:bottom w:val="single" w:sz="4" w:space="0" w:color="auto"/>
              <w:right w:val="single" w:sz="4" w:space="0" w:color="auto"/>
            </w:tcBorders>
            <w:shd w:val="clear" w:color="auto" w:fill="auto"/>
            <w:noWrap/>
            <w:hideMark/>
          </w:tcPr>
          <w:p w14:paraId="1DED7212"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Planning and Investment </w:t>
            </w:r>
          </w:p>
        </w:tc>
        <w:tc>
          <w:tcPr>
            <w:tcW w:w="1645" w:type="dxa"/>
            <w:tcBorders>
              <w:top w:val="nil"/>
              <w:left w:val="nil"/>
              <w:bottom w:val="single" w:sz="4" w:space="0" w:color="auto"/>
              <w:right w:val="single" w:sz="4" w:space="0" w:color="auto"/>
            </w:tcBorders>
            <w:shd w:val="clear" w:color="auto" w:fill="auto"/>
            <w:noWrap/>
            <w:hideMark/>
          </w:tcPr>
          <w:p w14:paraId="393DD57C"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84,361 </w:t>
            </w:r>
          </w:p>
        </w:tc>
        <w:tc>
          <w:tcPr>
            <w:tcW w:w="1855" w:type="dxa"/>
            <w:tcBorders>
              <w:top w:val="nil"/>
              <w:left w:val="nil"/>
              <w:bottom w:val="single" w:sz="4" w:space="0" w:color="auto"/>
              <w:right w:val="single" w:sz="4" w:space="0" w:color="auto"/>
            </w:tcBorders>
            <w:shd w:val="clear" w:color="auto" w:fill="auto"/>
            <w:noWrap/>
            <w:vAlign w:val="bottom"/>
            <w:hideMark/>
          </w:tcPr>
          <w:p w14:paraId="1433D1B0"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511,477 </w:t>
            </w:r>
          </w:p>
        </w:tc>
      </w:tr>
      <w:tr w:rsidR="00003E42" w:rsidRPr="003E4C9A" w14:paraId="2CABD496"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2F44A7B"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3</w:t>
            </w:r>
          </w:p>
        </w:tc>
        <w:tc>
          <w:tcPr>
            <w:tcW w:w="3220" w:type="dxa"/>
            <w:tcBorders>
              <w:top w:val="nil"/>
              <w:left w:val="nil"/>
              <w:bottom w:val="single" w:sz="4" w:space="0" w:color="auto"/>
              <w:right w:val="single" w:sz="4" w:space="0" w:color="auto"/>
            </w:tcBorders>
            <w:shd w:val="clear" w:color="auto" w:fill="auto"/>
            <w:noWrap/>
            <w:hideMark/>
          </w:tcPr>
          <w:p w14:paraId="00DA27E8"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Agriculture and </w:t>
            </w:r>
            <w:proofErr w:type="spellStart"/>
            <w:r w:rsidRPr="003E4C9A">
              <w:rPr>
                <w:rFonts w:ascii="Times New Roman" w:hAnsi="Times New Roman"/>
                <w:color w:val="000000"/>
                <w:szCs w:val="22"/>
                <w:lang w:val="fr-FR" w:eastAsia="fr-FR"/>
              </w:rPr>
              <w:t>Forestry</w:t>
            </w:r>
            <w:proofErr w:type="spellEnd"/>
          </w:p>
        </w:tc>
        <w:tc>
          <w:tcPr>
            <w:tcW w:w="1645" w:type="dxa"/>
            <w:tcBorders>
              <w:top w:val="nil"/>
              <w:left w:val="nil"/>
              <w:bottom w:val="single" w:sz="4" w:space="0" w:color="auto"/>
              <w:right w:val="single" w:sz="4" w:space="0" w:color="auto"/>
            </w:tcBorders>
            <w:shd w:val="clear" w:color="auto" w:fill="auto"/>
            <w:noWrap/>
            <w:hideMark/>
          </w:tcPr>
          <w:p w14:paraId="4C398CE1"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330,628 </w:t>
            </w:r>
          </w:p>
        </w:tc>
        <w:tc>
          <w:tcPr>
            <w:tcW w:w="1855" w:type="dxa"/>
            <w:tcBorders>
              <w:top w:val="nil"/>
              <w:left w:val="nil"/>
              <w:bottom w:val="single" w:sz="4" w:space="0" w:color="auto"/>
              <w:right w:val="single" w:sz="4" w:space="0" w:color="auto"/>
            </w:tcBorders>
            <w:shd w:val="clear" w:color="auto" w:fill="auto"/>
            <w:noWrap/>
            <w:vAlign w:val="bottom"/>
            <w:hideMark/>
          </w:tcPr>
          <w:p w14:paraId="56DE63E9"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473,688 </w:t>
            </w:r>
          </w:p>
        </w:tc>
      </w:tr>
      <w:tr w:rsidR="00003E42" w:rsidRPr="003E4C9A" w14:paraId="7E212475"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7074A65"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4</w:t>
            </w:r>
          </w:p>
        </w:tc>
        <w:tc>
          <w:tcPr>
            <w:tcW w:w="3220" w:type="dxa"/>
            <w:tcBorders>
              <w:top w:val="nil"/>
              <w:left w:val="nil"/>
              <w:bottom w:val="single" w:sz="4" w:space="0" w:color="auto"/>
              <w:right w:val="single" w:sz="4" w:space="0" w:color="auto"/>
            </w:tcBorders>
            <w:shd w:val="clear" w:color="auto" w:fill="auto"/>
            <w:noWrap/>
            <w:hideMark/>
          </w:tcPr>
          <w:p w14:paraId="4DBDDE9B"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Public Works and Transports </w:t>
            </w:r>
          </w:p>
        </w:tc>
        <w:tc>
          <w:tcPr>
            <w:tcW w:w="1645" w:type="dxa"/>
            <w:tcBorders>
              <w:top w:val="nil"/>
              <w:left w:val="nil"/>
              <w:bottom w:val="single" w:sz="4" w:space="0" w:color="auto"/>
              <w:right w:val="single" w:sz="4" w:space="0" w:color="auto"/>
            </w:tcBorders>
            <w:shd w:val="clear" w:color="auto" w:fill="auto"/>
            <w:noWrap/>
            <w:hideMark/>
          </w:tcPr>
          <w:p w14:paraId="0811B8F4"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894,934 </w:t>
            </w:r>
          </w:p>
        </w:tc>
        <w:tc>
          <w:tcPr>
            <w:tcW w:w="1855" w:type="dxa"/>
            <w:tcBorders>
              <w:top w:val="nil"/>
              <w:left w:val="nil"/>
              <w:bottom w:val="single" w:sz="4" w:space="0" w:color="auto"/>
              <w:right w:val="single" w:sz="4" w:space="0" w:color="auto"/>
            </w:tcBorders>
            <w:shd w:val="clear" w:color="auto" w:fill="auto"/>
            <w:noWrap/>
            <w:vAlign w:val="bottom"/>
            <w:hideMark/>
          </w:tcPr>
          <w:p w14:paraId="2AF1178C"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2,746,340 </w:t>
            </w:r>
          </w:p>
        </w:tc>
      </w:tr>
      <w:tr w:rsidR="00003E42" w:rsidRPr="003E4C9A" w14:paraId="73DB5DD3"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8808B19"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5</w:t>
            </w:r>
          </w:p>
        </w:tc>
        <w:tc>
          <w:tcPr>
            <w:tcW w:w="3220" w:type="dxa"/>
            <w:tcBorders>
              <w:top w:val="nil"/>
              <w:left w:val="nil"/>
              <w:bottom w:val="single" w:sz="4" w:space="0" w:color="auto"/>
              <w:right w:val="single" w:sz="4" w:space="0" w:color="auto"/>
            </w:tcBorders>
            <w:shd w:val="clear" w:color="auto" w:fill="auto"/>
            <w:noWrap/>
            <w:hideMark/>
          </w:tcPr>
          <w:p w14:paraId="56651BD1"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Energy and Mines </w:t>
            </w:r>
          </w:p>
        </w:tc>
        <w:tc>
          <w:tcPr>
            <w:tcW w:w="1645" w:type="dxa"/>
            <w:tcBorders>
              <w:top w:val="nil"/>
              <w:left w:val="nil"/>
              <w:bottom w:val="single" w:sz="4" w:space="0" w:color="auto"/>
              <w:right w:val="single" w:sz="4" w:space="0" w:color="auto"/>
            </w:tcBorders>
            <w:shd w:val="clear" w:color="auto" w:fill="auto"/>
            <w:noWrap/>
            <w:hideMark/>
          </w:tcPr>
          <w:p w14:paraId="7FE903AD"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87,494 </w:t>
            </w:r>
          </w:p>
        </w:tc>
        <w:tc>
          <w:tcPr>
            <w:tcW w:w="1855" w:type="dxa"/>
            <w:tcBorders>
              <w:top w:val="nil"/>
              <w:left w:val="nil"/>
              <w:bottom w:val="single" w:sz="4" w:space="0" w:color="auto"/>
              <w:right w:val="single" w:sz="4" w:space="0" w:color="auto"/>
            </w:tcBorders>
            <w:shd w:val="clear" w:color="auto" w:fill="auto"/>
            <w:noWrap/>
            <w:vAlign w:val="bottom"/>
            <w:hideMark/>
          </w:tcPr>
          <w:p w14:paraId="293F137D"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245,519 </w:t>
            </w:r>
          </w:p>
        </w:tc>
      </w:tr>
      <w:tr w:rsidR="00003E42" w:rsidRPr="003E4C9A" w14:paraId="301EE03E"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1AB696E"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6</w:t>
            </w:r>
          </w:p>
        </w:tc>
        <w:tc>
          <w:tcPr>
            <w:tcW w:w="3220" w:type="dxa"/>
            <w:tcBorders>
              <w:top w:val="nil"/>
              <w:left w:val="nil"/>
              <w:bottom w:val="single" w:sz="4" w:space="0" w:color="auto"/>
              <w:right w:val="single" w:sz="4" w:space="0" w:color="auto"/>
            </w:tcBorders>
            <w:shd w:val="clear" w:color="auto" w:fill="auto"/>
            <w:noWrap/>
            <w:vAlign w:val="bottom"/>
            <w:hideMark/>
          </w:tcPr>
          <w:p w14:paraId="67F86B83"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w:t>
            </w:r>
            <w:proofErr w:type="spellStart"/>
            <w:r w:rsidRPr="003E4C9A">
              <w:rPr>
                <w:rFonts w:ascii="Times New Roman" w:hAnsi="Times New Roman"/>
                <w:color w:val="000000"/>
                <w:szCs w:val="22"/>
                <w:lang w:val="fr-FR" w:eastAsia="fr-FR"/>
              </w:rPr>
              <w:t>Industry</w:t>
            </w:r>
            <w:proofErr w:type="spellEnd"/>
            <w:r w:rsidRPr="003E4C9A">
              <w:rPr>
                <w:rFonts w:ascii="Times New Roman" w:hAnsi="Times New Roman"/>
                <w:color w:val="000000"/>
                <w:szCs w:val="22"/>
                <w:lang w:val="fr-FR" w:eastAsia="fr-FR"/>
              </w:rPr>
              <w:t xml:space="preserve"> and Commerce </w:t>
            </w:r>
          </w:p>
        </w:tc>
        <w:tc>
          <w:tcPr>
            <w:tcW w:w="1645" w:type="dxa"/>
            <w:tcBorders>
              <w:top w:val="nil"/>
              <w:left w:val="nil"/>
              <w:bottom w:val="single" w:sz="4" w:space="0" w:color="auto"/>
              <w:right w:val="single" w:sz="4" w:space="0" w:color="auto"/>
            </w:tcBorders>
            <w:shd w:val="clear" w:color="auto" w:fill="auto"/>
            <w:noWrap/>
            <w:vAlign w:val="bottom"/>
            <w:hideMark/>
          </w:tcPr>
          <w:p w14:paraId="40417687"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76,876 </w:t>
            </w:r>
          </w:p>
        </w:tc>
        <w:tc>
          <w:tcPr>
            <w:tcW w:w="1855" w:type="dxa"/>
            <w:tcBorders>
              <w:top w:val="nil"/>
              <w:left w:val="nil"/>
              <w:bottom w:val="single" w:sz="4" w:space="0" w:color="auto"/>
              <w:right w:val="single" w:sz="4" w:space="0" w:color="auto"/>
            </w:tcBorders>
            <w:shd w:val="clear" w:color="auto" w:fill="auto"/>
            <w:noWrap/>
            <w:vAlign w:val="bottom"/>
            <w:hideMark/>
          </w:tcPr>
          <w:p w14:paraId="2A6CEF23"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87,922 </w:t>
            </w:r>
          </w:p>
        </w:tc>
      </w:tr>
      <w:tr w:rsidR="00003E42" w:rsidRPr="003E4C9A" w14:paraId="132DB877" w14:textId="77777777" w:rsidTr="00E0065F">
        <w:trPr>
          <w:trHeight w:val="377"/>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B8D6BCA"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II</w:t>
            </w:r>
          </w:p>
        </w:tc>
        <w:tc>
          <w:tcPr>
            <w:tcW w:w="3220" w:type="dxa"/>
            <w:tcBorders>
              <w:top w:val="nil"/>
              <w:left w:val="nil"/>
              <w:bottom w:val="single" w:sz="4" w:space="0" w:color="auto"/>
              <w:right w:val="single" w:sz="4" w:space="0" w:color="auto"/>
            </w:tcBorders>
            <w:shd w:val="clear" w:color="auto" w:fill="auto"/>
            <w:noWrap/>
            <w:vAlign w:val="bottom"/>
            <w:hideMark/>
          </w:tcPr>
          <w:p w14:paraId="6B6CDFE0" w14:textId="77777777" w:rsidR="00003E42" w:rsidRPr="003E4C9A" w:rsidRDefault="00003E42" w:rsidP="00003E42">
            <w:pPr>
              <w:spacing w:before="0"/>
              <w:ind w:left="0"/>
              <w:jc w:val="lef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 Social and Cultural </w:t>
            </w:r>
            <w:proofErr w:type="spellStart"/>
            <w:r w:rsidRPr="003E4C9A">
              <w:rPr>
                <w:rFonts w:ascii="Times New Roman" w:hAnsi="Times New Roman"/>
                <w:b/>
                <w:bCs/>
                <w:color w:val="000000"/>
                <w:szCs w:val="22"/>
                <w:u w:val="single"/>
                <w:lang w:val="fr-FR" w:eastAsia="fr-FR"/>
              </w:rPr>
              <w:t>sector</w:t>
            </w:r>
            <w:proofErr w:type="spellEnd"/>
            <w:r w:rsidRPr="003E4C9A">
              <w:rPr>
                <w:rFonts w:ascii="Times New Roman" w:hAnsi="Times New Roman"/>
                <w:b/>
                <w:bCs/>
                <w:color w:val="000000"/>
                <w:szCs w:val="22"/>
                <w:u w:val="single"/>
                <w:lang w:val="fr-FR" w:eastAsia="fr-FR"/>
              </w:rPr>
              <w:t xml:space="preserve"> </w:t>
            </w:r>
          </w:p>
        </w:tc>
        <w:tc>
          <w:tcPr>
            <w:tcW w:w="1645" w:type="dxa"/>
            <w:tcBorders>
              <w:top w:val="nil"/>
              <w:left w:val="nil"/>
              <w:bottom w:val="single" w:sz="4" w:space="0" w:color="auto"/>
              <w:right w:val="single" w:sz="4" w:space="0" w:color="auto"/>
            </w:tcBorders>
            <w:shd w:val="clear" w:color="auto" w:fill="auto"/>
            <w:noWrap/>
            <w:vAlign w:val="bottom"/>
            <w:hideMark/>
          </w:tcPr>
          <w:p w14:paraId="4AD576C1" w14:textId="77777777" w:rsidR="00003E42" w:rsidRPr="003E4C9A" w:rsidRDefault="00003E42" w:rsidP="00E0065F">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5,597,200 </w:t>
            </w:r>
          </w:p>
        </w:tc>
        <w:tc>
          <w:tcPr>
            <w:tcW w:w="1855" w:type="dxa"/>
            <w:tcBorders>
              <w:top w:val="nil"/>
              <w:left w:val="nil"/>
              <w:bottom w:val="single" w:sz="4" w:space="0" w:color="auto"/>
              <w:right w:val="single" w:sz="4" w:space="0" w:color="auto"/>
            </w:tcBorders>
            <w:shd w:val="clear" w:color="auto" w:fill="auto"/>
            <w:noWrap/>
            <w:vAlign w:val="bottom"/>
            <w:hideMark/>
          </w:tcPr>
          <w:p w14:paraId="7A39B6FB" w14:textId="77777777" w:rsidR="00003E42" w:rsidRPr="003E4C9A" w:rsidRDefault="00003E42" w:rsidP="00003E42">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8,690,859 </w:t>
            </w:r>
          </w:p>
        </w:tc>
      </w:tr>
      <w:tr w:rsidR="00003E42" w:rsidRPr="003E4C9A" w14:paraId="2D04F24F"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C0A7BAE"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1</w:t>
            </w:r>
          </w:p>
        </w:tc>
        <w:tc>
          <w:tcPr>
            <w:tcW w:w="3220" w:type="dxa"/>
            <w:tcBorders>
              <w:top w:val="nil"/>
              <w:left w:val="nil"/>
              <w:bottom w:val="single" w:sz="4" w:space="0" w:color="auto"/>
              <w:right w:val="single" w:sz="4" w:space="0" w:color="auto"/>
            </w:tcBorders>
            <w:shd w:val="clear" w:color="auto" w:fill="auto"/>
            <w:noWrap/>
            <w:vAlign w:val="bottom"/>
            <w:hideMark/>
          </w:tcPr>
          <w:p w14:paraId="1937A2DF"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w:t>
            </w:r>
            <w:proofErr w:type="spellStart"/>
            <w:r w:rsidRPr="003E4C9A">
              <w:rPr>
                <w:rFonts w:ascii="Times New Roman" w:hAnsi="Times New Roman"/>
                <w:color w:val="000000"/>
                <w:szCs w:val="22"/>
                <w:lang w:val="fr-FR" w:eastAsia="fr-FR"/>
              </w:rPr>
              <w:t>Foreign</w:t>
            </w:r>
            <w:proofErr w:type="spellEnd"/>
            <w:r w:rsidRPr="003E4C9A">
              <w:rPr>
                <w:rFonts w:ascii="Times New Roman" w:hAnsi="Times New Roman"/>
                <w:color w:val="000000"/>
                <w:szCs w:val="22"/>
                <w:lang w:val="fr-FR" w:eastAsia="fr-FR"/>
              </w:rPr>
              <w:t xml:space="preserve"> </w:t>
            </w:r>
            <w:proofErr w:type="spellStart"/>
            <w:r w:rsidRPr="003E4C9A">
              <w:rPr>
                <w:rFonts w:ascii="Times New Roman" w:hAnsi="Times New Roman"/>
                <w:color w:val="000000"/>
                <w:szCs w:val="22"/>
                <w:lang w:val="fr-FR" w:eastAsia="fr-FR"/>
              </w:rPr>
              <w:t>Affairs</w:t>
            </w:r>
            <w:proofErr w:type="spellEnd"/>
            <w:r w:rsidRPr="003E4C9A">
              <w:rPr>
                <w:rFonts w:ascii="Times New Roman" w:hAnsi="Times New Roman"/>
                <w:color w:val="000000"/>
                <w:szCs w:val="22"/>
                <w:lang w:val="fr-FR" w:eastAsia="fr-FR"/>
              </w:rPr>
              <w:t xml:space="preserve"> </w:t>
            </w:r>
          </w:p>
        </w:tc>
        <w:tc>
          <w:tcPr>
            <w:tcW w:w="1645" w:type="dxa"/>
            <w:tcBorders>
              <w:top w:val="nil"/>
              <w:left w:val="nil"/>
              <w:bottom w:val="single" w:sz="4" w:space="0" w:color="auto"/>
              <w:right w:val="single" w:sz="4" w:space="0" w:color="auto"/>
            </w:tcBorders>
            <w:shd w:val="clear" w:color="auto" w:fill="auto"/>
            <w:noWrap/>
            <w:vAlign w:val="bottom"/>
            <w:hideMark/>
          </w:tcPr>
          <w:p w14:paraId="067004A1"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73,820 </w:t>
            </w:r>
          </w:p>
        </w:tc>
        <w:tc>
          <w:tcPr>
            <w:tcW w:w="1855" w:type="dxa"/>
            <w:tcBorders>
              <w:top w:val="nil"/>
              <w:left w:val="nil"/>
              <w:bottom w:val="single" w:sz="4" w:space="0" w:color="auto"/>
              <w:right w:val="single" w:sz="4" w:space="0" w:color="auto"/>
            </w:tcBorders>
            <w:shd w:val="clear" w:color="auto" w:fill="auto"/>
            <w:noWrap/>
            <w:vAlign w:val="bottom"/>
            <w:hideMark/>
          </w:tcPr>
          <w:p w14:paraId="126E5022"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94,386 </w:t>
            </w:r>
          </w:p>
        </w:tc>
      </w:tr>
      <w:tr w:rsidR="00003E42" w:rsidRPr="003E4C9A" w14:paraId="32399035"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1D07EE4"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2</w:t>
            </w:r>
          </w:p>
        </w:tc>
        <w:tc>
          <w:tcPr>
            <w:tcW w:w="3220" w:type="dxa"/>
            <w:tcBorders>
              <w:top w:val="nil"/>
              <w:left w:val="nil"/>
              <w:bottom w:val="single" w:sz="4" w:space="0" w:color="auto"/>
              <w:right w:val="single" w:sz="4" w:space="0" w:color="auto"/>
            </w:tcBorders>
            <w:shd w:val="clear" w:color="auto" w:fill="auto"/>
            <w:noWrap/>
            <w:vAlign w:val="bottom"/>
            <w:hideMark/>
          </w:tcPr>
          <w:p w14:paraId="26A0C187"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Justice </w:t>
            </w:r>
          </w:p>
        </w:tc>
        <w:tc>
          <w:tcPr>
            <w:tcW w:w="1645" w:type="dxa"/>
            <w:tcBorders>
              <w:top w:val="nil"/>
              <w:left w:val="nil"/>
              <w:bottom w:val="single" w:sz="4" w:space="0" w:color="auto"/>
              <w:right w:val="single" w:sz="4" w:space="0" w:color="auto"/>
            </w:tcBorders>
            <w:shd w:val="clear" w:color="auto" w:fill="auto"/>
            <w:noWrap/>
            <w:vAlign w:val="bottom"/>
            <w:hideMark/>
          </w:tcPr>
          <w:p w14:paraId="002D2393"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80,893 </w:t>
            </w:r>
          </w:p>
        </w:tc>
        <w:tc>
          <w:tcPr>
            <w:tcW w:w="1855" w:type="dxa"/>
            <w:tcBorders>
              <w:top w:val="nil"/>
              <w:left w:val="nil"/>
              <w:bottom w:val="single" w:sz="4" w:space="0" w:color="auto"/>
              <w:right w:val="single" w:sz="4" w:space="0" w:color="auto"/>
            </w:tcBorders>
            <w:shd w:val="clear" w:color="auto" w:fill="auto"/>
            <w:noWrap/>
            <w:vAlign w:val="bottom"/>
            <w:hideMark/>
          </w:tcPr>
          <w:p w14:paraId="5EBA7579"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95,033 </w:t>
            </w:r>
          </w:p>
        </w:tc>
      </w:tr>
      <w:tr w:rsidR="00003E42" w:rsidRPr="003E4C9A" w14:paraId="6AF9857A"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55DFCAC"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3</w:t>
            </w:r>
          </w:p>
        </w:tc>
        <w:tc>
          <w:tcPr>
            <w:tcW w:w="3220" w:type="dxa"/>
            <w:tcBorders>
              <w:top w:val="nil"/>
              <w:left w:val="nil"/>
              <w:bottom w:val="single" w:sz="4" w:space="0" w:color="auto"/>
              <w:right w:val="single" w:sz="4" w:space="0" w:color="auto"/>
            </w:tcBorders>
            <w:shd w:val="clear" w:color="auto" w:fill="auto"/>
            <w:noWrap/>
            <w:vAlign w:val="bottom"/>
            <w:hideMark/>
          </w:tcPr>
          <w:p w14:paraId="61B32DE5"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Information, Culture and </w:t>
            </w:r>
            <w:proofErr w:type="spellStart"/>
            <w:r w:rsidRPr="003E4C9A">
              <w:rPr>
                <w:rFonts w:ascii="Times New Roman" w:hAnsi="Times New Roman"/>
                <w:color w:val="000000"/>
                <w:szCs w:val="22"/>
                <w:lang w:val="fr-FR" w:eastAsia="fr-FR"/>
              </w:rPr>
              <w:t>Tourism</w:t>
            </w:r>
            <w:proofErr w:type="spellEnd"/>
          </w:p>
        </w:tc>
        <w:tc>
          <w:tcPr>
            <w:tcW w:w="1645" w:type="dxa"/>
            <w:tcBorders>
              <w:top w:val="nil"/>
              <w:left w:val="nil"/>
              <w:bottom w:val="single" w:sz="4" w:space="0" w:color="auto"/>
              <w:right w:val="single" w:sz="4" w:space="0" w:color="auto"/>
            </w:tcBorders>
            <w:shd w:val="clear" w:color="auto" w:fill="auto"/>
            <w:noWrap/>
            <w:vAlign w:val="bottom"/>
            <w:hideMark/>
          </w:tcPr>
          <w:p w14:paraId="31F49B1C"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187,206 </w:t>
            </w:r>
          </w:p>
        </w:tc>
        <w:tc>
          <w:tcPr>
            <w:tcW w:w="1855" w:type="dxa"/>
            <w:tcBorders>
              <w:top w:val="nil"/>
              <w:left w:val="nil"/>
              <w:bottom w:val="single" w:sz="4" w:space="0" w:color="auto"/>
              <w:right w:val="single" w:sz="4" w:space="0" w:color="auto"/>
            </w:tcBorders>
            <w:shd w:val="clear" w:color="auto" w:fill="auto"/>
            <w:noWrap/>
            <w:vAlign w:val="bottom"/>
            <w:hideMark/>
          </w:tcPr>
          <w:p w14:paraId="0FEF50C0"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229,778 </w:t>
            </w:r>
          </w:p>
        </w:tc>
      </w:tr>
      <w:tr w:rsidR="00003E42" w:rsidRPr="003E4C9A" w14:paraId="0452C288"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1828E36"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4</w:t>
            </w:r>
          </w:p>
        </w:tc>
        <w:tc>
          <w:tcPr>
            <w:tcW w:w="3220" w:type="dxa"/>
            <w:tcBorders>
              <w:top w:val="nil"/>
              <w:left w:val="nil"/>
              <w:bottom w:val="single" w:sz="4" w:space="0" w:color="auto"/>
              <w:right w:val="single" w:sz="4" w:space="0" w:color="auto"/>
            </w:tcBorders>
            <w:shd w:val="clear" w:color="auto" w:fill="auto"/>
            <w:noWrap/>
            <w:vAlign w:val="bottom"/>
            <w:hideMark/>
          </w:tcPr>
          <w:p w14:paraId="08966EE2"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Labour and Social </w:t>
            </w:r>
            <w:proofErr w:type="spellStart"/>
            <w:r w:rsidRPr="003E4C9A">
              <w:rPr>
                <w:rFonts w:ascii="Times New Roman" w:hAnsi="Times New Roman"/>
                <w:color w:val="000000"/>
                <w:szCs w:val="22"/>
                <w:lang w:val="fr-FR" w:eastAsia="fr-FR"/>
              </w:rPr>
              <w:t>Welfare</w:t>
            </w:r>
            <w:proofErr w:type="spellEnd"/>
          </w:p>
        </w:tc>
        <w:tc>
          <w:tcPr>
            <w:tcW w:w="1645" w:type="dxa"/>
            <w:tcBorders>
              <w:top w:val="nil"/>
              <w:left w:val="nil"/>
              <w:bottom w:val="single" w:sz="4" w:space="0" w:color="auto"/>
              <w:right w:val="single" w:sz="4" w:space="0" w:color="auto"/>
            </w:tcBorders>
            <w:shd w:val="clear" w:color="auto" w:fill="auto"/>
            <w:noWrap/>
            <w:vAlign w:val="bottom"/>
            <w:hideMark/>
          </w:tcPr>
          <w:p w14:paraId="0E288F99"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916,824 </w:t>
            </w:r>
          </w:p>
        </w:tc>
        <w:tc>
          <w:tcPr>
            <w:tcW w:w="1855" w:type="dxa"/>
            <w:tcBorders>
              <w:top w:val="nil"/>
              <w:left w:val="nil"/>
              <w:bottom w:val="single" w:sz="4" w:space="0" w:color="auto"/>
              <w:right w:val="single" w:sz="4" w:space="0" w:color="auto"/>
            </w:tcBorders>
            <w:shd w:val="clear" w:color="auto" w:fill="auto"/>
            <w:noWrap/>
            <w:vAlign w:val="bottom"/>
            <w:hideMark/>
          </w:tcPr>
          <w:p w14:paraId="4519A81A"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1,068,253 </w:t>
            </w:r>
          </w:p>
        </w:tc>
      </w:tr>
      <w:tr w:rsidR="00003E42" w:rsidRPr="003E4C9A" w14:paraId="1A8E7563"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5FD855D"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5</w:t>
            </w:r>
          </w:p>
        </w:tc>
        <w:tc>
          <w:tcPr>
            <w:tcW w:w="3220" w:type="dxa"/>
            <w:tcBorders>
              <w:top w:val="nil"/>
              <w:left w:val="nil"/>
              <w:bottom w:val="single" w:sz="4" w:space="0" w:color="auto"/>
              <w:right w:val="single" w:sz="4" w:space="0" w:color="auto"/>
            </w:tcBorders>
            <w:shd w:val="clear" w:color="auto" w:fill="auto"/>
            <w:noWrap/>
            <w:vAlign w:val="bottom"/>
            <w:hideMark/>
          </w:tcPr>
          <w:p w14:paraId="19F23633" w14:textId="77777777" w:rsidR="00003E42" w:rsidRPr="003E4C9A" w:rsidRDefault="00003E42" w:rsidP="00003E42">
            <w:pPr>
              <w:spacing w:before="0"/>
              <w:ind w:left="0"/>
              <w:jc w:val="left"/>
              <w:rPr>
                <w:rFonts w:ascii="Times New Roman" w:hAnsi="Times New Roman"/>
                <w:szCs w:val="22"/>
                <w:lang w:val="fr-FR" w:eastAsia="fr-FR"/>
              </w:rPr>
            </w:pPr>
            <w:r w:rsidRPr="003E4C9A">
              <w:rPr>
                <w:rFonts w:ascii="Times New Roman" w:hAnsi="Times New Roman"/>
                <w:szCs w:val="22"/>
                <w:lang w:val="fr-FR" w:eastAsia="fr-FR"/>
              </w:rPr>
              <w:t>Education and Sports</w:t>
            </w:r>
          </w:p>
        </w:tc>
        <w:tc>
          <w:tcPr>
            <w:tcW w:w="1645" w:type="dxa"/>
            <w:tcBorders>
              <w:top w:val="nil"/>
              <w:left w:val="nil"/>
              <w:bottom w:val="single" w:sz="4" w:space="0" w:color="auto"/>
              <w:right w:val="single" w:sz="4" w:space="0" w:color="auto"/>
            </w:tcBorders>
            <w:shd w:val="clear" w:color="auto" w:fill="auto"/>
            <w:noWrap/>
            <w:vAlign w:val="bottom"/>
            <w:hideMark/>
          </w:tcPr>
          <w:p w14:paraId="7C160E47"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2,729,036 </w:t>
            </w:r>
          </w:p>
        </w:tc>
        <w:tc>
          <w:tcPr>
            <w:tcW w:w="1855" w:type="dxa"/>
            <w:tcBorders>
              <w:top w:val="nil"/>
              <w:left w:val="nil"/>
              <w:bottom w:val="single" w:sz="4" w:space="0" w:color="auto"/>
              <w:right w:val="single" w:sz="4" w:space="0" w:color="auto"/>
            </w:tcBorders>
            <w:shd w:val="clear" w:color="auto" w:fill="auto"/>
            <w:noWrap/>
            <w:vAlign w:val="bottom"/>
            <w:hideMark/>
          </w:tcPr>
          <w:p w14:paraId="752EAC21"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4,187,926 </w:t>
            </w:r>
          </w:p>
        </w:tc>
      </w:tr>
      <w:tr w:rsidR="00003E42" w:rsidRPr="003E4C9A" w14:paraId="0F6BE2C2"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63A1321"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6</w:t>
            </w:r>
          </w:p>
        </w:tc>
        <w:tc>
          <w:tcPr>
            <w:tcW w:w="3220" w:type="dxa"/>
            <w:tcBorders>
              <w:top w:val="nil"/>
              <w:left w:val="nil"/>
              <w:bottom w:val="single" w:sz="4" w:space="0" w:color="auto"/>
              <w:right w:val="single" w:sz="4" w:space="0" w:color="auto"/>
            </w:tcBorders>
            <w:shd w:val="clear" w:color="auto" w:fill="auto"/>
            <w:noWrap/>
            <w:vAlign w:val="bottom"/>
            <w:hideMark/>
          </w:tcPr>
          <w:p w14:paraId="5CFCD3B8"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Public </w:t>
            </w:r>
            <w:proofErr w:type="spellStart"/>
            <w:r w:rsidRPr="003E4C9A">
              <w:rPr>
                <w:rFonts w:ascii="Times New Roman" w:hAnsi="Times New Roman"/>
                <w:color w:val="000000"/>
                <w:szCs w:val="22"/>
                <w:lang w:val="fr-FR" w:eastAsia="fr-FR"/>
              </w:rPr>
              <w:t>Health</w:t>
            </w:r>
            <w:proofErr w:type="spellEnd"/>
          </w:p>
        </w:tc>
        <w:tc>
          <w:tcPr>
            <w:tcW w:w="1645" w:type="dxa"/>
            <w:tcBorders>
              <w:top w:val="nil"/>
              <w:left w:val="nil"/>
              <w:bottom w:val="single" w:sz="4" w:space="0" w:color="auto"/>
              <w:right w:val="single" w:sz="4" w:space="0" w:color="auto"/>
            </w:tcBorders>
            <w:shd w:val="clear" w:color="auto" w:fill="auto"/>
            <w:noWrap/>
            <w:vAlign w:val="bottom"/>
            <w:hideMark/>
          </w:tcPr>
          <w:p w14:paraId="6A5327E9" w14:textId="77777777" w:rsidR="00003E42" w:rsidRPr="003E4C9A" w:rsidRDefault="00003E42" w:rsidP="00E0065F">
            <w:pPr>
              <w:spacing w:before="0"/>
              <w:ind w:left="0"/>
              <w:jc w:val="right"/>
              <w:rPr>
                <w:rFonts w:ascii="Times New Roman" w:hAnsi="Times New Roman"/>
                <w:szCs w:val="22"/>
                <w:lang w:val="fr-FR" w:eastAsia="fr-FR"/>
              </w:rPr>
            </w:pPr>
            <w:r w:rsidRPr="003E4C9A">
              <w:rPr>
                <w:rFonts w:ascii="Times New Roman" w:hAnsi="Times New Roman"/>
                <w:szCs w:val="22"/>
                <w:lang w:val="fr-FR" w:eastAsia="fr-FR"/>
              </w:rPr>
              <w:t xml:space="preserve">1,294,147 </w:t>
            </w:r>
          </w:p>
        </w:tc>
        <w:tc>
          <w:tcPr>
            <w:tcW w:w="1855" w:type="dxa"/>
            <w:tcBorders>
              <w:top w:val="nil"/>
              <w:left w:val="nil"/>
              <w:bottom w:val="single" w:sz="4" w:space="0" w:color="auto"/>
              <w:right w:val="single" w:sz="4" w:space="0" w:color="auto"/>
            </w:tcBorders>
            <w:shd w:val="clear" w:color="auto" w:fill="auto"/>
            <w:noWrap/>
            <w:vAlign w:val="bottom"/>
            <w:hideMark/>
          </w:tcPr>
          <w:p w14:paraId="132F0F55"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2,527,414 </w:t>
            </w:r>
          </w:p>
        </w:tc>
      </w:tr>
      <w:tr w:rsidR="00003E42" w:rsidRPr="003E4C9A" w14:paraId="3EDC2D13"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E6ECC4"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7</w:t>
            </w:r>
          </w:p>
        </w:tc>
        <w:tc>
          <w:tcPr>
            <w:tcW w:w="3220" w:type="dxa"/>
            <w:tcBorders>
              <w:top w:val="nil"/>
              <w:left w:val="nil"/>
              <w:bottom w:val="single" w:sz="4" w:space="0" w:color="auto"/>
              <w:right w:val="single" w:sz="4" w:space="0" w:color="auto"/>
            </w:tcBorders>
            <w:shd w:val="clear" w:color="auto" w:fill="auto"/>
            <w:noWrap/>
            <w:vAlign w:val="bottom"/>
            <w:hideMark/>
          </w:tcPr>
          <w:p w14:paraId="0E15EF33"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w:t>
            </w:r>
            <w:proofErr w:type="spellStart"/>
            <w:r w:rsidRPr="003E4C9A">
              <w:rPr>
                <w:rFonts w:ascii="Times New Roman" w:hAnsi="Times New Roman"/>
                <w:color w:val="000000"/>
                <w:szCs w:val="22"/>
                <w:lang w:val="fr-FR" w:eastAsia="fr-FR"/>
              </w:rPr>
              <w:t>People's</w:t>
            </w:r>
            <w:proofErr w:type="spellEnd"/>
            <w:r w:rsidRPr="003E4C9A">
              <w:rPr>
                <w:rFonts w:ascii="Times New Roman" w:hAnsi="Times New Roman"/>
                <w:color w:val="000000"/>
                <w:szCs w:val="22"/>
                <w:lang w:val="fr-FR" w:eastAsia="fr-FR"/>
              </w:rPr>
              <w:t xml:space="preserve"> Supreme Court </w:t>
            </w:r>
          </w:p>
        </w:tc>
        <w:tc>
          <w:tcPr>
            <w:tcW w:w="1645" w:type="dxa"/>
            <w:tcBorders>
              <w:top w:val="nil"/>
              <w:left w:val="nil"/>
              <w:bottom w:val="single" w:sz="4" w:space="0" w:color="auto"/>
              <w:right w:val="single" w:sz="4" w:space="0" w:color="auto"/>
            </w:tcBorders>
            <w:shd w:val="clear" w:color="auto" w:fill="auto"/>
            <w:noWrap/>
            <w:vAlign w:val="bottom"/>
            <w:hideMark/>
          </w:tcPr>
          <w:p w14:paraId="7A8642C1"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61,916 </w:t>
            </w:r>
          </w:p>
        </w:tc>
        <w:tc>
          <w:tcPr>
            <w:tcW w:w="1855" w:type="dxa"/>
            <w:tcBorders>
              <w:top w:val="nil"/>
              <w:left w:val="nil"/>
              <w:bottom w:val="single" w:sz="4" w:space="0" w:color="auto"/>
              <w:right w:val="single" w:sz="4" w:space="0" w:color="auto"/>
            </w:tcBorders>
            <w:shd w:val="clear" w:color="auto" w:fill="auto"/>
            <w:noWrap/>
            <w:vAlign w:val="bottom"/>
            <w:hideMark/>
          </w:tcPr>
          <w:p w14:paraId="0BBBCE0B"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73,545 </w:t>
            </w:r>
          </w:p>
        </w:tc>
      </w:tr>
      <w:tr w:rsidR="00003E42" w:rsidRPr="003E4C9A" w14:paraId="32866718"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FBA0AC5"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8</w:t>
            </w:r>
          </w:p>
        </w:tc>
        <w:tc>
          <w:tcPr>
            <w:tcW w:w="3220" w:type="dxa"/>
            <w:tcBorders>
              <w:top w:val="nil"/>
              <w:left w:val="nil"/>
              <w:bottom w:val="single" w:sz="4" w:space="0" w:color="auto"/>
              <w:right w:val="single" w:sz="4" w:space="0" w:color="auto"/>
            </w:tcBorders>
            <w:shd w:val="clear" w:color="auto" w:fill="auto"/>
            <w:noWrap/>
            <w:vAlign w:val="bottom"/>
            <w:hideMark/>
          </w:tcPr>
          <w:p w14:paraId="3F3BEB60"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Publ</w:t>
            </w:r>
            <w:r>
              <w:rPr>
                <w:rFonts w:ascii="Times New Roman" w:hAnsi="Times New Roman"/>
                <w:color w:val="000000"/>
                <w:szCs w:val="22"/>
                <w:lang w:val="fr-FR" w:eastAsia="fr-FR"/>
              </w:rPr>
              <w:t>ic</w:t>
            </w:r>
            <w:r w:rsidRPr="003E4C9A">
              <w:rPr>
                <w:rFonts w:ascii="Times New Roman" w:hAnsi="Times New Roman"/>
                <w:color w:val="000000"/>
                <w:szCs w:val="22"/>
                <w:lang w:val="fr-FR" w:eastAsia="fr-FR"/>
              </w:rPr>
              <w:t xml:space="preserve"> </w:t>
            </w:r>
            <w:proofErr w:type="spellStart"/>
            <w:r w:rsidRPr="003E4C9A">
              <w:rPr>
                <w:rFonts w:ascii="Times New Roman" w:hAnsi="Times New Roman"/>
                <w:color w:val="000000"/>
                <w:szCs w:val="22"/>
                <w:lang w:val="fr-FR" w:eastAsia="fr-FR"/>
              </w:rPr>
              <w:t>Prosecutor</w:t>
            </w:r>
            <w:proofErr w:type="spellEnd"/>
            <w:r w:rsidRPr="003E4C9A">
              <w:rPr>
                <w:rFonts w:ascii="Times New Roman" w:hAnsi="Times New Roman"/>
                <w:color w:val="000000"/>
                <w:szCs w:val="22"/>
                <w:lang w:val="fr-FR" w:eastAsia="fr-FR"/>
              </w:rPr>
              <w:t xml:space="preserve"> General </w:t>
            </w:r>
          </w:p>
        </w:tc>
        <w:tc>
          <w:tcPr>
            <w:tcW w:w="1645" w:type="dxa"/>
            <w:tcBorders>
              <w:top w:val="nil"/>
              <w:left w:val="nil"/>
              <w:bottom w:val="single" w:sz="4" w:space="0" w:color="auto"/>
              <w:right w:val="single" w:sz="4" w:space="0" w:color="auto"/>
            </w:tcBorders>
            <w:shd w:val="clear" w:color="auto" w:fill="auto"/>
            <w:noWrap/>
            <w:vAlign w:val="bottom"/>
            <w:hideMark/>
          </w:tcPr>
          <w:p w14:paraId="78C1AA79"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59,173 </w:t>
            </w:r>
          </w:p>
        </w:tc>
        <w:tc>
          <w:tcPr>
            <w:tcW w:w="1855" w:type="dxa"/>
            <w:tcBorders>
              <w:top w:val="nil"/>
              <w:left w:val="nil"/>
              <w:bottom w:val="single" w:sz="4" w:space="0" w:color="auto"/>
              <w:right w:val="single" w:sz="4" w:space="0" w:color="auto"/>
            </w:tcBorders>
            <w:shd w:val="clear" w:color="auto" w:fill="auto"/>
            <w:noWrap/>
            <w:vAlign w:val="bottom"/>
            <w:hideMark/>
          </w:tcPr>
          <w:p w14:paraId="38B5D3AD"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70,358 </w:t>
            </w:r>
          </w:p>
        </w:tc>
      </w:tr>
      <w:tr w:rsidR="00003E42" w:rsidRPr="003E4C9A" w14:paraId="36D5C12D"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92DD5FD" w14:textId="77777777" w:rsidR="00003E42" w:rsidRPr="003E4C9A" w:rsidRDefault="00003E42" w:rsidP="00003E42">
            <w:pPr>
              <w:spacing w:before="0"/>
              <w:ind w:left="0"/>
              <w:jc w:val="center"/>
              <w:rPr>
                <w:rFonts w:ascii="Times New Roman" w:hAnsi="Times New Roman"/>
                <w:color w:val="000000"/>
                <w:szCs w:val="22"/>
                <w:lang w:val="fr-FR" w:eastAsia="fr-FR"/>
              </w:rPr>
            </w:pPr>
            <w:r w:rsidRPr="003E4C9A">
              <w:rPr>
                <w:rFonts w:ascii="Times New Roman" w:hAnsi="Times New Roman"/>
                <w:color w:val="000000"/>
                <w:szCs w:val="22"/>
                <w:lang w:val="fr-FR" w:eastAsia="fr-FR"/>
              </w:rPr>
              <w:t>9</w:t>
            </w:r>
          </w:p>
        </w:tc>
        <w:tc>
          <w:tcPr>
            <w:tcW w:w="3220" w:type="dxa"/>
            <w:tcBorders>
              <w:top w:val="nil"/>
              <w:left w:val="nil"/>
              <w:bottom w:val="single" w:sz="4" w:space="0" w:color="auto"/>
              <w:right w:val="single" w:sz="4" w:space="0" w:color="auto"/>
            </w:tcBorders>
            <w:shd w:val="clear" w:color="auto" w:fill="auto"/>
            <w:noWrap/>
            <w:vAlign w:val="bottom"/>
            <w:hideMark/>
          </w:tcPr>
          <w:p w14:paraId="1E7735AF"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State Audit </w:t>
            </w:r>
          </w:p>
        </w:tc>
        <w:tc>
          <w:tcPr>
            <w:tcW w:w="1645" w:type="dxa"/>
            <w:tcBorders>
              <w:top w:val="nil"/>
              <w:left w:val="nil"/>
              <w:bottom w:val="single" w:sz="4" w:space="0" w:color="auto"/>
              <w:right w:val="single" w:sz="4" w:space="0" w:color="auto"/>
            </w:tcBorders>
            <w:shd w:val="clear" w:color="auto" w:fill="auto"/>
            <w:noWrap/>
            <w:vAlign w:val="bottom"/>
            <w:hideMark/>
          </w:tcPr>
          <w:p w14:paraId="5E534E31"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17,308 </w:t>
            </w:r>
          </w:p>
        </w:tc>
        <w:tc>
          <w:tcPr>
            <w:tcW w:w="1855" w:type="dxa"/>
            <w:tcBorders>
              <w:top w:val="nil"/>
              <w:left w:val="nil"/>
              <w:bottom w:val="single" w:sz="4" w:space="0" w:color="auto"/>
              <w:right w:val="single" w:sz="4" w:space="0" w:color="auto"/>
            </w:tcBorders>
            <w:shd w:val="clear" w:color="auto" w:fill="auto"/>
            <w:noWrap/>
            <w:vAlign w:val="bottom"/>
            <w:hideMark/>
          </w:tcPr>
          <w:p w14:paraId="3CEBA2EA"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25,569 </w:t>
            </w:r>
          </w:p>
        </w:tc>
      </w:tr>
      <w:tr w:rsidR="00003E42" w:rsidRPr="003E4C9A" w14:paraId="26BDBF7C"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160B0D7" w14:textId="77777777" w:rsidR="00003E42" w:rsidRPr="003E4C9A" w:rsidRDefault="00003E42" w:rsidP="00003E42">
            <w:pPr>
              <w:spacing w:before="0"/>
              <w:ind w:left="0"/>
              <w:jc w:val="center"/>
              <w:rPr>
                <w:rFonts w:ascii="Times New Roman" w:hAnsi="Times New Roman"/>
                <w:color w:val="000000"/>
                <w:szCs w:val="22"/>
                <w:lang w:val="fr-FR" w:eastAsia="fr-FR"/>
              </w:rPr>
            </w:pPr>
            <w:r>
              <w:rPr>
                <w:rFonts w:ascii="Times New Roman" w:hAnsi="Times New Roman"/>
                <w:color w:val="000000"/>
                <w:szCs w:val="22"/>
                <w:lang w:val="fr-FR" w:eastAsia="fr-FR"/>
              </w:rPr>
              <w:lastRenderedPageBreak/>
              <w:t>10</w:t>
            </w:r>
          </w:p>
        </w:tc>
        <w:tc>
          <w:tcPr>
            <w:tcW w:w="3220" w:type="dxa"/>
            <w:tcBorders>
              <w:top w:val="nil"/>
              <w:left w:val="nil"/>
              <w:bottom w:val="single" w:sz="4" w:space="0" w:color="auto"/>
              <w:right w:val="single" w:sz="4" w:space="0" w:color="auto"/>
            </w:tcBorders>
            <w:shd w:val="clear" w:color="auto" w:fill="auto"/>
            <w:noWrap/>
            <w:vAlign w:val="bottom"/>
            <w:hideMark/>
          </w:tcPr>
          <w:p w14:paraId="356D0B9C"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Science and </w:t>
            </w:r>
            <w:proofErr w:type="spellStart"/>
            <w:r w:rsidRPr="003E4C9A">
              <w:rPr>
                <w:rFonts w:ascii="Times New Roman" w:hAnsi="Times New Roman"/>
                <w:color w:val="000000"/>
                <w:szCs w:val="22"/>
                <w:lang w:val="fr-FR" w:eastAsia="fr-FR"/>
              </w:rPr>
              <w:t>Technology</w:t>
            </w:r>
            <w:proofErr w:type="spellEnd"/>
            <w:r w:rsidRPr="003E4C9A">
              <w:rPr>
                <w:rFonts w:ascii="Times New Roman" w:hAnsi="Times New Roman"/>
                <w:color w:val="000000"/>
                <w:szCs w:val="22"/>
                <w:lang w:val="fr-FR" w:eastAsia="fr-FR"/>
              </w:rPr>
              <w:t xml:space="preserve"> </w:t>
            </w:r>
          </w:p>
        </w:tc>
        <w:tc>
          <w:tcPr>
            <w:tcW w:w="1645" w:type="dxa"/>
            <w:tcBorders>
              <w:top w:val="nil"/>
              <w:left w:val="nil"/>
              <w:bottom w:val="single" w:sz="4" w:space="0" w:color="auto"/>
              <w:right w:val="single" w:sz="4" w:space="0" w:color="auto"/>
            </w:tcBorders>
            <w:shd w:val="clear" w:color="auto" w:fill="auto"/>
            <w:noWrap/>
            <w:vAlign w:val="bottom"/>
            <w:hideMark/>
          </w:tcPr>
          <w:p w14:paraId="336341E7"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48,939 </w:t>
            </w:r>
          </w:p>
        </w:tc>
        <w:tc>
          <w:tcPr>
            <w:tcW w:w="1855" w:type="dxa"/>
            <w:tcBorders>
              <w:top w:val="nil"/>
              <w:left w:val="nil"/>
              <w:bottom w:val="single" w:sz="4" w:space="0" w:color="auto"/>
              <w:right w:val="single" w:sz="4" w:space="0" w:color="auto"/>
            </w:tcBorders>
            <w:shd w:val="clear" w:color="auto" w:fill="auto"/>
            <w:noWrap/>
            <w:vAlign w:val="bottom"/>
            <w:hideMark/>
          </w:tcPr>
          <w:p w14:paraId="01E419C8"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89,124 </w:t>
            </w:r>
          </w:p>
        </w:tc>
      </w:tr>
      <w:tr w:rsidR="00003E42" w:rsidRPr="003E4C9A" w14:paraId="37B327CA" w14:textId="77777777" w:rsidTr="00E0065F">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867C9DF" w14:textId="77777777" w:rsidR="00003E42" w:rsidRPr="003E4C9A" w:rsidRDefault="00003E42" w:rsidP="00003E42">
            <w:pPr>
              <w:spacing w:before="0"/>
              <w:ind w:left="0"/>
              <w:jc w:val="center"/>
              <w:rPr>
                <w:rFonts w:ascii="Times New Roman" w:hAnsi="Times New Roman"/>
                <w:color w:val="000000"/>
                <w:szCs w:val="22"/>
                <w:lang w:val="fr-FR" w:eastAsia="fr-FR"/>
              </w:rPr>
            </w:pPr>
            <w:r>
              <w:rPr>
                <w:rFonts w:ascii="Times New Roman" w:hAnsi="Times New Roman"/>
                <w:color w:val="000000"/>
                <w:szCs w:val="22"/>
                <w:lang w:val="fr-FR" w:eastAsia="fr-FR"/>
              </w:rPr>
              <w:t>11</w:t>
            </w:r>
          </w:p>
        </w:tc>
        <w:tc>
          <w:tcPr>
            <w:tcW w:w="3220" w:type="dxa"/>
            <w:tcBorders>
              <w:top w:val="nil"/>
              <w:left w:val="nil"/>
              <w:bottom w:val="single" w:sz="4" w:space="0" w:color="auto"/>
              <w:right w:val="single" w:sz="4" w:space="0" w:color="auto"/>
            </w:tcBorders>
            <w:shd w:val="clear" w:color="auto" w:fill="auto"/>
            <w:noWrap/>
            <w:vAlign w:val="bottom"/>
            <w:hideMark/>
          </w:tcPr>
          <w:p w14:paraId="20B847FB" w14:textId="77777777" w:rsidR="00003E42" w:rsidRPr="003E4C9A" w:rsidRDefault="00003E42" w:rsidP="00003E42">
            <w:pPr>
              <w:spacing w:before="0"/>
              <w:ind w:left="0"/>
              <w:jc w:val="lef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 Water and </w:t>
            </w:r>
            <w:proofErr w:type="spellStart"/>
            <w:r w:rsidRPr="003E4C9A">
              <w:rPr>
                <w:rFonts w:ascii="Times New Roman" w:hAnsi="Times New Roman"/>
                <w:color w:val="000000"/>
                <w:szCs w:val="22"/>
                <w:lang w:val="fr-FR" w:eastAsia="fr-FR"/>
              </w:rPr>
              <w:t>Environment</w:t>
            </w:r>
            <w:proofErr w:type="spellEnd"/>
            <w:r w:rsidRPr="003E4C9A">
              <w:rPr>
                <w:rFonts w:ascii="Times New Roman" w:hAnsi="Times New Roman"/>
                <w:color w:val="000000"/>
                <w:szCs w:val="22"/>
                <w:lang w:val="fr-FR" w:eastAsia="fr-FR"/>
              </w:rPr>
              <w:t xml:space="preserve"> </w:t>
            </w:r>
          </w:p>
        </w:tc>
        <w:tc>
          <w:tcPr>
            <w:tcW w:w="1645" w:type="dxa"/>
            <w:tcBorders>
              <w:top w:val="nil"/>
              <w:left w:val="nil"/>
              <w:bottom w:val="single" w:sz="4" w:space="0" w:color="auto"/>
              <w:right w:val="single" w:sz="4" w:space="0" w:color="auto"/>
            </w:tcBorders>
            <w:shd w:val="clear" w:color="auto" w:fill="auto"/>
            <w:noWrap/>
            <w:vAlign w:val="bottom"/>
            <w:hideMark/>
          </w:tcPr>
          <w:p w14:paraId="58AE2519" w14:textId="77777777" w:rsidR="00003E42" w:rsidRPr="003E4C9A" w:rsidRDefault="00003E42" w:rsidP="00E0065F">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127,939 </w:t>
            </w:r>
          </w:p>
        </w:tc>
        <w:tc>
          <w:tcPr>
            <w:tcW w:w="1855" w:type="dxa"/>
            <w:tcBorders>
              <w:top w:val="nil"/>
              <w:left w:val="nil"/>
              <w:bottom w:val="single" w:sz="4" w:space="0" w:color="auto"/>
              <w:right w:val="single" w:sz="4" w:space="0" w:color="auto"/>
            </w:tcBorders>
            <w:shd w:val="clear" w:color="auto" w:fill="auto"/>
            <w:noWrap/>
            <w:vAlign w:val="bottom"/>
            <w:hideMark/>
          </w:tcPr>
          <w:p w14:paraId="2BD223C6" w14:textId="77777777" w:rsidR="00003E42" w:rsidRPr="003E4C9A" w:rsidRDefault="00003E42" w:rsidP="00003E42">
            <w:pPr>
              <w:spacing w:before="0"/>
              <w:ind w:left="0"/>
              <w:jc w:val="right"/>
              <w:rPr>
                <w:rFonts w:ascii="Times New Roman" w:hAnsi="Times New Roman"/>
                <w:color w:val="000000"/>
                <w:szCs w:val="22"/>
                <w:lang w:val="fr-FR" w:eastAsia="fr-FR"/>
              </w:rPr>
            </w:pPr>
            <w:r w:rsidRPr="003E4C9A">
              <w:rPr>
                <w:rFonts w:ascii="Times New Roman" w:hAnsi="Times New Roman"/>
                <w:color w:val="000000"/>
                <w:szCs w:val="22"/>
                <w:lang w:val="fr-FR" w:eastAsia="fr-FR"/>
              </w:rPr>
              <w:t xml:space="preserve">229,471 </w:t>
            </w:r>
          </w:p>
        </w:tc>
      </w:tr>
      <w:tr w:rsidR="00003E42" w:rsidRPr="003E4C9A" w14:paraId="2041FF58" w14:textId="77777777" w:rsidTr="00E0065F">
        <w:trPr>
          <w:trHeight w:val="40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F0A4772" w14:textId="77777777" w:rsidR="00003E42" w:rsidRPr="003E4C9A" w:rsidRDefault="00003E42" w:rsidP="00003E42">
            <w:pPr>
              <w:spacing w:before="0"/>
              <w:ind w:left="0"/>
              <w:jc w:val="center"/>
              <w:rPr>
                <w:rFonts w:ascii="Times New Roman" w:hAnsi="Times New Roman"/>
                <w:b/>
                <w:bCs/>
                <w:color w:val="000000"/>
                <w:szCs w:val="22"/>
                <w:lang w:val="fr-FR" w:eastAsia="fr-FR"/>
              </w:rPr>
            </w:pPr>
            <w:r w:rsidRPr="003E4C9A">
              <w:rPr>
                <w:rFonts w:ascii="Times New Roman" w:hAnsi="Times New Roman"/>
                <w:b/>
                <w:bCs/>
                <w:color w:val="000000"/>
                <w:szCs w:val="22"/>
                <w:lang w:val="fr-FR" w:eastAsia="fr-FR"/>
              </w:rPr>
              <w:t>III</w:t>
            </w:r>
          </w:p>
        </w:tc>
        <w:tc>
          <w:tcPr>
            <w:tcW w:w="3220" w:type="dxa"/>
            <w:tcBorders>
              <w:top w:val="nil"/>
              <w:left w:val="nil"/>
              <w:bottom w:val="single" w:sz="4" w:space="0" w:color="auto"/>
              <w:right w:val="single" w:sz="4" w:space="0" w:color="auto"/>
            </w:tcBorders>
            <w:shd w:val="clear" w:color="auto" w:fill="auto"/>
            <w:noWrap/>
            <w:vAlign w:val="bottom"/>
            <w:hideMark/>
          </w:tcPr>
          <w:p w14:paraId="7863E329" w14:textId="77777777" w:rsidR="00003E42" w:rsidRPr="003E4C9A" w:rsidRDefault="00003E42" w:rsidP="00003E42">
            <w:pPr>
              <w:spacing w:before="0"/>
              <w:ind w:left="0"/>
              <w:jc w:val="lef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 </w:t>
            </w:r>
            <w:proofErr w:type="spellStart"/>
            <w:r w:rsidRPr="003E4C9A">
              <w:rPr>
                <w:rFonts w:ascii="Times New Roman" w:hAnsi="Times New Roman"/>
                <w:b/>
                <w:bCs/>
                <w:color w:val="000000"/>
                <w:szCs w:val="22"/>
                <w:u w:val="single"/>
                <w:lang w:val="fr-FR" w:eastAsia="fr-FR"/>
              </w:rPr>
              <w:t>Other</w:t>
            </w:r>
            <w:proofErr w:type="spellEnd"/>
            <w:r w:rsidRPr="003E4C9A">
              <w:rPr>
                <w:rFonts w:ascii="Times New Roman" w:hAnsi="Times New Roman"/>
                <w:b/>
                <w:bCs/>
                <w:color w:val="000000"/>
                <w:szCs w:val="22"/>
                <w:u w:val="single"/>
                <w:lang w:val="fr-FR" w:eastAsia="fr-FR"/>
              </w:rPr>
              <w:t xml:space="preserve"> Administration </w:t>
            </w:r>
          </w:p>
        </w:tc>
        <w:tc>
          <w:tcPr>
            <w:tcW w:w="1645" w:type="dxa"/>
            <w:tcBorders>
              <w:top w:val="nil"/>
              <w:left w:val="nil"/>
              <w:bottom w:val="single" w:sz="4" w:space="0" w:color="auto"/>
              <w:right w:val="single" w:sz="4" w:space="0" w:color="auto"/>
            </w:tcBorders>
            <w:shd w:val="clear" w:color="auto" w:fill="auto"/>
            <w:noWrap/>
            <w:vAlign w:val="bottom"/>
            <w:hideMark/>
          </w:tcPr>
          <w:p w14:paraId="2B0E9AC0" w14:textId="77777777" w:rsidR="00003E42" w:rsidRPr="003E4C9A" w:rsidRDefault="00003E42" w:rsidP="00E0065F">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24,893,954 </w:t>
            </w:r>
          </w:p>
        </w:tc>
        <w:tc>
          <w:tcPr>
            <w:tcW w:w="1855" w:type="dxa"/>
            <w:tcBorders>
              <w:top w:val="nil"/>
              <w:left w:val="nil"/>
              <w:bottom w:val="single" w:sz="4" w:space="0" w:color="auto"/>
              <w:right w:val="single" w:sz="4" w:space="0" w:color="auto"/>
            </w:tcBorders>
            <w:shd w:val="clear" w:color="auto" w:fill="auto"/>
            <w:noWrap/>
            <w:vAlign w:val="bottom"/>
            <w:hideMark/>
          </w:tcPr>
          <w:p w14:paraId="6A537F28" w14:textId="77777777" w:rsidR="00003E42" w:rsidRPr="003E4C9A" w:rsidRDefault="00003E42" w:rsidP="00E0065F">
            <w:pPr>
              <w:spacing w:before="0"/>
              <w:ind w:left="0"/>
              <w:jc w:val="right"/>
              <w:rPr>
                <w:rFonts w:ascii="Times New Roman" w:hAnsi="Times New Roman"/>
                <w:b/>
                <w:bCs/>
                <w:color w:val="000000"/>
                <w:szCs w:val="22"/>
                <w:u w:val="single"/>
                <w:lang w:val="fr-FR" w:eastAsia="fr-FR"/>
              </w:rPr>
            </w:pPr>
            <w:r w:rsidRPr="003E4C9A">
              <w:rPr>
                <w:rFonts w:ascii="Times New Roman" w:hAnsi="Times New Roman"/>
                <w:b/>
                <w:bCs/>
                <w:color w:val="000000"/>
                <w:szCs w:val="22"/>
                <w:u w:val="single"/>
                <w:lang w:val="fr-FR" w:eastAsia="fr-FR"/>
              </w:rPr>
              <w:t xml:space="preserve">18,018,360 </w:t>
            </w:r>
          </w:p>
        </w:tc>
      </w:tr>
    </w:tbl>
    <w:p w14:paraId="1EED9655" w14:textId="77777777" w:rsidR="003E4C9A" w:rsidRDefault="003E4C9A" w:rsidP="00E0065F">
      <w:pPr>
        <w:pStyle w:val="ListParagraph"/>
        <w:autoSpaceDE w:val="0"/>
        <w:autoSpaceDN w:val="0"/>
        <w:adjustRightInd w:val="0"/>
        <w:spacing w:after="240"/>
        <w:ind w:left="0"/>
        <w:contextualSpacing w:val="0"/>
        <w:rPr>
          <w:rFonts w:ascii="Times New Roman" w:eastAsiaTheme="minorHAnsi" w:hAnsi="Times New Roman"/>
          <w:sz w:val="24"/>
        </w:rPr>
      </w:pPr>
      <w:r w:rsidRPr="005B0C54">
        <w:rPr>
          <w:rFonts w:ascii="Times New Roman" w:hAnsi="Times New Roman"/>
          <w:color w:val="000000"/>
          <w:szCs w:val="22"/>
          <w:lang w:val="en-GB" w:eastAsia="en-GB"/>
        </w:rPr>
        <w:t>Source Ministry of Finance</w:t>
      </w:r>
      <w:r>
        <w:rPr>
          <w:rFonts w:ascii="Times New Roman" w:eastAsiaTheme="minorHAnsi" w:hAnsi="Times New Roman"/>
          <w:sz w:val="24"/>
        </w:rPr>
        <w:t xml:space="preserve"> </w:t>
      </w:r>
    </w:p>
    <w:p w14:paraId="1BACF9AC" w14:textId="1DC71ABF" w:rsidR="007E2FD4" w:rsidRPr="00D97543"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Pr>
          <w:rFonts w:ascii="Times New Roman" w:eastAsiaTheme="minorHAnsi" w:hAnsi="Times New Roman"/>
          <w:sz w:val="24"/>
        </w:rPr>
        <w:t>Spending by central government is broken down by eco</w:t>
      </w:r>
      <w:r w:rsidR="009D64BB">
        <w:rPr>
          <w:rFonts w:ascii="Times New Roman" w:eastAsiaTheme="minorHAnsi" w:hAnsi="Times New Roman"/>
          <w:sz w:val="24"/>
        </w:rPr>
        <w:t xml:space="preserve">nomic categories in Table 2.3. </w:t>
      </w:r>
      <w:r>
        <w:rPr>
          <w:rFonts w:ascii="Times New Roman" w:eastAsiaTheme="minorHAnsi" w:hAnsi="Times New Roman"/>
          <w:sz w:val="24"/>
        </w:rPr>
        <w:t xml:space="preserve">Salaries and other compensation and capital expenditure account for over </w:t>
      </w:r>
      <w:r w:rsidR="003E4C9A">
        <w:rPr>
          <w:rFonts w:ascii="Times New Roman" w:eastAsiaTheme="minorHAnsi" w:hAnsi="Times New Roman"/>
          <w:sz w:val="24"/>
        </w:rPr>
        <w:t>3</w:t>
      </w:r>
      <w:r>
        <w:rPr>
          <w:rFonts w:ascii="Times New Roman" w:eastAsiaTheme="minorHAnsi" w:hAnsi="Times New Roman"/>
          <w:sz w:val="24"/>
        </w:rPr>
        <w:t xml:space="preserve">0% in similar share with debt </w:t>
      </w:r>
      <w:r w:rsidR="009D64BB">
        <w:rPr>
          <w:rFonts w:ascii="Times New Roman" w:eastAsiaTheme="minorHAnsi" w:hAnsi="Times New Roman"/>
          <w:sz w:val="24"/>
        </w:rPr>
        <w:t xml:space="preserve">repayment amounting to below 20 percent of the total. </w:t>
      </w:r>
      <w:r>
        <w:rPr>
          <w:rFonts w:ascii="Times New Roman" w:eastAsiaTheme="minorHAnsi" w:hAnsi="Times New Roman"/>
          <w:sz w:val="24"/>
        </w:rPr>
        <w:t xml:space="preserve">Operational expenditures have grown from 2013/14 to over 8 percent. </w:t>
      </w:r>
    </w:p>
    <w:tbl>
      <w:tblPr>
        <w:tblW w:w="6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938"/>
        <w:gridCol w:w="959"/>
        <w:gridCol w:w="959"/>
      </w:tblGrid>
      <w:tr w:rsidR="00187E70" w:rsidRPr="005B0C54" w14:paraId="650256D0" w14:textId="77777777" w:rsidTr="00A44F83">
        <w:trPr>
          <w:trHeight w:val="300"/>
          <w:jc w:val="center"/>
        </w:trPr>
        <w:tc>
          <w:tcPr>
            <w:tcW w:w="6474" w:type="dxa"/>
            <w:gridSpan w:val="4"/>
            <w:shd w:val="clear" w:color="auto" w:fill="auto"/>
            <w:noWrap/>
            <w:vAlign w:val="bottom"/>
            <w:hideMark/>
          </w:tcPr>
          <w:bookmarkEnd w:id="21"/>
          <w:p w14:paraId="55F2F734" w14:textId="6BD3AE7D" w:rsidR="00187E70" w:rsidRPr="004A65CD" w:rsidRDefault="00187E70" w:rsidP="007E2FD4">
            <w:pPr>
              <w:spacing w:before="0"/>
              <w:ind w:left="0"/>
              <w:jc w:val="left"/>
              <w:rPr>
                <w:rFonts w:ascii="Times New Roman" w:hAnsi="Times New Roman"/>
                <w:b/>
                <w:color w:val="000000"/>
                <w:lang w:val="en-GB" w:eastAsia="en-GB"/>
              </w:rPr>
            </w:pPr>
            <w:r w:rsidRPr="004A65CD">
              <w:rPr>
                <w:rFonts w:ascii="Times New Roman" w:hAnsi="Times New Roman"/>
                <w:b/>
                <w:color w:val="000000"/>
                <w:szCs w:val="22"/>
                <w:lang w:val="en-GB" w:eastAsia="en-GB"/>
              </w:rPr>
              <w:t>Table 2.</w:t>
            </w:r>
            <w:r w:rsidR="003E4C9A">
              <w:rPr>
                <w:rFonts w:ascii="Times New Roman" w:hAnsi="Times New Roman"/>
                <w:b/>
                <w:color w:val="000000"/>
                <w:szCs w:val="22"/>
                <w:lang w:val="en-GB" w:eastAsia="en-GB"/>
              </w:rPr>
              <w:t>4</w:t>
            </w:r>
            <w:r w:rsidRPr="004A65CD">
              <w:rPr>
                <w:rFonts w:ascii="Times New Roman" w:hAnsi="Times New Roman"/>
                <w:b/>
                <w:color w:val="000000"/>
                <w:szCs w:val="22"/>
                <w:lang w:val="en-GB" w:eastAsia="en-GB"/>
              </w:rPr>
              <w:t xml:space="preserve"> Budget allocations by economic categories</w:t>
            </w:r>
          </w:p>
        </w:tc>
      </w:tr>
      <w:tr w:rsidR="00187E70" w:rsidRPr="005B0C54" w14:paraId="36288CB6" w14:textId="77777777" w:rsidTr="00A44F83">
        <w:trPr>
          <w:trHeight w:val="300"/>
          <w:jc w:val="center"/>
        </w:trPr>
        <w:tc>
          <w:tcPr>
            <w:tcW w:w="6474" w:type="dxa"/>
            <w:gridSpan w:val="4"/>
            <w:shd w:val="clear" w:color="auto" w:fill="auto"/>
            <w:noWrap/>
            <w:vAlign w:val="bottom"/>
            <w:hideMark/>
          </w:tcPr>
          <w:p w14:paraId="25C949FF" w14:textId="77777777" w:rsidR="00187E70" w:rsidRPr="005B0C54" w:rsidRDefault="00187E70"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As a percentage of total expenditures</w:t>
            </w:r>
          </w:p>
        </w:tc>
      </w:tr>
      <w:tr w:rsidR="00A44F83" w:rsidRPr="005B0C54" w14:paraId="4AE35AE5" w14:textId="77777777" w:rsidTr="00A44F83">
        <w:trPr>
          <w:trHeight w:val="300"/>
          <w:jc w:val="center"/>
        </w:trPr>
        <w:tc>
          <w:tcPr>
            <w:tcW w:w="3618" w:type="dxa"/>
            <w:shd w:val="clear" w:color="auto" w:fill="auto"/>
            <w:noWrap/>
            <w:vAlign w:val="bottom"/>
            <w:hideMark/>
          </w:tcPr>
          <w:p w14:paraId="4CAAEA1F" w14:textId="77777777" w:rsidR="00A44F83" w:rsidRPr="005B0C54" w:rsidRDefault="00A44F83" w:rsidP="007E2FD4">
            <w:pPr>
              <w:spacing w:before="0"/>
              <w:ind w:left="0"/>
              <w:jc w:val="left"/>
              <w:rPr>
                <w:rFonts w:ascii="Times New Roman" w:hAnsi="Times New Roman"/>
                <w:color w:val="000000"/>
                <w:lang w:val="en-GB" w:eastAsia="en-GB"/>
              </w:rPr>
            </w:pPr>
          </w:p>
        </w:tc>
        <w:tc>
          <w:tcPr>
            <w:tcW w:w="938" w:type="dxa"/>
            <w:shd w:val="clear" w:color="auto" w:fill="auto"/>
            <w:noWrap/>
            <w:vAlign w:val="bottom"/>
            <w:hideMark/>
          </w:tcPr>
          <w:p w14:paraId="53E49674" w14:textId="77777777" w:rsidR="00A44F83" w:rsidRPr="00177ADB" w:rsidRDefault="00A44F83" w:rsidP="007E2FD4">
            <w:pPr>
              <w:spacing w:before="0"/>
              <w:ind w:left="0"/>
              <w:jc w:val="left"/>
              <w:rPr>
                <w:rFonts w:ascii="Times New Roman" w:hAnsi="Times New Roman"/>
                <w:b/>
                <w:color w:val="000000"/>
                <w:lang w:val="en-GB" w:eastAsia="en-GB"/>
              </w:rPr>
            </w:pPr>
            <w:r w:rsidRPr="00177ADB">
              <w:rPr>
                <w:rFonts w:ascii="Times New Roman" w:hAnsi="Times New Roman"/>
                <w:b/>
                <w:color w:val="000000"/>
                <w:szCs w:val="22"/>
                <w:lang w:val="en-GB" w:eastAsia="en-GB"/>
              </w:rPr>
              <w:t>2014/15</w:t>
            </w:r>
          </w:p>
        </w:tc>
        <w:tc>
          <w:tcPr>
            <w:tcW w:w="959" w:type="dxa"/>
            <w:shd w:val="clear" w:color="auto" w:fill="auto"/>
            <w:noWrap/>
            <w:vAlign w:val="bottom"/>
            <w:hideMark/>
          </w:tcPr>
          <w:p w14:paraId="036CCF43" w14:textId="77777777" w:rsidR="00A44F83" w:rsidRPr="00177ADB" w:rsidRDefault="00A44F83" w:rsidP="007E2FD4">
            <w:pPr>
              <w:spacing w:before="0"/>
              <w:ind w:left="0"/>
              <w:jc w:val="left"/>
              <w:rPr>
                <w:rFonts w:ascii="Times New Roman" w:hAnsi="Times New Roman"/>
                <w:b/>
                <w:color w:val="000000"/>
                <w:lang w:val="en-GB" w:eastAsia="en-GB"/>
              </w:rPr>
            </w:pPr>
            <w:r w:rsidRPr="00177ADB">
              <w:rPr>
                <w:rFonts w:ascii="Times New Roman" w:hAnsi="Times New Roman"/>
                <w:b/>
                <w:color w:val="000000"/>
                <w:szCs w:val="22"/>
                <w:lang w:val="en-GB" w:eastAsia="en-GB"/>
              </w:rPr>
              <w:t>2015/16</w:t>
            </w:r>
          </w:p>
        </w:tc>
        <w:tc>
          <w:tcPr>
            <w:tcW w:w="959" w:type="dxa"/>
          </w:tcPr>
          <w:p w14:paraId="0057FF22" w14:textId="77777777" w:rsidR="00A44F83" w:rsidRPr="00177ADB" w:rsidRDefault="00A44F83" w:rsidP="007E2FD4">
            <w:pPr>
              <w:spacing w:before="0"/>
              <w:ind w:left="0"/>
              <w:jc w:val="left"/>
              <w:rPr>
                <w:rFonts w:ascii="Times New Roman" w:hAnsi="Times New Roman"/>
                <w:b/>
                <w:color w:val="000000"/>
                <w:lang w:val="en-GB" w:eastAsia="en-GB"/>
              </w:rPr>
            </w:pPr>
            <w:r>
              <w:rPr>
                <w:rFonts w:ascii="Times New Roman" w:hAnsi="Times New Roman"/>
                <w:b/>
                <w:color w:val="000000"/>
                <w:szCs w:val="22"/>
                <w:lang w:val="en-GB" w:eastAsia="en-GB"/>
              </w:rPr>
              <w:t>2017 (est.)</w:t>
            </w:r>
          </w:p>
        </w:tc>
      </w:tr>
      <w:tr w:rsidR="000F1BDA" w:rsidRPr="005B0C54" w14:paraId="1E5FE117" w14:textId="77777777" w:rsidTr="00D66921">
        <w:trPr>
          <w:trHeight w:val="300"/>
          <w:jc w:val="center"/>
        </w:trPr>
        <w:tc>
          <w:tcPr>
            <w:tcW w:w="3618" w:type="dxa"/>
            <w:shd w:val="clear" w:color="auto" w:fill="auto"/>
            <w:noWrap/>
            <w:vAlign w:val="bottom"/>
            <w:hideMark/>
          </w:tcPr>
          <w:p w14:paraId="0F22EF18"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Salary and employee allowance</w:t>
            </w:r>
          </w:p>
        </w:tc>
        <w:tc>
          <w:tcPr>
            <w:tcW w:w="938" w:type="dxa"/>
            <w:shd w:val="clear" w:color="000000" w:fill="FFFFFF"/>
            <w:noWrap/>
            <w:vAlign w:val="bottom"/>
            <w:hideMark/>
          </w:tcPr>
          <w:p w14:paraId="4A3B1CCC"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27.35</w:t>
            </w:r>
          </w:p>
        </w:tc>
        <w:tc>
          <w:tcPr>
            <w:tcW w:w="959" w:type="dxa"/>
            <w:shd w:val="clear" w:color="000000" w:fill="FFFFFF"/>
            <w:noWrap/>
            <w:vAlign w:val="bottom"/>
            <w:hideMark/>
          </w:tcPr>
          <w:p w14:paraId="58CC96F9"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29.27</w:t>
            </w:r>
          </w:p>
        </w:tc>
        <w:tc>
          <w:tcPr>
            <w:tcW w:w="959" w:type="dxa"/>
            <w:shd w:val="clear" w:color="000000" w:fill="FFFFFF"/>
            <w:vAlign w:val="bottom"/>
          </w:tcPr>
          <w:p w14:paraId="3BC8B8A2" w14:textId="77777777" w:rsidR="000F1BDA" w:rsidRPr="000F1BDA" w:rsidRDefault="000F1BDA" w:rsidP="000F1BDA">
            <w:pPr>
              <w:spacing w:before="0"/>
              <w:ind w:left="0"/>
              <w:jc w:val="right"/>
              <w:rPr>
                <w:rFonts w:ascii="Times New Roman" w:hAnsi="Times New Roman"/>
                <w:color w:val="000000"/>
                <w:lang w:val="en-GB" w:eastAsia="en-GB"/>
              </w:rPr>
            </w:pPr>
            <w:r w:rsidRPr="000F1BDA">
              <w:rPr>
                <w:rFonts w:ascii="Times New Roman" w:hAnsi="Times New Roman"/>
                <w:color w:val="000000"/>
                <w:szCs w:val="22"/>
              </w:rPr>
              <w:t>31.08</w:t>
            </w:r>
          </w:p>
        </w:tc>
      </w:tr>
      <w:tr w:rsidR="000F1BDA" w:rsidRPr="005B0C54" w14:paraId="5A50D956" w14:textId="77777777" w:rsidTr="00D66921">
        <w:trPr>
          <w:trHeight w:val="300"/>
          <w:jc w:val="center"/>
        </w:trPr>
        <w:tc>
          <w:tcPr>
            <w:tcW w:w="3618" w:type="dxa"/>
            <w:shd w:val="clear" w:color="auto" w:fill="auto"/>
            <w:noWrap/>
            <w:vAlign w:val="bottom"/>
            <w:hideMark/>
          </w:tcPr>
          <w:p w14:paraId="5F4AF8B5"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Compensation and policy allowances</w:t>
            </w:r>
          </w:p>
        </w:tc>
        <w:tc>
          <w:tcPr>
            <w:tcW w:w="938" w:type="dxa"/>
            <w:shd w:val="clear" w:color="000000" w:fill="FFFFFF"/>
            <w:noWrap/>
            <w:vAlign w:val="bottom"/>
            <w:hideMark/>
          </w:tcPr>
          <w:p w14:paraId="5A343149"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3.96</w:t>
            </w:r>
          </w:p>
        </w:tc>
        <w:tc>
          <w:tcPr>
            <w:tcW w:w="959" w:type="dxa"/>
            <w:shd w:val="clear" w:color="000000" w:fill="FFFFFF"/>
            <w:noWrap/>
            <w:vAlign w:val="bottom"/>
            <w:hideMark/>
          </w:tcPr>
          <w:p w14:paraId="1F53AF30"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4.37</w:t>
            </w:r>
          </w:p>
        </w:tc>
        <w:tc>
          <w:tcPr>
            <w:tcW w:w="959" w:type="dxa"/>
            <w:shd w:val="clear" w:color="000000" w:fill="FFFFFF"/>
            <w:vAlign w:val="bottom"/>
          </w:tcPr>
          <w:p w14:paraId="68748CF7"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5.25</w:t>
            </w:r>
          </w:p>
        </w:tc>
      </w:tr>
      <w:tr w:rsidR="000F1BDA" w:rsidRPr="005B0C54" w14:paraId="5EF9C993" w14:textId="77777777" w:rsidTr="00D66921">
        <w:trPr>
          <w:trHeight w:val="300"/>
          <w:jc w:val="center"/>
        </w:trPr>
        <w:tc>
          <w:tcPr>
            <w:tcW w:w="3618" w:type="dxa"/>
            <w:shd w:val="clear" w:color="auto" w:fill="auto"/>
            <w:noWrap/>
            <w:vAlign w:val="bottom"/>
            <w:hideMark/>
          </w:tcPr>
          <w:p w14:paraId="6AAEB0E0"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Operation expenditure</w:t>
            </w:r>
          </w:p>
        </w:tc>
        <w:tc>
          <w:tcPr>
            <w:tcW w:w="938" w:type="dxa"/>
            <w:shd w:val="clear" w:color="000000" w:fill="FFFFFF"/>
            <w:noWrap/>
            <w:vAlign w:val="bottom"/>
            <w:hideMark/>
          </w:tcPr>
          <w:p w14:paraId="4AC46C26"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8.63</w:t>
            </w:r>
          </w:p>
        </w:tc>
        <w:tc>
          <w:tcPr>
            <w:tcW w:w="959" w:type="dxa"/>
            <w:shd w:val="clear" w:color="000000" w:fill="FFFFFF"/>
            <w:noWrap/>
            <w:vAlign w:val="bottom"/>
            <w:hideMark/>
          </w:tcPr>
          <w:p w14:paraId="6C75C16C"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8.05</w:t>
            </w:r>
          </w:p>
        </w:tc>
        <w:tc>
          <w:tcPr>
            <w:tcW w:w="959" w:type="dxa"/>
            <w:shd w:val="clear" w:color="000000" w:fill="FFFFFF"/>
            <w:vAlign w:val="bottom"/>
          </w:tcPr>
          <w:p w14:paraId="7C8A4158"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9.23</w:t>
            </w:r>
          </w:p>
        </w:tc>
      </w:tr>
      <w:tr w:rsidR="000F1BDA" w:rsidRPr="005B0C54" w14:paraId="50A78299" w14:textId="77777777" w:rsidTr="00D66921">
        <w:trPr>
          <w:trHeight w:val="300"/>
          <w:jc w:val="center"/>
        </w:trPr>
        <w:tc>
          <w:tcPr>
            <w:tcW w:w="3618" w:type="dxa"/>
            <w:shd w:val="clear" w:color="auto" w:fill="auto"/>
            <w:noWrap/>
            <w:vAlign w:val="bottom"/>
            <w:hideMark/>
          </w:tcPr>
          <w:p w14:paraId="2FB6E8F1"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Technical activities and subsidies</w:t>
            </w:r>
          </w:p>
        </w:tc>
        <w:tc>
          <w:tcPr>
            <w:tcW w:w="938" w:type="dxa"/>
            <w:shd w:val="clear" w:color="000000" w:fill="FFFFFF"/>
            <w:noWrap/>
            <w:vAlign w:val="bottom"/>
            <w:hideMark/>
          </w:tcPr>
          <w:p w14:paraId="1713258B"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4.02</w:t>
            </w:r>
          </w:p>
        </w:tc>
        <w:tc>
          <w:tcPr>
            <w:tcW w:w="959" w:type="dxa"/>
            <w:shd w:val="clear" w:color="000000" w:fill="FFFFFF"/>
            <w:noWrap/>
            <w:vAlign w:val="bottom"/>
            <w:hideMark/>
          </w:tcPr>
          <w:p w14:paraId="5493FD9E"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5.83</w:t>
            </w:r>
          </w:p>
        </w:tc>
        <w:tc>
          <w:tcPr>
            <w:tcW w:w="959" w:type="dxa"/>
            <w:shd w:val="clear" w:color="000000" w:fill="FFFFFF"/>
            <w:vAlign w:val="bottom"/>
          </w:tcPr>
          <w:p w14:paraId="4C75721C"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4.86</w:t>
            </w:r>
          </w:p>
        </w:tc>
      </w:tr>
      <w:tr w:rsidR="000F1BDA" w:rsidRPr="005B0C54" w14:paraId="7F34520F" w14:textId="77777777" w:rsidTr="00D66921">
        <w:trPr>
          <w:trHeight w:val="300"/>
          <w:jc w:val="center"/>
        </w:trPr>
        <w:tc>
          <w:tcPr>
            <w:tcW w:w="3618" w:type="dxa"/>
            <w:shd w:val="clear" w:color="auto" w:fill="auto"/>
            <w:noWrap/>
            <w:vAlign w:val="bottom"/>
            <w:hideMark/>
          </w:tcPr>
          <w:p w14:paraId="454A0D09"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Financial expenditure</w:t>
            </w:r>
          </w:p>
        </w:tc>
        <w:tc>
          <w:tcPr>
            <w:tcW w:w="938" w:type="dxa"/>
            <w:shd w:val="clear" w:color="000000" w:fill="FFFFFF"/>
            <w:noWrap/>
            <w:vAlign w:val="bottom"/>
            <w:hideMark/>
          </w:tcPr>
          <w:p w14:paraId="44E2E9DC"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3.51</w:t>
            </w:r>
          </w:p>
        </w:tc>
        <w:tc>
          <w:tcPr>
            <w:tcW w:w="959" w:type="dxa"/>
            <w:shd w:val="clear" w:color="000000" w:fill="FFFFFF"/>
            <w:noWrap/>
            <w:vAlign w:val="bottom"/>
            <w:hideMark/>
          </w:tcPr>
          <w:p w14:paraId="503283B9"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0.00</w:t>
            </w:r>
          </w:p>
        </w:tc>
        <w:tc>
          <w:tcPr>
            <w:tcW w:w="959" w:type="dxa"/>
            <w:shd w:val="clear" w:color="000000" w:fill="FFFFFF"/>
            <w:vAlign w:val="bottom"/>
          </w:tcPr>
          <w:p w14:paraId="3CF43224"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6.56</w:t>
            </w:r>
          </w:p>
        </w:tc>
      </w:tr>
      <w:tr w:rsidR="000F1BDA" w:rsidRPr="005B0C54" w14:paraId="5A1E444D" w14:textId="77777777" w:rsidTr="00D66921">
        <w:trPr>
          <w:trHeight w:val="300"/>
          <w:jc w:val="center"/>
        </w:trPr>
        <w:tc>
          <w:tcPr>
            <w:tcW w:w="3618" w:type="dxa"/>
            <w:shd w:val="clear" w:color="auto" w:fill="auto"/>
            <w:noWrap/>
            <w:vAlign w:val="bottom"/>
            <w:hideMark/>
          </w:tcPr>
          <w:p w14:paraId="153D187E"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Other expenditures</w:t>
            </w:r>
          </w:p>
        </w:tc>
        <w:tc>
          <w:tcPr>
            <w:tcW w:w="938" w:type="dxa"/>
            <w:shd w:val="clear" w:color="000000" w:fill="FFFFFF"/>
            <w:noWrap/>
            <w:vAlign w:val="bottom"/>
            <w:hideMark/>
          </w:tcPr>
          <w:p w14:paraId="63E143CE"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0.70</w:t>
            </w:r>
          </w:p>
        </w:tc>
        <w:tc>
          <w:tcPr>
            <w:tcW w:w="959" w:type="dxa"/>
            <w:shd w:val="clear" w:color="000000" w:fill="FFFFFF"/>
            <w:noWrap/>
            <w:vAlign w:val="bottom"/>
            <w:hideMark/>
          </w:tcPr>
          <w:p w14:paraId="53F33237"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0.58</w:t>
            </w:r>
          </w:p>
        </w:tc>
        <w:tc>
          <w:tcPr>
            <w:tcW w:w="959" w:type="dxa"/>
            <w:shd w:val="clear" w:color="000000" w:fill="FFFFFF"/>
            <w:vAlign w:val="bottom"/>
          </w:tcPr>
          <w:p w14:paraId="33DA55E7"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1.23</w:t>
            </w:r>
          </w:p>
        </w:tc>
      </w:tr>
      <w:tr w:rsidR="000F1BDA" w:rsidRPr="005B0C54" w14:paraId="75713F25" w14:textId="77777777" w:rsidTr="00D66921">
        <w:trPr>
          <w:trHeight w:val="300"/>
          <w:jc w:val="center"/>
        </w:trPr>
        <w:tc>
          <w:tcPr>
            <w:tcW w:w="3618" w:type="dxa"/>
            <w:shd w:val="clear" w:color="auto" w:fill="auto"/>
            <w:noWrap/>
            <w:vAlign w:val="bottom"/>
            <w:hideMark/>
          </w:tcPr>
          <w:p w14:paraId="562F1F74"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New purchase for operation</w:t>
            </w:r>
          </w:p>
        </w:tc>
        <w:tc>
          <w:tcPr>
            <w:tcW w:w="938" w:type="dxa"/>
            <w:shd w:val="clear" w:color="000000" w:fill="FFFFFF"/>
            <w:noWrap/>
            <w:vAlign w:val="bottom"/>
            <w:hideMark/>
          </w:tcPr>
          <w:p w14:paraId="68D68B0A"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0.47</w:t>
            </w:r>
          </w:p>
        </w:tc>
        <w:tc>
          <w:tcPr>
            <w:tcW w:w="959" w:type="dxa"/>
            <w:shd w:val="clear" w:color="000000" w:fill="FFFFFF"/>
            <w:noWrap/>
            <w:vAlign w:val="bottom"/>
            <w:hideMark/>
          </w:tcPr>
          <w:p w14:paraId="09A1000A"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0.58</w:t>
            </w:r>
          </w:p>
        </w:tc>
        <w:tc>
          <w:tcPr>
            <w:tcW w:w="959" w:type="dxa"/>
            <w:shd w:val="clear" w:color="000000" w:fill="FFFFFF"/>
            <w:vAlign w:val="bottom"/>
          </w:tcPr>
          <w:p w14:paraId="008B2759"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0.00</w:t>
            </w:r>
          </w:p>
        </w:tc>
      </w:tr>
      <w:tr w:rsidR="000F1BDA" w:rsidRPr="005B0C54" w14:paraId="30AC43F6" w14:textId="77777777" w:rsidTr="00D66921">
        <w:trPr>
          <w:trHeight w:val="300"/>
          <w:jc w:val="center"/>
        </w:trPr>
        <w:tc>
          <w:tcPr>
            <w:tcW w:w="3618" w:type="dxa"/>
            <w:shd w:val="clear" w:color="auto" w:fill="auto"/>
            <w:noWrap/>
            <w:vAlign w:val="bottom"/>
            <w:hideMark/>
          </w:tcPr>
          <w:p w14:paraId="14906907"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Capital-external expenditure</w:t>
            </w:r>
          </w:p>
        </w:tc>
        <w:tc>
          <w:tcPr>
            <w:tcW w:w="938" w:type="dxa"/>
            <w:shd w:val="clear" w:color="000000" w:fill="FFFFFF"/>
            <w:noWrap/>
            <w:vAlign w:val="bottom"/>
            <w:hideMark/>
          </w:tcPr>
          <w:p w14:paraId="0319F6DB"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24.68</w:t>
            </w:r>
          </w:p>
        </w:tc>
        <w:tc>
          <w:tcPr>
            <w:tcW w:w="959" w:type="dxa"/>
            <w:shd w:val="clear" w:color="000000" w:fill="FFFFFF"/>
            <w:noWrap/>
            <w:vAlign w:val="bottom"/>
            <w:hideMark/>
          </w:tcPr>
          <w:p w14:paraId="161FE3B6"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20.67</w:t>
            </w:r>
          </w:p>
        </w:tc>
        <w:tc>
          <w:tcPr>
            <w:tcW w:w="959" w:type="dxa"/>
            <w:shd w:val="clear" w:color="000000" w:fill="FFFFFF"/>
            <w:vAlign w:val="bottom"/>
          </w:tcPr>
          <w:p w14:paraId="606F80C7"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24.93</w:t>
            </w:r>
          </w:p>
        </w:tc>
      </w:tr>
      <w:tr w:rsidR="000F1BDA" w:rsidRPr="005B0C54" w14:paraId="6D4CE4BA" w14:textId="77777777" w:rsidTr="00D66921">
        <w:trPr>
          <w:trHeight w:val="315"/>
          <w:jc w:val="center"/>
        </w:trPr>
        <w:tc>
          <w:tcPr>
            <w:tcW w:w="3618" w:type="dxa"/>
            <w:shd w:val="clear" w:color="auto" w:fill="auto"/>
            <w:noWrap/>
            <w:vAlign w:val="bottom"/>
            <w:hideMark/>
          </w:tcPr>
          <w:p w14:paraId="5BB7FCE5" w14:textId="77777777" w:rsidR="000F1BDA" w:rsidRPr="005B0C54" w:rsidRDefault="000F1BDA"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Capital-local expenditure</w:t>
            </w:r>
          </w:p>
        </w:tc>
        <w:tc>
          <w:tcPr>
            <w:tcW w:w="938" w:type="dxa"/>
            <w:shd w:val="clear" w:color="000000" w:fill="FFFFFF"/>
            <w:noWrap/>
            <w:vAlign w:val="bottom"/>
            <w:hideMark/>
          </w:tcPr>
          <w:p w14:paraId="3C6DD6CD"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10.90</w:t>
            </w:r>
          </w:p>
        </w:tc>
        <w:tc>
          <w:tcPr>
            <w:tcW w:w="959" w:type="dxa"/>
            <w:shd w:val="clear" w:color="000000" w:fill="FFFFFF"/>
            <w:noWrap/>
            <w:vAlign w:val="bottom"/>
            <w:hideMark/>
          </w:tcPr>
          <w:p w14:paraId="5CD648BE" w14:textId="77777777" w:rsidR="000F1BDA" w:rsidRPr="005B0C54" w:rsidRDefault="000F1BDA"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10.86</w:t>
            </w:r>
          </w:p>
        </w:tc>
        <w:tc>
          <w:tcPr>
            <w:tcW w:w="959" w:type="dxa"/>
            <w:shd w:val="clear" w:color="000000" w:fill="FFFFFF"/>
            <w:vAlign w:val="bottom"/>
          </w:tcPr>
          <w:p w14:paraId="23B18BCC" w14:textId="77777777" w:rsidR="000F1BDA" w:rsidRPr="000F1BDA" w:rsidRDefault="000F1BDA" w:rsidP="007E2FD4">
            <w:pPr>
              <w:spacing w:before="0"/>
              <w:ind w:left="0"/>
              <w:jc w:val="right"/>
              <w:rPr>
                <w:rFonts w:ascii="Times New Roman" w:hAnsi="Times New Roman"/>
                <w:color w:val="000000"/>
                <w:lang w:val="en-GB" w:eastAsia="en-GB"/>
              </w:rPr>
            </w:pPr>
            <w:r w:rsidRPr="000F1BDA">
              <w:rPr>
                <w:rFonts w:ascii="Times New Roman" w:hAnsi="Times New Roman"/>
                <w:color w:val="000000"/>
                <w:szCs w:val="22"/>
              </w:rPr>
              <w:t>16.86</w:t>
            </w:r>
          </w:p>
        </w:tc>
      </w:tr>
      <w:tr w:rsidR="00A44F83" w:rsidRPr="005B0C54" w14:paraId="786A8AEF" w14:textId="77777777" w:rsidTr="00A44F83">
        <w:trPr>
          <w:trHeight w:val="300"/>
          <w:jc w:val="center"/>
        </w:trPr>
        <w:tc>
          <w:tcPr>
            <w:tcW w:w="3618" w:type="dxa"/>
            <w:shd w:val="clear" w:color="auto" w:fill="auto"/>
            <w:noWrap/>
            <w:vAlign w:val="bottom"/>
            <w:hideMark/>
          </w:tcPr>
          <w:p w14:paraId="39EFA8AF" w14:textId="77777777" w:rsidR="00A44F83" w:rsidRPr="005B0C54" w:rsidRDefault="00A44F83"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External debt</w:t>
            </w:r>
          </w:p>
        </w:tc>
        <w:tc>
          <w:tcPr>
            <w:tcW w:w="938" w:type="dxa"/>
            <w:shd w:val="clear" w:color="000000" w:fill="FFFFFF"/>
            <w:noWrap/>
            <w:vAlign w:val="bottom"/>
            <w:hideMark/>
          </w:tcPr>
          <w:p w14:paraId="3A2717D1" w14:textId="77777777" w:rsidR="00A44F83" w:rsidRPr="005B0C54" w:rsidRDefault="00A44F83"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6.41</w:t>
            </w:r>
          </w:p>
        </w:tc>
        <w:tc>
          <w:tcPr>
            <w:tcW w:w="959" w:type="dxa"/>
            <w:shd w:val="clear" w:color="000000" w:fill="FFFFFF"/>
            <w:noWrap/>
            <w:vAlign w:val="bottom"/>
            <w:hideMark/>
          </w:tcPr>
          <w:p w14:paraId="08C98964" w14:textId="77777777" w:rsidR="00A44F83" w:rsidRPr="005B0C54" w:rsidRDefault="00A44F83"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11.29</w:t>
            </w:r>
          </w:p>
        </w:tc>
        <w:tc>
          <w:tcPr>
            <w:tcW w:w="959" w:type="dxa"/>
            <w:shd w:val="clear" w:color="000000" w:fill="FFFFFF"/>
          </w:tcPr>
          <w:p w14:paraId="36A87A59" w14:textId="77777777" w:rsidR="00A44F83" w:rsidRPr="005B0C54" w:rsidRDefault="00A44F83" w:rsidP="007E2FD4">
            <w:pPr>
              <w:spacing w:before="0"/>
              <w:ind w:left="0"/>
              <w:jc w:val="right"/>
              <w:rPr>
                <w:rFonts w:ascii="Times New Roman" w:hAnsi="Times New Roman"/>
                <w:color w:val="000000"/>
                <w:lang w:val="en-GB" w:eastAsia="en-GB"/>
              </w:rPr>
            </w:pPr>
          </w:p>
        </w:tc>
      </w:tr>
      <w:tr w:rsidR="00A44F83" w:rsidRPr="005B0C54" w14:paraId="4F7FABFF" w14:textId="77777777" w:rsidTr="00A44F83">
        <w:trPr>
          <w:trHeight w:val="300"/>
          <w:jc w:val="center"/>
        </w:trPr>
        <w:tc>
          <w:tcPr>
            <w:tcW w:w="3618" w:type="dxa"/>
            <w:shd w:val="clear" w:color="auto" w:fill="auto"/>
            <w:noWrap/>
            <w:vAlign w:val="bottom"/>
            <w:hideMark/>
          </w:tcPr>
          <w:p w14:paraId="2A60F487" w14:textId="77777777" w:rsidR="00A44F83" w:rsidRPr="005B0C54" w:rsidRDefault="00A44F83"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Domestic debt</w:t>
            </w:r>
          </w:p>
        </w:tc>
        <w:tc>
          <w:tcPr>
            <w:tcW w:w="938" w:type="dxa"/>
            <w:shd w:val="clear" w:color="000000" w:fill="FFFFFF"/>
            <w:noWrap/>
            <w:vAlign w:val="bottom"/>
            <w:hideMark/>
          </w:tcPr>
          <w:p w14:paraId="6491A2B4" w14:textId="77777777" w:rsidR="00A44F83" w:rsidRPr="005B0C54" w:rsidRDefault="00A44F83"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9.38</w:t>
            </w:r>
          </w:p>
        </w:tc>
        <w:tc>
          <w:tcPr>
            <w:tcW w:w="959" w:type="dxa"/>
            <w:shd w:val="clear" w:color="000000" w:fill="FFFFFF"/>
            <w:noWrap/>
            <w:vAlign w:val="bottom"/>
            <w:hideMark/>
          </w:tcPr>
          <w:p w14:paraId="421BAE0E" w14:textId="77777777" w:rsidR="00A44F83" w:rsidRPr="005B0C54" w:rsidRDefault="00A44F83"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8.49</w:t>
            </w:r>
          </w:p>
        </w:tc>
        <w:tc>
          <w:tcPr>
            <w:tcW w:w="959" w:type="dxa"/>
            <w:shd w:val="clear" w:color="000000" w:fill="FFFFFF"/>
          </w:tcPr>
          <w:p w14:paraId="3AF120AF" w14:textId="77777777" w:rsidR="00A44F83" w:rsidRPr="005B0C54" w:rsidRDefault="00A44F83" w:rsidP="007E2FD4">
            <w:pPr>
              <w:spacing w:before="0"/>
              <w:ind w:left="0"/>
              <w:jc w:val="right"/>
              <w:rPr>
                <w:rFonts w:ascii="Times New Roman" w:hAnsi="Times New Roman"/>
                <w:color w:val="000000"/>
                <w:lang w:val="en-GB" w:eastAsia="en-GB"/>
              </w:rPr>
            </w:pPr>
          </w:p>
        </w:tc>
      </w:tr>
      <w:tr w:rsidR="00A44F83" w:rsidRPr="005B0C54" w14:paraId="7763DA2E" w14:textId="77777777" w:rsidTr="00A44F83">
        <w:trPr>
          <w:trHeight w:val="300"/>
          <w:jc w:val="center"/>
        </w:trPr>
        <w:tc>
          <w:tcPr>
            <w:tcW w:w="3618" w:type="dxa"/>
            <w:shd w:val="clear" w:color="auto" w:fill="auto"/>
            <w:noWrap/>
            <w:vAlign w:val="bottom"/>
            <w:hideMark/>
          </w:tcPr>
          <w:p w14:paraId="6FF627FB" w14:textId="77777777" w:rsidR="00A44F83" w:rsidRPr="005B0C54" w:rsidRDefault="00A44F83" w:rsidP="007E2FD4">
            <w:pPr>
              <w:spacing w:before="0"/>
              <w:ind w:left="0"/>
              <w:jc w:val="left"/>
              <w:rPr>
                <w:rFonts w:ascii="Times New Roman" w:hAnsi="Times New Roman"/>
                <w:color w:val="000000"/>
                <w:lang w:val="en-GB" w:eastAsia="en-GB"/>
              </w:rPr>
            </w:pPr>
            <w:r w:rsidRPr="005B0C54">
              <w:rPr>
                <w:rFonts w:ascii="Times New Roman" w:hAnsi="Times New Roman"/>
                <w:color w:val="000000"/>
                <w:szCs w:val="22"/>
                <w:lang w:val="en-GB" w:eastAsia="en-GB"/>
              </w:rPr>
              <w:t>Total</w:t>
            </w:r>
          </w:p>
        </w:tc>
        <w:tc>
          <w:tcPr>
            <w:tcW w:w="938" w:type="dxa"/>
            <w:shd w:val="clear" w:color="000000" w:fill="FFFFFF"/>
            <w:noWrap/>
            <w:vAlign w:val="bottom"/>
            <w:hideMark/>
          </w:tcPr>
          <w:p w14:paraId="5168B9ED" w14:textId="77777777" w:rsidR="00A44F83" w:rsidRPr="005B0C54" w:rsidRDefault="00A44F83"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100.00</w:t>
            </w:r>
          </w:p>
        </w:tc>
        <w:tc>
          <w:tcPr>
            <w:tcW w:w="959" w:type="dxa"/>
            <w:shd w:val="clear" w:color="000000" w:fill="FFFFFF"/>
            <w:noWrap/>
            <w:vAlign w:val="bottom"/>
            <w:hideMark/>
          </w:tcPr>
          <w:p w14:paraId="39B188BF" w14:textId="77777777" w:rsidR="00A44F83" w:rsidRPr="005B0C54" w:rsidRDefault="00A44F83" w:rsidP="007E2FD4">
            <w:pPr>
              <w:spacing w:before="0"/>
              <w:ind w:left="0"/>
              <w:jc w:val="right"/>
              <w:rPr>
                <w:rFonts w:ascii="Times New Roman" w:hAnsi="Times New Roman"/>
                <w:color w:val="000000"/>
                <w:lang w:val="en-GB" w:eastAsia="en-GB"/>
              </w:rPr>
            </w:pPr>
            <w:r w:rsidRPr="005B0C54">
              <w:rPr>
                <w:rFonts w:ascii="Times New Roman" w:hAnsi="Times New Roman"/>
                <w:color w:val="000000"/>
                <w:szCs w:val="22"/>
                <w:lang w:val="en-GB" w:eastAsia="en-GB"/>
              </w:rPr>
              <w:t>100.00</w:t>
            </w:r>
          </w:p>
        </w:tc>
        <w:tc>
          <w:tcPr>
            <w:tcW w:w="959" w:type="dxa"/>
            <w:shd w:val="clear" w:color="000000" w:fill="FFFFFF"/>
          </w:tcPr>
          <w:p w14:paraId="6AD7E472" w14:textId="77777777" w:rsidR="00A44F83" w:rsidRPr="005B0C54" w:rsidRDefault="000F1BDA" w:rsidP="007E2FD4">
            <w:pPr>
              <w:spacing w:before="0"/>
              <w:ind w:left="0"/>
              <w:jc w:val="right"/>
              <w:rPr>
                <w:rFonts w:ascii="Times New Roman" w:hAnsi="Times New Roman"/>
                <w:color w:val="000000"/>
                <w:lang w:val="en-GB" w:eastAsia="en-GB"/>
              </w:rPr>
            </w:pPr>
            <w:r>
              <w:rPr>
                <w:rFonts w:ascii="Times New Roman" w:hAnsi="Times New Roman"/>
                <w:color w:val="000000"/>
                <w:lang w:val="en-GB" w:eastAsia="en-GB"/>
              </w:rPr>
              <w:t>100.00</w:t>
            </w:r>
          </w:p>
        </w:tc>
      </w:tr>
      <w:tr w:rsidR="00A44F83" w:rsidRPr="005B0C54" w14:paraId="73729532" w14:textId="77777777" w:rsidTr="00A44F83">
        <w:trPr>
          <w:trHeight w:val="300"/>
          <w:jc w:val="center"/>
        </w:trPr>
        <w:tc>
          <w:tcPr>
            <w:tcW w:w="3618" w:type="dxa"/>
            <w:shd w:val="clear" w:color="auto" w:fill="auto"/>
            <w:noWrap/>
            <w:vAlign w:val="bottom"/>
            <w:hideMark/>
          </w:tcPr>
          <w:p w14:paraId="4CB5FEC9" w14:textId="77777777" w:rsidR="00A44F83" w:rsidRPr="005B0C54" w:rsidRDefault="00A44F83" w:rsidP="007E2FD4">
            <w:pPr>
              <w:spacing w:before="0"/>
              <w:ind w:left="0"/>
              <w:jc w:val="left"/>
              <w:rPr>
                <w:rFonts w:ascii="Times New Roman" w:hAnsi="Times New Roman"/>
                <w:color w:val="000000"/>
                <w:lang w:val="en-GB" w:eastAsia="en-GB"/>
              </w:rPr>
            </w:pPr>
          </w:p>
        </w:tc>
        <w:tc>
          <w:tcPr>
            <w:tcW w:w="938" w:type="dxa"/>
            <w:shd w:val="clear" w:color="auto" w:fill="auto"/>
            <w:noWrap/>
            <w:vAlign w:val="bottom"/>
            <w:hideMark/>
          </w:tcPr>
          <w:p w14:paraId="7CFC4A65" w14:textId="77777777" w:rsidR="00A44F83" w:rsidRPr="005B0C54" w:rsidRDefault="00A44F83" w:rsidP="007E2FD4">
            <w:pPr>
              <w:spacing w:before="0"/>
              <w:ind w:left="0"/>
              <w:jc w:val="left"/>
              <w:rPr>
                <w:rFonts w:ascii="Times New Roman" w:hAnsi="Times New Roman"/>
                <w:color w:val="000000"/>
                <w:lang w:val="en-GB" w:eastAsia="en-GB"/>
              </w:rPr>
            </w:pPr>
          </w:p>
        </w:tc>
        <w:tc>
          <w:tcPr>
            <w:tcW w:w="959" w:type="dxa"/>
            <w:shd w:val="clear" w:color="auto" w:fill="auto"/>
            <w:noWrap/>
            <w:vAlign w:val="bottom"/>
            <w:hideMark/>
          </w:tcPr>
          <w:p w14:paraId="75BEFBAD" w14:textId="77777777" w:rsidR="00A44F83" w:rsidRPr="005B0C54" w:rsidRDefault="00A44F83" w:rsidP="007E2FD4">
            <w:pPr>
              <w:spacing w:before="0"/>
              <w:ind w:left="0"/>
              <w:jc w:val="left"/>
              <w:rPr>
                <w:rFonts w:ascii="Times New Roman" w:hAnsi="Times New Roman"/>
                <w:color w:val="000000"/>
                <w:lang w:val="en-GB" w:eastAsia="en-GB"/>
              </w:rPr>
            </w:pPr>
          </w:p>
        </w:tc>
        <w:tc>
          <w:tcPr>
            <w:tcW w:w="959" w:type="dxa"/>
          </w:tcPr>
          <w:p w14:paraId="3ACA06C5" w14:textId="77777777" w:rsidR="00A44F83" w:rsidRPr="005B0C54" w:rsidRDefault="00A44F83" w:rsidP="007E2FD4">
            <w:pPr>
              <w:spacing w:before="0"/>
              <w:ind w:left="0"/>
              <w:jc w:val="left"/>
              <w:rPr>
                <w:rFonts w:ascii="Times New Roman" w:hAnsi="Times New Roman"/>
                <w:color w:val="000000"/>
                <w:lang w:val="en-GB" w:eastAsia="en-GB"/>
              </w:rPr>
            </w:pPr>
          </w:p>
        </w:tc>
      </w:tr>
    </w:tbl>
    <w:p w14:paraId="0DD29302" w14:textId="77777777" w:rsidR="007E2FD4" w:rsidRDefault="007E2FD4" w:rsidP="007E2FD4">
      <w:pPr>
        <w:spacing w:before="0"/>
        <w:ind w:left="0"/>
        <w:jc w:val="left"/>
        <w:rPr>
          <w:rFonts w:ascii="Times New Roman" w:hAnsi="Times New Roman"/>
          <w:color w:val="000000"/>
          <w:szCs w:val="22"/>
          <w:lang w:val="en-GB" w:eastAsia="en-GB"/>
        </w:rPr>
      </w:pPr>
      <w:r w:rsidRPr="005B0C54">
        <w:rPr>
          <w:rFonts w:ascii="Times New Roman" w:hAnsi="Times New Roman"/>
          <w:szCs w:val="22"/>
        </w:rPr>
        <w:t xml:space="preserve"> </w:t>
      </w:r>
      <w:r w:rsidR="00D13368">
        <w:rPr>
          <w:rFonts w:ascii="Times New Roman" w:hAnsi="Times New Roman"/>
          <w:szCs w:val="22"/>
        </w:rPr>
        <w:tab/>
      </w:r>
      <w:r w:rsidR="00D13368" w:rsidRPr="005B0C54">
        <w:rPr>
          <w:rFonts w:ascii="Times New Roman" w:hAnsi="Times New Roman"/>
          <w:color w:val="000000"/>
          <w:szCs w:val="22"/>
          <w:lang w:val="en-GB" w:eastAsia="en-GB"/>
        </w:rPr>
        <w:t>Source Ministry of Finance</w:t>
      </w:r>
    </w:p>
    <w:p w14:paraId="625E604F" w14:textId="77777777" w:rsidR="00E502FD" w:rsidRDefault="00E502FD">
      <w:pPr>
        <w:spacing w:after="240" w:line="276" w:lineRule="auto"/>
        <w:rPr>
          <w:rFonts w:ascii="Times New Roman" w:hAnsi="Times New Roman"/>
          <w:color w:val="000000"/>
          <w:szCs w:val="22"/>
          <w:lang w:val="en-GB" w:eastAsia="en-GB"/>
        </w:rPr>
      </w:pPr>
      <w:r>
        <w:rPr>
          <w:rFonts w:ascii="Times New Roman" w:hAnsi="Times New Roman"/>
          <w:color w:val="000000"/>
          <w:szCs w:val="22"/>
          <w:lang w:val="en-GB" w:eastAsia="en-GB"/>
        </w:rPr>
        <w:br w:type="page"/>
      </w:r>
    </w:p>
    <w:p w14:paraId="59A19376" w14:textId="77777777" w:rsidR="00E502FD" w:rsidRPr="005B0C54" w:rsidRDefault="00E502FD" w:rsidP="007E2FD4">
      <w:pPr>
        <w:spacing w:before="0"/>
        <w:ind w:left="0"/>
        <w:jc w:val="left"/>
        <w:rPr>
          <w:rFonts w:ascii="Times New Roman" w:hAnsi="Times New Roman"/>
          <w:szCs w:val="22"/>
        </w:rPr>
      </w:pPr>
    </w:p>
    <w:p w14:paraId="26A2EAC3" w14:textId="77777777" w:rsidR="007E2FD4" w:rsidRPr="00254825" w:rsidRDefault="007E2FD4" w:rsidP="007E2FD4">
      <w:pPr>
        <w:spacing w:after="240"/>
        <w:ind w:left="0"/>
        <w:rPr>
          <w:rFonts w:ascii="Times New Roman" w:hAnsi="Times New Roman"/>
          <w:b/>
          <w:sz w:val="24"/>
        </w:rPr>
      </w:pPr>
      <w:bookmarkStart w:id="22" w:name="_Toc504974017"/>
      <w:r w:rsidRPr="00254825">
        <w:rPr>
          <w:rFonts w:ascii="Times New Roman" w:hAnsi="Times New Roman"/>
          <w:b/>
          <w:sz w:val="24"/>
        </w:rPr>
        <w:t>Legal and Regulatory Arrangements for PFM</w:t>
      </w:r>
      <w:bookmarkEnd w:id="22"/>
    </w:p>
    <w:p w14:paraId="53150CF6" w14:textId="77777777" w:rsidR="007E2FD4" w:rsidRPr="00D1361D"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pacing w:val="-2"/>
          <w:sz w:val="24"/>
        </w:rPr>
      </w:pPr>
      <w:r w:rsidRPr="00254825">
        <w:rPr>
          <w:rFonts w:ascii="Times New Roman" w:eastAsiaTheme="minorHAnsi" w:hAnsi="Times New Roman"/>
          <w:b/>
          <w:sz w:val="24"/>
        </w:rPr>
        <w:t>Lao PDR’s PFM architecture is the outcome of two distinct phases or g</w:t>
      </w:r>
      <w:r>
        <w:rPr>
          <w:rFonts w:ascii="Times New Roman" w:eastAsiaTheme="minorHAnsi" w:hAnsi="Times New Roman"/>
          <w:b/>
          <w:sz w:val="24"/>
        </w:rPr>
        <w:t xml:space="preserve">enerations of PFM interventions. </w:t>
      </w:r>
      <w:r w:rsidRPr="00254825">
        <w:rPr>
          <w:rFonts w:ascii="Times New Roman" w:eastAsiaTheme="minorHAnsi" w:hAnsi="Times New Roman"/>
          <w:sz w:val="24"/>
        </w:rPr>
        <w:t xml:space="preserve">The first phase largely promoted international good practice, laying the foundation for the second. From a centrally controlled and planned environment, with little exposure </w:t>
      </w:r>
      <w:r w:rsidRPr="00D1361D">
        <w:rPr>
          <w:rFonts w:ascii="Times New Roman" w:eastAsiaTheme="minorHAnsi" w:hAnsi="Times New Roman"/>
          <w:spacing w:val="-2"/>
          <w:sz w:val="24"/>
        </w:rPr>
        <w:t>to international practices and ideas, the country managed to evolve, adapt and adjust to reforms, including their sequencing and implementation timeframe. PFM is considered a crucial tool for macroeconomic management policy and implementation at the VII to IX Congresses of the Central Party Committee and in the V to VII 5-year National Socio-Economic Development Plan</w:t>
      </w:r>
      <w:r w:rsidRPr="00D1361D">
        <w:rPr>
          <w:rStyle w:val="FootnoteReference"/>
          <w:rFonts w:ascii="Times New Roman" w:eastAsiaTheme="minorHAnsi" w:hAnsi="Times New Roman"/>
          <w:spacing w:val="-2"/>
          <w:sz w:val="24"/>
        </w:rPr>
        <w:footnoteReference w:id="12"/>
      </w:r>
      <w:r w:rsidRPr="00D1361D">
        <w:rPr>
          <w:rFonts w:ascii="Times New Roman" w:eastAsiaTheme="minorHAnsi" w:hAnsi="Times New Roman"/>
          <w:spacing w:val="-2"/>
          <w:sz w:val="24"/>
        </w:rPr>
        <w:t>. The second generation of PFM reforms, taking place since 2016, is designed to put the country on a new, steadier and more sustainable path.</w:t>
      </w:r>
      <w:r w:rsidRPr="00D1361D">
        <w:rPr>
          <w:rStyle w:val="FootnoteReference"/>
          <w:rFonts w:ascii="Times New Roman" w:eastAsiaTheme="minorHAnsi" w:hAnsi="Times New Roman"/>
          <w:spacing w:val="-2"/>
          <w:sz w:val="24"/>
        </w:rPr>
        <w:footnoteReference w:id="13"/>
      </w:r>
    </w:p>
    <w:p w14:paraId="699F1633" w14:textId="77777777" w:rsidR="007E2FD4" w:rsidRPr="00FA4ACE"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254825">
        <w:rPr>
          <w:rFonts w:ascii="Times New Roman" w:eastAsiaTheme="minorHAnsi" w:hAnsi="Times New Roman"/>
          <w:b/>
          <w:sz w:val="24"/>
        </w:rPr>
        <w:t>Over the past 15 years, under the leadership and close guidance of the Central Party Politburo and the Government, s</w:t>
      </w:r>
      <w:r>
        <w:rPr>
          <w:rFonts w:ascii="Times New Roman" w:eastAsiaTheme="minorHAnsi" w:hAnsi="Times New Roman"/>
          <w:b/>
          <w:sz w:val="24"/>
        </w:rPr>
        <w:t>ignificant progress has been</w:t>
      </w:r>
      <w:r w:rsidRPr="00254825">
        <w:rPr>
          <w:rFonts w:ascii="Times New Roman" w:eastAsiaTheme="minorHAnsi" w:hAnsi="Times New Roman"/>
          <w:b/>
          <w:sz w:val="24"/>
        </w:rPr>
        <w:t xml:space="preserve"> achieved in several reform areas. </w:t>
      </w:r>
      <w:r w:rsidRPr="00254825">
        <w:rPr>
          <w:rFonts w:ascii="Times New Roman" w:eastAsiaTheme="minorHAnsi" w:hAnsi="Times New Roman"/>
          <w:sz w:val="24"/>
        </w:rPr>
        <w:t xml:space="preserve">Important milestones have been reached </w:t>
      </w:r>
      <w:r>
        <w:rPr>
          <w:rFonts w:ascii="Times New Roman" w:eastAsiaTheme="minorHAnsi" w:hAnsi="Times New Roman"/>
          <w:sz w:val="24"/>
        </w:rPr>
        <w:t>in</w:t>
      </w:r>
      <w:r w:rsidRPr="00254825">
        <w:rPr>
          <w:rFonts w:ascii="Times New Roman" w:eastAsiaTheme="minorHAnsi" w:hAnsi="Times New Roman"/>
          <w:sz w:val="24"/>
        </w:rPr>
        <w:t xml:space="preserve"> the centralization of the National Treasury, customs and tax functions and the introduction of a Treasury Single Account (TSA), ASYCUDA and the upgrade and roll-out of the GFIS to the provincial level and the introduction of the basic platform of the Debt Management and Financial Analysis System (DMFAS). The decentralization framework (under Sam Sang policy) was piloted to delegate clear responsibilities from central department level to local finance departments at provincial and district level. The Party and Government guidance and policies were translated into laws and regulations including new fiscal legislation to integrate modern PFM practices in revenue and expenditure management and support the implementation of the NSEDP. </w:t>
      </w:r>
    </w:p>
    <w:p w14:paraId="1723A4C1" w14:textId="77777777" w:rsidR="007E2FD4" w:rsidRPr="00FA4ACE"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697922">
        <w:rPr>
          <w:rFonts w:ascii="Times New Roman" w:eastAsiaTheme="minorHAnsi" w:hAnsi="Times New Roman"/>
          <w:b/>
          <w:sz w:val="24"/>
        </w:rPr>
        <w:t>The revised legislation includes: Tax, VAT and State Budget Laws, and the Customs Law, State Assets Law, Accounting Law, Independent Audit Law and the Insurance Law</w:t>
      </w:r>
      <w:r w:rsidRPr="00254825">
        <w:rPr>
          <w:rFonts w:ascii="Times New Roman" w:eastAsiaTheme="minorHAnsi" w:hAnsi="Times New Roman"/>
          <w:sz w:val="24"/>
        </w:rPr>
        <w:t xml:space="preserve">. The legislation aimed at addressing revenue leakages and misuse of expenditures </w:t>
      </w:r>
      <w:r>
        <w:rPr>
          <w:rFonts w:ascii="Times New Roman" w:eastAsiaTheme="minorHAnsi" w:hAnsi="Times New Roman"/>
          <w:sz w:val="24"/>
        </w:rPr>
        <w:t>to</w:t>
      </w:r>
      <w:r w:rsidRPr="00254825">
        <w:rPr>
          <w:rFonts w:ascii="Times New Roman" w:eastAsiaTheme="minorHAnsi" w:hAnsi="Times New Roman"/>
          <w:sz w:val="24"/>
        </w:rPr>
        <w:t xml:space="preserve"> make public finance entities more transparent. Secondary legislation defined core systems and practices: Prime Minister’s Decree on Economization and Anti-Extravagant Spending, the Decree on States Reserves; the Unification of the Charts of Accounts and Budget Nomenclature; Instructions on Administrative Costing Norms; Decree on National Treasury and Presidential ordinance on Excise Tax on Vehicles. Steps were taken towards the introduction of a new tax collection IT through the banking system (Smart Tax, Easy Tax). </w:t>
      </w:r>
    </w:p>
    <w:p w14:paraId="4D744E1D" w14:textId="77777777" w:rsidR="007E2FD4" w:rsidRPr="007604FD"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color w:val="000000"/>
          <w:sz w:val="24"/>
          <w:lang w:val="en-MY"/>
        </w:rPr>
      </w:pPr>
      <w:r>
        <w:rPr>
          <w:rFonts w:ascii="Times New Roman" w:eastAsiaTheme="minorHAnsi" w:hAnsi="Times New Roman"/>
          <w:b/>
          <w:sz w:val="24"/>
        </w:rPr>
        <w:t>D</w:t>
      </w:r>
      <w:r w:rsidRPr="00254825">
        <w:rPr>
          <w:rFonts w:ascii="Times New Roman" w:eastAsiaTheme="minorHAnsi" w:hAnsi="Times New Roman"/>
          <w:b/>
          <w:sz w:val="24"/>
        </w:rPr>
        <w:t xml:space="preserve">espite strong political and technical commitment </w:t>
      </w:r>
      <w:r>
        <w:rPr>
          <w:rFonts w:ascii="Times New Roman" w:eastAsiaTheme="minorHAnsi" w:hAnsi="Times New Roman"/>
          <w:b/>
          <w:sz w:val="24"/>
        </w:rPr>
        <w:t xml:space="preserve">to the Ministry of Finance </w:t>
      </w:r>
      <w:r w:rsidRPr="00254825">
        <w:rPr>
          <w:rFonts w:ascii="Times New Roman" w:eastAsiaTheme="minorHAnsi" w:hAnsi="Times New Roman"/>
          <w:b/>
          <w:sz w:val="24"/>
        </w:rPr>
        <w:t xml:space="preserve">throughout </w:t>
      </w:r>
      <w:r>
        <w:rPr>
          <w:rFonts w:ascii="Times New Roman" w:eastAsiaTheme="minorHAnsi" w:hAnsi="Times New Roman"/>
          <w:b/>
          <w:sz w:val="24"/>
        </w:rPr>
        <w:t>the</w:t>
      </w:r>
      <w:r w:rsidRPr="00254825">
        <w:rPr>
          <w:rFonts w:ascii="Times New Roman" w:eastAsiaTheme="minorHAnsi" w:hAnsi="Times New Roman"/>
          <w:b/>
          <w:sz w:val="24"/>
        </w:rPr>
        <w:t xml:space="preserve"> decade, the ambitious reform agenda eventually stalled in 2013</w:t>
      </w:r>
      <w:r w:rsidR="00D13368">
        <w:rPr>
          <w:rFonts w:ascii="Times New Roman" w:eastAsiaTheme="minorHAnsi" w:hAnsi="Times New Roman"/>
          <w:b/>
          <w:sz w:val="24"/>
        </w:rPr>
        <w:t xml:space="preserve"> for political, technical and operational reasons</w:t>
      </w:r>
      <w:r w:rsidR="006E0A09">
        <w:rPr>
          <w:rFonts w:ascii="Times New Roman" w:eastAsiaTheme="minorHAnsi" w:hAnsi="Times New Roman"/>
          <w:b/>
          <w:sz w:val="24"/>
        </w:rPr>
        <w:t xml:space="preserve">. </w:t>
      </w:r>
      <w:r w:rsidRPr="00254825">
        <w:rPr>
          <w:rFonts w:ascii="Times New Roman" w:eastAsiaTheme="minorHAnsi" w:hAnsi="Times New Roman"/>
          <w:sz w:val="24"/>
        </w:rPr>
        <w:t xml:space="preserve">Reform progress had been slower than initially envisaged as the implementation lacked </w:t>
      </w:r>
      <w:proofErr w:type="gramStart"/>
      <w:r w:rsidRPr="00254825">
        <w:rPr>
          <w:rFonts w:ascii="Times New Roman" w:eastAsiaTheme="minorHAnsi" w:hAnsi="Times New Roman"/>
          <w:sz w:val="24"/>
        </w:rPr>
        <w:t>sufficient</w:t>
      </w:r>
      <w:proofErr w:type="gramEnd"/>
      <w:r w:rsidRPr="00254825">
        <w:rPr>
          <w:rFonts w:ascii="Times New Roman" w:eastAsiaTheme="minorHAnsi" w:hAnsi="Times New Roman"/>
          <w:sz w:val="24"/>
        </w:rPr>
        <w:t xml:space="preserve"> qualified human capital within and outside MoF to implement the program initiatives across several areas and institutions.</w:t>
      </w:r>
      <w:r>
        <w:rPr>
          <w:rFonts w:ascii="Times New Roman" w:eastAsiaTheme="minorHAnsi" w:hAnsi="Times New Roman"/>
          <w:sz w:val="24"/>
        </w:rPr>
        <w:t xml:space="preserve"> </w:t>
      </w:r>
      <w:r w:rsidRPr="00254825">
        <w:rPr>
          <w:rFonts w:ascii="Times New Roman" w:eastAsiaTheme="minorHAnsi" w:hAnsi="Times New Roman"/>
          <w:sz w:val="24"/>
        </w:rPr>
        <w:t xml:space="preserve">Subsequent changes in the administrative and institutional arrangements weakened reform implementation, and further personnel changes and rotation at the senior and technical level </w:t>
      </w:r>
      <w:r>
        <w:rPr>
          <w:rFonts w:ascii="Times New Roman" w:eastAsiaTheme="minorHAnsi" w:hAnsi="Times New Roman"/>
          <w:sz w:val="24"/>
        </w:rPr>
        <w:t>weakened</w:t>
      </w:r>
      <w:r w:rsidRPr="00254825">
        <w:rPr>
          <w:rFonts w:ascii="Times New Roman" w:eastAsiaTheme="minorHAnsi" w:hAnsi="Times New Roman"/>
          <w:sz w:val="24"/>
        </w:rPr>
        <w:t xml:space="preserve"> the reform implementation structure.  Ultimately, the decision of the MoF to turn to </w:t>
      </w:r>
      <w:r>
        <w:rPr>
          <w:rFonts w:ascii="Times New Roman" w:eastAsiaTheme="minorHAnsi" w:hAnsi="Times New Roman"/>
          <w:sz w:val="24"/>
        </w:rPr>
        <w:t xml:space="preserve">alternative </w:t>
      </w:r>
      <w:r w:rsidRPr="00254825">
        <w:rPr>
          <w:rFonts w:ascii="Times New Roman" w:eastAsiaTheme="minorHAnsi" w:hAnsi="Times New Roman"/>
          <w:sz w:val="24"/>
        </w:rPr>
        <w:t>funding sources for the design and procurement of an integrated treasury system halted most of the program</w:t>
      </w:r>
      <w:r>
        <w:rPr>
          <w:rFonts w:ascii="Times New Roman" w:eastAsiaTheme="minorHAnsi" w:hAnsi="Times New Roman"/>
          <w:sz w:val="24"/>
        </w:rPr>
        <w:t>.</w:t>
      </w:r>
      <w:r w:rsidR="00177ADB">
        <w:rPr>
          <w:rFonts w:ascii="Times New Roman" w:eastAsiaTheme="minorHAnsi" w:hAnsi="Times New Roman"/>
          <w:sz w:val="24"/>
        </w:rPr>
        <w:t xml:space="preserve"> </w:t>
      </w:r>
      <w:r>
        <w:rPr>
          <w:rFonts w:ascii="Times New Roman" w:eastAsiaTheme="minorHAnsi" w:hAnsi="Times New Roman"/>
          <w:sz w:val="24"/>
        </w:rPr>
        <w:t>The</w:t>
      </w:r>
      <w:r w:rsidRPr="00254825">
        <w:rPr>
          <w:rFonts w:ascii="Times New Roman" w:eastAsiaTheme="minorHAnsi" w:hAnsi="Times New Roman"/>
          <w:sz w:val="24"/>
        </w:rPr>
        <w:t xml:space="preserve"> relationship of the Government to the wider donor community on PFM reform </w:t>
      </w:r>
      <w:proofErr w:type="gramStart"/>
      <w:r w:rsidRPr="00254825">
        <w:rPr>
          <w:rFonts w:ascii="Times New Roman" w:eastAsiaTheme="minorHAnsi" w:hAnsi="Times New Roman"/>
          <w:sz w:val="24"/>
        </w:rPr>
        <w:t>entered into</w:t>
      </w:r>
      <w:proofErr w:type="gramEnd"/>
      <w:r w:rsidRPr="00254825">
        <w:rPr>
          <w:rFonts w:ascii="Times New Roman" w:eastAsiaTheme="minorHAnsi" w:hAnsi="Times New Roman"/>
          <w:sz w:val="24"/>
        </w:rPr>
        <w:t xml:space="preserve"> a hiatus</w:t>
      </w:r>
      <w:r>
        <w:rPr>
          <w:rFonts w:ascii="Times New Roman" w:eastAsiaTheme="minorHAnsi" w:hAnsi="Times New Roman"/>
          <w:sz w:val="24"/>
        </w:rPr>
        <w:t xml:space="preserve">. </w:t>
      </w:r>
      <w:r w:rsidRPr="00254825">
        <w:rPr>
          <w:rFonts w:ascii="Times New Roman" w:eastAsiaTheme="minorHAnsi" w:hAnsi="Times New Roman"/>
          <w:sz w:val="24"/>
        </w:rPr>
        <w:t xml:space="preserve">PFM reforms progress was </w:t>
      </w:r>
      <w:r>
        <w:rPr>
          <w:rFonts w:ascii="Times New Roman" w:eastAsiaTheme="minorHAnsi" w:hAnsi="Times New Roman"/>
          <w:sz w:val="24"/>
        </w:rPr>
        <w:t>haphazard</w:t>
      </w:r>
      <w:r w:rsidRPr="00254825">
        <w:rPr>
          <w:rFonts w:ascii="Times New Roman" w:eastAsiaTheme="minorHAnsi" w:hAnsi="Times New Roman"/>
          <w:sz w:val="24"/>
        </w:rPr>
        <w:t xml:space="preserve"> during 2013-16 and many </w:t>
      </w:r>
      <w:r w:rsidRPr="00254825">
        <w:rPr>
          <w:rFonts w:ascii="Times New Roman" w:eastAsiaTheme="minorHAnsi" w:hAnsi="Times New Roman"/>
          <w:sz w:val="24"/>
        </w:rPr>
        <w:lastRenderedPageBreak/>
        <w:t xml:space="preserve">first-generation reforms were left incomplete. As a result, the </w:t>
      </w:r>
      <w:r w:rsidRPr="00254825">
        <w:rPr>
          <w:rFonts w:ascii="Times New Roman" w:hAnsi="Times New Roman"/>
          <w:sz w:val="24"/>
        </w:rPr>
        <w:t xml:space="preserve">PFM regulatory framework was left fragmented </w:t>
      </w:r>
      <w:r>
        <w:rPr>
          <w:rFonts w:ascii="Times New Roman" w:hAnsi="Times New Roman"/>
          <w:sz w:val="24"/>
        </w:rPr>
        <w:t xml:space="preserve">as </w:t>
      </w:r>
      <w:r w:rsidRPr="00254825">
        <w:rPr>
          <w:rFonts w:ascii="Times New Roman" w:hAnsi="Times New Roman"/>
          <w:sz w:val="24"/>
        </w:rPr>
        <w:t xml:space="preserve">the secondary legislation and instructions required to enforce the legal provisions and establish the related PFM systems were not completed. </w:t>
      </w:r>
    </w:p>
    <w:p w14:paraId="01E58BC0" w14:textId="77777777" w:rsidR="007E2FD4" w:rsidRDefault="007E2FD4" w:rsidP="007604FD">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254825">
        <w:rPr>
          <w:rFonts w:ascii="Times New Roman" w:eastAsiaTheme="minorHAnsi" w:hAnsi="Times New Roman"/>
          <w:b/>
          <w:sz w:val="24"/>
        </w:rPr>
        <w:t>The s</w:t>
      </w:r>
      <w:r>
        <w:rPr>
          <w:rFonts w:ascii="Times New Roman" w:eastAsiaTheme="minorHAnsi" w:hAnsi="Times New Roman"/>
          <w:b/>
          <w:sz w:val="24"/>
        </w:rPr>
        <w:t>econd-generation reforms period</w:t>
      </w:r>
      <w:r w:rsidRPr="00254825">
        <w:rPr>
          <w:rFonts w:ascii="Times New Roman" w:eastAsiaTheme="minorHAnsi" w:hAnsi="Times New Roman"/>
          <w:b/>
          <w:sz w:val="24"/>
        </w:rPr>
        <w:t xml:space="preserve"> was initiated following the appointment of a new reform-minded Government in 2016</w:t>
      </w:r>
      <w:r>
        <w:rPr>
          <w:rFonts w:ascii="Times New Roman" w:eastAsiaTheme="minorHAnsi" w:hAnsi="Times New Roman"/>
          <w:b/>
          <w:sz w:val="24"/>
        </w:rPr>
        <w:t xml:space="preserve">. </w:t>
      </w:r>
      <w:r w:rsidRPr="00697922">
        <w:rPr>
          <w:rFonts w:ascii="Times New Roman" w:eastAsiaTheme="minorHAnsi" w:hAnsi="Times New Roman"/>
          <w:sz w:val="24"/>
        </w:rPr>
        <w:t xml:space="preserve">A new program </w:t>
      </w:r>
      <w:r w:rsidRPr="00697922">
        <w:rPr>
          <w:rFonts w:ascii="Times New Roman" w:hAnsi="Times New Roman"/>
          <w:sz w:val="24"/>
        </w:rPr>
        <w:t xml:space="preserve">for comprehensive PFM legal reform aligned with international standards was launched. </w:t>
      </w:r>
      <w:r>
        <w:rPr>
          <w:rFonts w:ascii="Times New Roman" w:hAnsi="Times New Roman"/>
          <w:sz w:val="24"/>
        </w:rPr>
        <w:t>T</w:t>
      </w:r>
      <w:r w:rsidRPr="00254825">
        <w:rPr>
          <w:rFonts w:ascii="Times New Roman" w:hAnsi="Times New Roman"/>
          <w:sz w:val="24"/>
        </w:rPr>
        <w:t>he revised 2015 State Budget Law fulfills the role of an organic Budget System Law for the core PFM systems and complies with all the key good practice principles of a modern Budget Law</w:t>
      </w:r>
      <w:r w:rsidRPr="00C001AC">
        <w:rPr>
          <w:rStyle w:val="FootnoteReference"/>
          <w:rFonts w:ascii="Times New Roman" w:hAnsi="Times New Roman"/>
          <w:sz w:val="24"/>
        </w:rPr>
        <w:footnoteReference w:id="14"/>
      </w:r>
      <w:r w:rsidRPr="00254825">
        <w:rPr>
          <w:rFonts w:ascii="Times New Roman" w:hAnsi="Times New Roman"/>
          <w:sz w:val="24"/>
        </w:rPr>
        <w:t xml:space="preserve">: clear assignment of roles and responsibilities of key budgetary institutions and officials from National Assembly, Ministry of Finance, Ministry of Planning and Investment, other line ministries and their budget controllers </w:t>
      </w:r>
      <w:r>
        <w:rPr>
          <w:rFonts w:ascii="Times New Roman" w:hAnsi="Times New Roman"/>
          <w:sz w:val="24"/>
        </w:rPr>
        <w:t xml:space="preserve">and </w:t>
      </w:r>
      <w:r w:rsidRPr="00254825">
        <w:rPr>
          <w:rFonts w:ascii="Times New Roman" w:hAnsi="Times New Roman"/>
          <w:sz w:val="24"/>
        </w:rPr>
        <w:t xml:space="preserve">local government. </w:t>
      </w:r>
      <w:r>
        <w:rPr>
          <w:rFonts w:ascii="Times New Roman" w:hAnsi="Times New Roman"/>
          <w:sz w:val="24"/>
        </w:rPr>
        <w:t xml:space="preserve">This Law provides the features of </w:t>
      </w:r>
      <w:r w:rsidRPr="00254825">
        <w:rPr>
          <w:rFonts w:ascii="Times New Roman" w:hAnsi="Times New Roman"/>
          <w:sz w:val="24"/>
        </w:rPr>
        <w:t xml:space="preserve">a comprehensive PFM Law or Public Finance Act covering all principles </w:t>
      </w:r>
      <w:r w:rsidRPr="00697922">
        <w:rPr>
          <w:rFonts w:ascii="Times New Roman" w:hAnsi="Times New Roman"/>
          <w:color w:val="000000" w:themeColor="text1"/>
          <w:sz w:val="24"/>
          <w:shd w:val="clear" w:color="auto" w:fill="FFFFFF"/>
        </w:rPr>
        <w:t>to</w:t>
      </w:r>
      <w:r w:rsidRPr="00254825">
        <w:rPr>
          <w:rFonts w:ascii="Times New Roman" w:hAnsi="Times New Roman"/>
          <w:color w:val="545454"/>
          <w:shd w:val="clear" w:color="auto" w:fill="FFFFFF"/>
        </w:rPr>
        <w:t xml:space="preserve"> </w:t>
      </w:r>
      <w:r w:rsidRPr="00254825">
        <w:rPr>
          <w:rFonts w:ascii="Times New Roman" w:hAnsi="Times New Roman"/>
          <w:sz w:val="24"/>
        </w:rPr>
        <w:t>regulate the s</w:t>
      </w:r>
      <w:r>
        <w:rPr>
          <w:rFonts w:ascii="Times New Roman" w:hAnsi="Times New Roman"/>
          <w:sz w:val="24"/>
        </w:rPr>
        <w:t xml:space="preserve">tructure and functioning of the </w:t>
      </w:r>
      <w:r w:rsidRPr="00254825">
        <w:rPr>
          <w:rFonts w:ascii="Times New Roman" w:hAnsi="Times New Roman"/>
          <w:sz w:val="24"/>
        </w:rPr>
        <w:t xml:space="preserve">public financial management in Lao PDR, </w:t>
      </w:r>
    </w:p>
    <w:p w14:paraId="5E2EF6BA" w14:textId="77777777" w:rsidR="007E2FD4" w:rsidRDefault="007E2FD4" w:rsidP="007604FD">
      <w:pPr>
        <w:pStyle w:val="ListParagraph"/>
        <w:numPr>
          <w:ilvl w:val="0"/>
          <w:numId w:val="32"/>
        </w:numPr>
        <w:tabs>
          <w:tab w:val="left" w:pos="1276"/>
        </w:tabs>
        <w:autoSpaceDE w:val="0"/>
        <w:autoSpaceDN w:val="0"/>
        <w:adjustRightInd w:val="0"/>
        <w:spacing w:after="240"/>
        <w:ind w:left="0" w:firstLine="0"/>
        <w:contextualSpacing w:val="0"/>
        <w:rPr>
          <w:rFonts w:ascii="Times New Roman" w:hAnsi="Times New Roman"/>
          <w:sz w:val="24"/>
        </w:rPr>
      </w:pPr>
      <w:r w:rsidRPr="00697922">
        <w:rPr>
          <w:rFonts w:ascii="Times New Roman" w:hAnsi="Times New Roman"/>
          <w:b/>
          <w:sz w:val="24"/>
        </w:rPr>
        <w:t>The budget cycle is adequately covered</w:t>
      </w:r>
      <w:r>
        <w:rPr>
          <w:rFonts w:ascii="Times New Roman" w:hAnsi="Times New Roman"/>
          <w:b/>
          <w:sz w:val="24"/>
        </w:rPr>
        <w:t xml:space="preserve">. </w:t>
      </w:r>
      <w:r w:rsidRPr="00697922">
        <w:rPr>
          <w:rFonts w:ascii="Times New Roman" w:hAnsi="Times New Roman"/>
          <w:sz w:val="24"/>
        </w:rPr>
        <w:t>It</w:t>
      </w:r>
      <w:r w:rsidRPr="00254825">
        <w:rPr>
          <w:rFonts w:ascii="Times New Roman" w:hAnsi="Times New Roman"/>
          <w:sz w:val="24"/>
        </w:rPr>
        <w:t xml:space="preserve"> includes: indicative multiyear spending ceilings </w:t>
      </w:r>
      <w:r>
        <w:rPr>
          <w:rFonts w:ascii="Times New Roman" w:hAnsi="Times New Roman"/>
          <w:sz w:val="24"/>
        </w:rPr>
        <w:t xml:space="preserve">that </w:t>
      </w:r>
      <w:r w:rsidRPr="00254825">
        <w:rPr>
          <w:rFonts w:ascii="Times New Roman" w:hAnsi="Times New Roman"/>
          <w:sz w:val="24"/>
        </w:rPr>
        <w:t>are required as a basis for the State Budget (</w:t>
      </w:r>
      <w:r>
        <w:rPr>
          <w:rFonts w:ascii="Times New Roman" w:hAnsi="Times New Roman"/>
          <w:sz w:val="24"/>
        </w:rPr>
        <w:t xml:space="preserve">Articles </w:t>
      </w:r>
      <w:r w:rsidRPr="00254825">
        <w:rPr>
          <w:rFonts w:ascii="Times New Roman" w:hAnsi="Times New Roman"/>
          <w:sz w:val="24"/>
        </w:rPr>
        <w:t xml:space="preserve">3, 56); performance-based budgeting (formulation of programs and projects); requirement for the </w:t>
      </w:r>
      <w:proofErr w:type="gramStart"/>
      <w:r w:rsidRPr="00254825">
        <w:rPr>
          <w:rFonts w:ascii="Times New Roman" w:hAnsi="Times New Roman"/>
          <w:sz w:val="24"/>
        </w:rPr>
        <w:t>medium term</w:t>
      </w:r>
      <w:proofErr w:type="gramEnd"/>
      <w:r w:rsidRPr="00254825">
        <w:rPr>
          <w:rFonts w:ascii="Times New Roman" w:hAnsi="Times New Roman"/>
          <w:sz w:val="24"/>
        </w:rPr>
        <w:t xml:space="preserve"> fiscal documentation and basis for allocating revenues at central and local levels. </w:t>
      </w:r>
      <w:r>
        <w:rPr>
          <w:rFonts w:ascii="Times New Roman" w:hAnsi="Times New Roman"/>
          <w:sz w:val="24"/>
        </w:rPr>
        <w:t xml:space="preserve"> Some weaknesses are still to be </w:t>
      </w:r>
      <w:r w:rsidRPr="00254825">
        <w:rPr>
          <w:rFonts w:ascii="Times New Roman" w:hAnsi="Times New Roman"/>
          <w:sz w:val="24"/>
        </w:rPr>
        <w:t xml:space="preserve">improved at </w:t>
      </w:r>
      <w:r>
        <w:rPr>
          <w:rFonts w:ascii="Times New Roman" w:hAnsi="Times New Roman"/>
          <w:sz w:val="24"/>
        </w:rPr>
        <w:t xml:space="preserve">the </w:t>
      </w:r>
      <w:r w:rsidRPr="00254825">
        <w:rPr>
          <w:rFonts w:ascii="Times New Roman" w:hAnsi="Times New Roman"/>
          <w:sz w:val="24"/>
        </w:rPr>
        <w:t>secondary legislation stage: content requirements for key budget documentation, linkage of the annual State Budget with and timing of  the medium term fiscal policy documents presented to the NA, coverage and obligations of the State-Owned Enterprises (SOEs) and</w:t>
      </w:r>
      <w:r>
        <w:rPr>
          <w:rFonts w:ascii="Times New Roman" w:hAnsi="Times New Roman"/>
          <w:sz w:val="24"/>
        </w:rPr>
        <w:t xml:space="preserve"> various extra-budgetary funds,</w:t>
      </w:r>
      <w:r w:rsidRPr="00254825">
        <w:rPr>
          <w:rFonts w:ascii="Times New Roman" w:hAnsi="Times New Roman"/>
          <w:sz w:val="24"/>
        </w:rPr>
        <w:t xml:space="preserve"> in-year reporting obligations, assets and liabilities management, flexibility and authority given to the executive to change the budget using surpluses, reserves and virement without adequate legislative approval and reporting requirements and basis for the transfers to provinces (formula and/or criteria for fiscal equalization)</w:t>
      </w:r>
      <w:r w:rsidRPr="00C001AC">
        <w:rPr>
          <w:rStyle w:val="FootnoteReference"/>
          <w:rFonts w:ascii="Times New Roman" w:hAnsi="Times New Roman"/>
          <w:sz w:val="24"/>
        </w:rPr>
        <w:footnoteReference w:id="15"/>
      </w:r>
      <w:r w:rsidRPr="00254825">
        <w:rPr>
          <w:rFonts w:ascii="Times New Roman" w:hAnsi="Times New Roman"/>
          <w:sz w:val="24"/>
        </w:rPr>
        <w:t>.</w:t>
      </w:r>
    </w:p>
    <w:p w14:paraId="4ABC1D55" w14:textId="77777777" w:rsidR="007E2FD4" w:rsidRPr="00254825"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586D90">
        <w:rPr>
          <w:rFonts w:ascii="Times New Roman" w:hAnsi="Times New Roman"/>
          <w:b/>
          <w:sz w:val="24"/>
        </w:rPr>
        <w:t>Other core PFM Laws are in place</w:t>
      </w:r>
      <w:r w:rsidR="009D64BB">
        <w:rPr>
          <w:rFonts w:ascii="Times New Roman" w:hAnsi="Times New Roman"/>
          <w:sz w:val="24"/>
        </w:rPr>
        <w:t xml:space="preserve">. </w:t>
      </w:r>
      <w:r>
        <w:rPr>
          <w:rFonts w:ascii="Times New Roman" w:hAnsi="Times New Roman"/>
          <w:sz w:val="24"/>
        </w:rPr>
        <w:t>S</w:t>
      </w:r>
      <w:r w:rsidRPr="00254825">
        <w:rPr>
          <w:rFonts w:ascii="Times New Roman" w:hAnsi="Times New Roman"/>
          <w:sz w:val="24"/>
        </w:rPr>
        <w:t xml:space="preserve">ome of </w:t>
      </w:r>
      <w:r>
        <w:rPr>
          <w:rFonts w:ascii="Times New Roman" w:hAnsi="Times New Roman"/>
          <w:sz w:val="24"/>
        </w:rPr>
        <w:t xml:space="preserve">these </w:t>
      </w:r>
      <w:r w:rsidRPr="00254825">
        <w:rPr>
          <w:rFonts w:ascii="Times New Roman" w:hAnsi="Times New Roman"/>
          <w:sz w:val="24"/>
        </w:rPr>
        <w:t>have been recently promulgated but overall, secondary legislation and accompanying detailed instructions are still lacking to enable a direct and effective enforcement of the regulatory framework. An overview of the main PFM responsibilities and laws is presented as follows:</w:t>
      </w:r>
    </w:p>
    <w:p w14:paraId="2DBE159B" w14:textId="77777777" w:rsidR="007E2FD4" w:rsidRPr="00586D90" w:rsidRDefault="007E2FD4" w:rsidP="00177ADB">
      <w:pPr>
        <w:pStyle w:val="ListParagraph"/>
        <w:widowControl w:val="0"/>
        <w:numPr>
          <w:ilvl w:val="0"/>
          <w:numId w:val="38"/>
        </w:numPr>
        <w:autoSpaceDE w:val="0"/>
        <w:autoSpaceDN w:val="0"/>
        <w:adjustRightInd w:val="0"/>
        <w:spacing w:before="0" w:after="240"/>
        <w:ind w:left="630" w:hanging="270"/>
        <w:contextualSpacing w:val="0"/>
        <w:rPr>
          <w:rFonts w:ascii="Times New Roman" w:hAnsi="Times New Roman"/>
          <w:sz w:val="24"/>
        </w:rPr>
      </w:pPr>
      <w:r w:rsidRPr="00586D90">
        <w:rPr>
          <w:rFonts w:ascii="Times New Roman" w:hAnsi="Times New Roman"/>
          <w:b/>
          <w:sz w:val="24"/>
        </w:rPr>
        <w:t>Planning and capital investment: The main responsibility lies with the Ministry of Planning (MPI) for the preparation of the 5-year National Socio-Economic Development Plan (NSEDP) and the annual NSEDP</w:t>
      </w:r>
      <w:r w:rsidRPr="00586D90">
        <w:rPr>
          <w:rFonts w:ascii="Times New Roman" w:hAnsi="Times New Roman"/>
          <w:sz w:val="24"/>
        </w:rPr>
        <w:t xml:space="preserve"> and implementation measures, outlining the main strategic orientations, targets, goals and tasks for the preparation of line ministries’ plans and budgets.  MPI is responsible for the economic forecasting and capital expenditure planning through the Public Investment Plan (PIP) submitted to the NA approval with the annual budget. MPI oversees the implementation of the Public Investment Law 2015 regulates the types of public investment projects according to budget thresholds, and the responsibilities at central and local level for the implementation of the Public Investment Plan:  MPI, the NA, provincial administration and People’ provincial assemblies based on the categorization of the projects.</w:t>
      </w:r>
    </w:p>
    <w:p w14:paraId="704F98F9" w14:textId="77777777" w:rsidR="007E2FD4" w:rsidRPr="00586D90" w:rsidRDefault="007E2FD4" w:rsidP="00177ADB">
      <w:pPr>
        <w:pStyle w:val="ListParagraph"/>
        <w:widowControl w:val="0"/>
        <w:numPr>
          <w:ilvl w:val="0"/>
          <w:numId w:val="38"/>
        </w:numPr>
        <w:autoSpaceDE w:val="0"/>
        <w:autoSpaceDN w:val="0"/>
        <w:adjustRightInd w:val="0"/>
        <w:spacing w:before="0" w:after="240"/>
        <w:ind w:left="630" w:hanging="270"/>
        <w:contextualSpacing w:val="0"/>
        <w:rPr>
          <w:rFonts w:ascii="Times New Roman" w:hAnsi="Times New Roman"/>
          <w:sz w:val="24"/>
        </w:rPr>
      </w:pPr>
      <w:r w:rsidRPr="00586D90">
        <w:rPr>
          <w:rFonts w:ascii="Times New Roman" w:hAnsi="Times New Roman"/>
          <w:b/>
          <w:sz w:val="24"/>
        </w:rPr>
        <w:t xml:space="preserve">Budgeting, accounting and reporting: MoF is the main ministry responsible – on </w:t>
      </w:r>
      <w:r w:rsidRPr="00586D90">
        <w:rPr>
          <w:rFonts w:ascii="Times New Roman" w:hAnsi="Times New Roman"/>
          <w:b/>
          <w:sz w:val="24"/>
        </w:rPr>
        <w:lastRenderedPageBreak/>
        <w:t>behalf of the government – for public finance management.</w:t>
      </w:r>
      <w:r w:rsidRPr="00586D90">
        <w:rPr>
          <w:rFonts w:ascii="Times New Roman" w:hAnsi="Times New Roman"/>
          <w:sz w:val="24"/>
        </w:rPr>
        <w:t xml:space="preserve"> It is responsible for the consolidation and submission of the annual budget, revenue and expenditure management in line with relevant laws and regulations, and a mandate to maintain the fiscal stance and macroeconomic stability by addressing liquidity shortfalls and adhering to budget deficit targets. The State Budget Law 2015 and recently enacted Debt Management Law are the legal foundations for this. MoF is also responsible to develop and modernize PFM tools with the aim at increasing revenues and financing socio-economic development. </w:t>
      </w:r>
    </w:p>
    <w:p w14:paraId="38AC751B" w14:textId="32D9DE5B" w:rsidR="007E2FD4" w:rsidRPr="00C001AC" w:rsidRDefault="007E2FD4" w:rsidP="00177ADB">
      <w:pPr>
        <w:pStyle w:val="ListParagraph"/>
        <w:widowControl w:val="0"/>
        <w:numPr>
          <w:ilvl w:val="0"/>
          <w:numId w:val="38"/>
        </w:numPr>
        <w:autoSpaceDE w:val="0"/>
        <w:autoSpaceDN w:val="0"/>
        <w:adjustRightInd w:val="0"/>
        <w:spacing w:before="0" w:after="240"/>
        <w:ind w:left="630" w:hanging="270"/>
        <w:contextualSpacing w:val="0"/>
        <w:rPr>
          <w:rFonts w:ascii="Times New Roman" w:eastAsiaTheme="minorHAnsi" w:hAnsi="Times New Roman"/>
          <w:sz w:val="24"/>
          <w:lang w:val="en-MY"/>
        </w:rPr>
      </w:pPr>
      <w:r w:rsidRPr="00C001AC">
        <w:rPr>
          <w:rFonts w:ascii="Times New Roman" w:hAnsi="Times New Roman"/>
          <w:b/>
          <w:sz w:val="24"/>
        </w:rPr>
        <w:t>Internal Audit: responsibility for the internal audit lies with the Inspection departments at every level of government in MoF, line ministries and provinces.</w:t>
      </w:r>
      <w:r w:rsidRPr="00C001AC">
        <w:rPr>
          <w:rFonts w:ascii="Times New Roman" w:hAnsi="Times New Roman"/>
          <w:b/>
        </w:rPr>
        <w:t xml:space="preserve"> </w:t>
      </w:r>
      <w:r w:rsidRPr="00C001AC">
        <w:rPr>
          <w:rFonts w:ascii="Times New Roman" w:hAnsi="Times New Roman"/>
          <w:sz w:val="24"/>
        </w:rPr>
        <w:t>They report to the minister’ or governor’s level and their main function is compliance and control, based on annual plans and management’s requests. The</w:t>
      </w:r>
      <w:r w:rsidR="00884FB2">
        <w:rPr>
          <w:rFonts w:ascii="Times New Roman" w:hAnsi="Times New Roman"/>
          <w:sz w:val="24"/>
        </w:rPr>
        <w:t xml:space="preserve"> role of the inspection departments </w:t>
      </w:r>
      <w:r w:rsidR="006E0A09">
        <w:rPr>
          <w:rFonts w:ascii="Times New Roman" w:hAnsi="Times New Roman"/>
          <w:sz w:val="24"/>
        </w:rPr>
        <w:t>fulfils</w:t>
      </w:r>
      <w:r w:rsidR="00D13368">
        <w:rPr>
          <w:rFonts w:ascii="Times New Roman" w:hAnsi="Times New Roman"/>
          <w:sz w:val="24"/>
        </w:rPr>
        <w:t xml:space="preserve"> more </w:t>
      </w:r>
      <w:r w:rsidR="00884FB2">
        <w:rPr>
          <w:rFonts w:ascii="Times New Roman" w:hAnsi="Times New Roman"/>
          <w:sz w:val="24"/>
        </w:rPr>
        <w:t>a control</w:t>
      </w:r>
      <w:r w:rsidR="00D13368">
        <w:rPr>
          <w:rFonts w:ascii="Times New Roman" w:hAnsi="Times New Roman"/>
          <w:sz w:val="24"/>
        </w:rPr>
        <w:t xml:space="preserve"> and investigation</w:t>
      </w:r>
      <w:r w:rsidR="00884FB2">
        <w:rPr>
          <w:rFonts w:ascii="Times New Roman" w:hAnsi="Times New Roman"/>
          <w:sz w:val="24"/>
        </w:rPr>
        <w:t xml:space="preserve"> </w:t>
      </w:r>
      <w:r w:rsidR="00D13368">
        <w:rPr>
          <w:rFonts w:ascii="Times New Roman" w:hAnsi="Times New Roman"/>
          <w:sz w:val="24"/>
        </w:rPr>
        <w:t xml:space="preserve">function </w:t>
      </w:r>
      <w:r w:rsidR="00884FB2">
        <w:rPr>
          <w:rFonts w:ascii="Times New Roman" w:hAnsi="Times New Roman"/>
          <w:sz w:val="24"/>
        </w:rPr>
        <w:t>but</w:t>
      </w:r>
      <w:r w:rsidRPr="00C001AC">
        <w:rPr>
          <w:rFonts w:ascii="Times New Roman" w:hAnsi="Times New Roman"/>
          <w:sz w:val="24"/>
        </w:rPr>
        <w:t xml:space="preserve"> can be considered as internal audit services with limited risk-based approach. The MoF Inspection Department has the mandate to inspect financial management and financial operations in both MoF and line ministries</w:t>
      </w:r>
      <w:r w:rsidR="00D02CC9">
        <w:rPr>
          <w:rFonts w:ascii="Times New Roman" w:hAnsi="Times New Roman"/>
          <w:sz w:val="24"/>
        </w:rPr>
        <w:t>.</w:t>
      </w:r>
    </w:p>
    <w:p w14:paraId="4B154EF8" w14:textId="77777777" w:rsidR="007E2FD4" w:rsidRPr="00C001AC" w:rsidRDefault="007E2FD4" w:rsidP="00177ADB">
      <w:pPr>
        <w:pStyle w:val="ListParagraph"/>
        <w:widowControl w:val="0"/>
        <w:numPr>
          <w:ilvl w:val="0"/>
          <w:numId w:val="38"/>
        </w:numPr>
        <w:autoSpaceDE w:val="0"/>
        <w:autoSpaceDN w:val="0"/>
        <w:adjustRightInd w:val="0"/>
        <w:spacing w:before="0" w:after="240"/>
        <w:ind w:left="630" w:hanging="270"/>
        <w:contextualSpacing w:val="0"/>
        <w:rPr>
          <w:rFonts w:ascii="Times New Roman" w:hAnsi="Times New Roman"/>
          <w:sz w:val="24"/>
        </w:rPr>
      </w:pPr>
      <w:r w:rsidRPr="00C001AC">
        <w:rPr>
          <w:rFonts w:ascii="Times New Roman" w:hAnsi="Times New Roman"/>
          <w:b/>
          <w:sz w:val="24"/>
        </w:rPr>
        <w:t xml:space="preserve">The </w:t>
      </w:r>
      <w:r>
        <w:rPr>
          <w:rFonts w:ascii="Times New Roman" w:hAnsi="Times New Roman"/>
          <w:b/>
          <w:sz w:val="24"/>
        </w:rPr>
        <w:t>Government</w:t>
      </w:r>
      <w:r w:rsidRPr="00C001AC">
        <w:rPr>
          <w:rFonts w:ascii="Times New Roman" w:hAnsi="Times New Roman"/>
          <w:b/>
          <w:sz w:val="24"/>
        </w:rPr>
        <w:t xml:space="preserve"> Inspection and Anti-Corruption Authority (</w:t>
      </w:r>
      <w:r>
        <w:rPr>
          <w:rFonts w:ascii="Times New Roman" w:hAnsi="Times New Roman"/>
          <w:b/>
          <w:sz w:val="24"/>
        </w:rPr>
        <w:t>G</w:t>
      </w:r>
      <w:r w:rsidRPr="00C001AC">
        <w:rPr>
          <w:rFonts w:ascii="Times New Roman" w:hAnsi="Times New Roman"/>
          <w:b/>
          <w:sz w:val="24"/>
        </w:rPr>
        <w:t>IAA), an independent, ministry-level body reporting directly to the Prime Minister, is charged with analyzing corruption at the national level and serves as a central office for gathering details and evidence of suspected corruption.</w:t>
      </w:r>
      <w:r w:rsidRPr="00C001AC">
        <w:rPr>
          <w:rFonts w:ascii="Times New Roman" w:hAnsi="Times New Roman"/>
          <w:sz w:val="24"/>
        </w:rPr>
        <w:t xml:space="preserve"> Additionally, ea</w:t>
      </w:r>
      <w:r>
        <w:rPr>
          <w:rFonts w:ascii="Times New Roman" w:hAnsi="Times New Roman"/>
          <w:sz w:val="24"/>
        </w:rPr>
        <w:t>ch ministry and province host a</w:t>
      </w:r>
      <w:r w:rsidRPr="00C001AC">
        <w:rPr>
          <w:rFonts w:ascii="Times New Roman" w:hAnsi="Times New Roman"/>
          <w:sz w:val="24"/>
        </w:rPr>
        <w:t xml:space="preserve"> </w:t>
      </w:r>
      <w:r>
        <w:rPr>
          <w:rFonts w:ascii="Times New Roman" w:hAnsi="Times New Roman"/>
          <w:sz w:val="24"/>
        </w:rPr>
        <w:t>G</w:t>
      </w:r>
      <w:r w:rsidRPr="00C001AC">
        <w:rPr>
          <w:rFonts w:ascii="Times New Roman" w:hAnsi="Times New Roman"/>
          <w:sz w:val="24"/>
        </w:rPr>
        <w:t xml:space="preserve">IAA office independent from the organization in which it </w:t>
      </w:r>
      <w:r w:rsidRPr="00177ADB">
        <w:rPr>
          <w:rFonts w:ascii="Times New Roman" w:hAnsi="Times New Roman"/>
          <w:spacing w:val="-2"/>
          <w:sz w:val="24"/>
        </w:rPr>
        <w:t>is housed. The regional SIAA offices feed into the SIAA’s central system in the application of the relevant anti-corruption laws. In September 2009, Laos ratified the United Nations Convention against Corruption. Domestic and international firms have repeatedly identified corruption as a problem</w:t>
      </w:r>
      <w:r w:rsidRPr="00C001AC">
        <w:rPr>
          <w:rFonts w:ascii="Times New Roman" w:hAnsi="Times New Roman"/>
          <w:sz w:val="24"/>
        </w:rPr>
        <w:t xml:space="preserve"> in the business environment and a major detractor for international firms exploring investment or business activities in the local market. Transparency International’s Corruption Percep</w:t>
      </w:r>
      <w:r>
        <w:rPr>
          <w:rFonts w:ascii="Times New Roman" w:hAnsi="Times New Roman"/>
          <w:sz w:val="24"/>
        </w:rPr>
        <w:t>tion Index ranked Laos at 123</w:t>
      </w:r>
      <w:r w:rsidRPr="00FA4ACE">
        <w:rPr>
          <w:rFonts w:ascii="Times New Roman" w:hAnsi="Times New Roman"/>
          <w:sz w:val="24"/>
          <w:vertAlign w:val="superscript"/>
        </w:rPr>
        <w:t>rd</w:t>
      </w:r>
      <w:r>
        <w:rPr>
          <w:rFonts w:ascii="Times New Roman" w:hAnsi="Times New Roman"/>
          <w:sz w:val="24"/>
        </w:rPr>
        <w:t xml:space="preserve"> </w:t>
      </w:r>
      <w:r w:rsidRPr="00C001AC">
        <w:rPr>
          <w:rFonts w:ascii="Times New Roman" w:hAnsi="Times New Roman"/>
          <w:sz w:val="24"/>
        </w:rPr>
        <w:t>of 176 countries worldwide in its 2016 report. According to the state inspection authority, the government has prosecuted some individuals for corruption, but public knowledge of the prosecution and allegations is limited. Nevertheless, the Party and government have been taking serious action against corruption in recent years, requiring individual property declarations by government officials and civil servants beginning in 2014. As of January 2017, more than 1,900 officials and civil servants at the central level, 98,000 people under ministerial supervision, and 142,000 officials and civil servants under provincial administrations have declared their assets</w:t>
      </w:r>
      <w:r w:rsidRPr="00C001AC">
        <w:rPr>
          <w:rStyle w:val="FootnoteReference"/>
          <w:rFonts w:ascii="Times New Roman" w:hAnsi="Times New Roman"/>
          <w:sz w:val="24"/>
        </w:rPr>
        <w:footnoteReference w:id="16"/>
      </w:r>
      <w:r w:rsidRPr="00C001AC">
        <w:rPr>
          <w:rFonts w:ascii="Times New Roman" w:hAnsi="Times New Roman"/>
          <w:sz w:val="24"/>
        </w:rPr>
        <w:t>.</w:t>
      </w:r>
    </w:p>
    <w:p w14:paraId="0B8368D9" w14:textId="77777777" w:rsidR="007E2FD4" w:rsidRPr="00C001AC" w:rsidRDefault="007E2FD4" w:rsidP="00177ADB">
      <w:pPr>
        <w:pStyle w:val="ListParagraph"/>
        <w:widowControl w:val="0"/>
        <w:numPr>
          <w:ilvl w:val="0"/>
          <w:numId w:val="38"/>
        </w:numPr>
        <w:autoSpaceDE w:val="0"/>
        <w:autoSpaceDN w:val="0"/>
        <w:adjustRightInd w:val="0"/>
        <w:spacing w:before="0" w:after="240"/>
        <w:ind w:left="630" w:hanging="270"/>
        <w:contextualSpacing w:val="0"/>
        <w:rPr>
          <w:rFonts w:ascii="Times New Roman" w:hAnsi="Times New Roman"/>
          <w:sz w:val="24"/>
        </w:rPr>
      </w:pPr>
      <w:r w:rsidRPr="00C001AC">
        <w:rPr>
          <w:rFonts w:ascii="Times New Roman" w:hAnsi="Times New Roman"/>
          <w:b/>
          <w:sz w:val="24"/>
        </w:rPr>
        <w:t xml:space="preserve">External audit responsibility rests with the SAO operating in accordance with the revised Law on State Audit 2012. </w:t>
      </w:r>
      <w:r w:rsidRPr="00C001AC">
        <w:rPr>
          <w:rFonts w:ascii="Times New Roman" w:hAnsi="Times New Roman"/>
          <w:sz w:val="24"/>
        </w:rPr>
        <w:t xml:space="preserve">Main provisions of the Law are aligned to the international audit standards (INTOSAI), </w:t>
      </w:r>
      <w:r>
        <w:rPr>
          <w:rFonts w:ascii="Times New Roman" w:hAnsi="Times New Roman"/>
          <w:sz w:val="24"/>
        </w:rPr>
        <w:t xml:space="preserve">and </w:t>
      </w:r>
      <w:r w:rsidRPr="00C001AC">
        <w:rPr>
          <w:rFonts w:ascii="Times New Roman" w:hAnsi="Times New Roman"/>
          <w:sz w:val="24"/>
        </w:rPr>
        <w:t xml:space="preserve">the SAO reports to the NA as well as to the Prime Minister and its scope of work covers all government expenditures at central and provincial level, including SOEs, extra-budgetary funds and capital projects. Its reports are produced on an annual basis but with delays (last one available covers the 2016 State budget implementation and was submitted to NA in November 2017) and are not published, even if the annual submission of the consolidated findings on the audit of the State budget implementation to the NA is largely broadcasted on TV and in the media </w:t>
      </w:r>
      <w:r w:rsidRPr="00C001AC">
        <w:rPr>
          <w:rFonts w:ascii="Times New Roman" w:hAnsi="Times New Roman"/>
          <w:sz w:val="24"/>
        </w:rPr>
        <w:lastRenderedPageBreak/>
        <w:t xml:space="preserve">and is followed by and NA resolution that obliges the government to follow up on the SAO report. </w:t>
      </w:r>
    </w:p>
    <w:p w14:paraId="4B59FDC3" w14:textId="77777777" w:rsidR="007E2FD4" w:rsidRPr="00586D90" w:rsidRDefault="007E2FD4" w:rsidP="007E2FD4">
      <w:pPr>
        <w:widowControl w:val="0"/>
        <w:autoSpaceDE w:val="0"/>
        <w:autoSpaceDN w:val="0"/>
        <w:adjustRightInd w:val="0"/>
        <w:spacing w:after="240"/>
        <w:ind w:left="0"/>
        <w:contextualSpacing/>
        <w:rPr>
          <w:rFonts w:ascii="Times New Roman" w:hAnsi="Times New Roman"/>
          <w:b/>
          <w:sz w:val="24"/>
        </w:rPr>
      </w:pPr>
      <w:bookmarkStart w:id="23" w:name="_Toc504974018"/>
      <w:r>
        <w:rPr>
          <w:rFonts w:ascii="Times New Roman" w:hAnsi="Times New Roman"/>
          <w:b/>
          <w:sz w:val="24"/>
        </w:rPr>
        <w:t xml:space="preserve">2.4. </w:t>
      </w:r>
      <w:r w:rsidRPr="00586D90">
        <w:rPr>
          <w:rFonts w:ascii="Times New Roman" w:hAnsi="Times New Roman"/>
          <w:b/>
          <w:sz w:val="24"/>
        </w:rPr>
        <w:t>Institutional Arrangements for PFM</w:t>
      </w:r>
      <w:bookmarkEnd w:id="23"/>
      <w:r w:rsidRPr="00586D90">
        <w:rPr>
          <w:rFonts w:ascii="Times New Roman" w:hAnsi="Times New Roman"/>
          <w:b/>
          <w:sz w:val="24"/>
        </w:rPr>
        <w:t xml:space="preserve"> </w:t>
      </w:r>
    </w:p>
    <w:p w14:paraId="5668ECC4" w14:textId="77777777"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586D90">
        <w:rPr>
          <w:rFonts w:ascii="Times New Roman" w:eastAsiaTheme="minorHAnsi" w:hAnsi="Times New Roman"/>
          <w:b/>
          <w:sz w:val="24"/>
        </w:rPr>
        <w:t>Over the last forty years, Lao PDR political system transitioned progressively and smoothly from a centralized communist regime to a market-oriented economy.</w:t>
      </w:r>
      <w:r w:rsidRPr="00586D90">
        <w:rPr>
          <w:rFonts w:ascii="Times New Roman" w:eastAsiaTheme="minorHAnsi" w:hAnsi="Times New Roman"/>
          <w:sz w:val="24"/>
        </w:rPr>
        <w:t xml:space="preserve"> </w:t>
      </w:r>
      <w:r w:rsidR="009D64BB">
        <w:rPr>
          <w:rFonts w:ascii="Times New Roman" w:eastAsiaTheme="minorHAnsi" w:hAnsi="Times New Roman"/>
          <w:sz w:val="24"/>
        </w:rPr>
        <w:t>Lao PDR</w:t>
      </w:r>
      <w:r w:rsidRPr="00586D90">
        <w:rPr>
          <w:rFonts w:ascii="Times New Roman" w:eastAsiaTheme="minorHAnsi" w:hAnsi="Times New Roman"/>
          <w:sz w:val="24"/>
        </w:rPr>
        <w:t xml:space="preserve"> gained full independence as a constitutional monarchy in 1954. In 1975</w:t>
      </w:r>
      <w:r>
        <w:rPr>
          <w:rFonts w:ascii="Times New Roman" w:eastAsiaTheme="minorHAnsi" w:hAnsi="Times New Roman"/>
          <w:sz w:val="24"/>
        </w:rPr>
        <w:t xml:space="preserve">, The </w:t>
      </w:r>
      <w:r w:rsidRPr="00586D90">
        <w:rPr>
          <w:rFonts w:ascii="Times New Roman" w:eastAsiaTheme="minorHAnsi" w:hAnsi="Times New Roman"/>
          <w:sz w:val="24"/>
        </w:rPr>
        <w:t>Lao People's Revolutionary Party (LPRP) took control of the government, ending a six-cent</w:t>
      </w:r>
      <w:r>
        <w:rPr>
          <w:rFonts w:ascii="Times New Roman" w:eastAsiaTheme="minorHAnsi" w:hAnsi="Times New Roman"/>
          <w:sz w:val="24"/>
        </w:rPr>
        <w:t>ury-old monarchy, and instituted</w:t>
      </w:r>
      <w:r w:rsidRPr="00586D90">
        <w:rPr>
          <w:rFonts w:ascii="Times New Roman" w:eastAsiaTheme="minorHAnsi" w:hAnsi="Times New Roman"/>
          <w:sz w:val="24"/>
        </w:rPr>
        <w:t xml:space="preserve"> a socialist regime</w:t>
      </w:r>
      <w:r>
        <w:rPr>
          <w:rFonts w:ascii="Times New Roman" w:eastAsiaTheme="minorHAnsi" w:hAnsi="Times New Roman"/>
          <w:sz w:val="24"/>
        </w:rPr>
        <w:t xml:space="preserve"> and a </w:t>
      </w:r>
      <w:r w:rsidRPr="00586D90">
        <w:rPr>
          <w:rFonts w:ascii="Times New Roman" w:eastAsiaTheme="minorHAnsi" w:hAnsi="Times New Roman"/>
          <w:sz w:val="24"/>
        </w:rPr>
        <w:t xml:space="preserve">centrally planned economy system, replacing the private sector with state enterprises and cooperatives. The weak performance of the country’s economy was not able to stimulate the expected growth and development, and a shift to a market economy (“New Economic Mechanism”) was initiated in 1986. The new constitution of 1991 redefined the country's political and economic system and codified the country's partial liberalization since the late 1980s, while preserving the one-party state. </w:t>
      </w:r>
      <w:r>
        <w:rPr>
          <w:rFonts w:ascii="Times New Roman" w:eastAsiaTheme="minorHAnsi" w:hAnsi="Times New Roman"/>
          <w:sz w:val="24"/>
        </w:rPr>
        <w:t xml:space="preserve"> </w:t>
      </w:r>
      <w:r w:rsidRPr="00586D90">
        <w:rPr>
          <w:rFonts w:ascii="Times New Roman" w:eastAsiaTheme="minorHAnsi" w:hAnsi="Times New Roman"/>
          <w:sz w:val="24"/>
        </w:rPr>
        <w:t xml:space="preserve">The Lao government began decentralizing control and encouraging private enterprise and the country began </w:t>
      </w:r>
      <w:proofErr w:type="gramStart"/>
      <w:r w:rsidRPr="00586D90">
        <w:rPr>
          <w:rFonts w:ascii="Times New Roman" w:eastAsiaTheme="minorHAnsi" w:hAnsi="Times New Roman"/>
          <w:sz w:val="24"/>
        </w:rPr>
        <w:t>opening up</w:t>
      </w:r>
      <w:proofErr w:type="gramEnd"/>
      <w:r w:rsidRPr="00586D90">
        <w:rPr>
          <w:rFonts w:ascii="Times New Roman" w:eastAsiaTheme="minorHAnsi" w:hAnsi="Times New Roman"/>
          <w:sz w:val="24"/>
        </w:rPr>
        <w:t xml:space="preserve"> to the world in the 1990s.</w:t>
      </w:r>
    </w:p>
    <w:p w14:paraId="12500D9F" w14:textId="77777777" w:rsidR="007E2FD4" w:rsidRPr="00586D90"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586D90">
        <w:rPr>
          <w:rFonts w:ascii="Times New Roman" w:eastAsiaTheme="minorHAnsi" w:hAnsi="Times New Roman"/>
          <w:b/>
          <w:sz w:val="24"/>
        </w:rPr>
        <w:t>Under the current 2015 Constitution</w:t>
      </w:r>
      <w:hyperlink r:id="rId14" w:anchor="_edn13" w:history="1"/>
      <w:r w:rsidRPr="00586D90">
        <w:rPr>
          <w:rFonts w:ascii="Times New Roman" w:eastAsiaTheme="minorHAnsi" w:hAnsi="Times New Roman"/>
          <w:b/>
          <w:sz w:val="24"/>
        </w:rPr>
        <w:t xml:space="preserve">, the State consists of the National Assembly, President, Government, Local Administration, People’s Court and the Office of the Public Prosecutor. </w:t>
      </w:r>
      <w:r w:rsidRPr="00586D90">
        <w:rPr>
          <w:rFonts w:ascii="Times New Roman" w:eastAsiaTheme="minorHAnsi" w:hAnsi="Times New Roman"/>
          <w:sz w:val="24"/>
        </w:rPr>
        <w:t>The Pathet Lao movement came into power in 1975 founding the socialist Lao People’s Democratic Republic (Lao PDR) governed by the Lao People’s Revolutionary Party (LPRP). The first constitution was adopted by the Supreme People’s Assembly in August 1991.</w:t>
      </w:r>
      <w:r>
        <w:rPr>
          <w:rFonts w:ascii="Times New Roman" w:eastAsiaTheme="minorHAnsi" w:hAnsi="Times New Roman"/>
          <w:sz w:val="24"/>
        </w:rPr>
        <w:t xml:space="preserve"> </w:t>
      </w:r>
      <w:r w:rsidRPr="00586D90">
        <w:rPr>
          <w:rFonts w:ascii="Times New Roman" w:eastAsiaTheme="minorHAnsi" w:hAnsi="Times New Roman"/>
          <w:sz w:val="24"/>
        </w:rPr>
        <w:t>In 2003 the Constitution was amended to espouse a free market economy within a socialist context, support religious freedom, and protect the environment. The second amendment took place in 2015 and has allowed the establishment of the Local Peopl</w:t>
      </w:r>
      <w:r>
        <w:rPr>
          <w:rFonts w:ascii="Times New Roman" w:eastAsiaTheme="minorHAnsi" w:hAnsi="Times New Roman"/>
          <w:sz w:val="24"/>
        </w:rPr>
        <w:t>e’s Assembly for the first time</w:t>
      </w:r>
      <w:r w:rsidRPr="00586D90">
        <w:rPr>
          <w:rFonts w:ascii="Times New Roman" w:eastAsiaTheme="minorHAnsi" w:hAnsi="Times New Roman"/>
          <w:sz w:val="24"/>
        </w:rPr>
        <w:t xml:space="preserve"> to function like the National Assembly at the provincial level. The 2015 Constitution also stipulates, for the first time, that the President can hold office for not more than two consecutive term</w:t>
      </w:r>
      <w:r>
        <w:rPr>
          <w:rFonts w:ascii="Times New Roman" w:eastAsiaTheme="minorHAnsi" w:hAnsi="Times New Roman"/>
          <w:sz w:val="24"/>
        </w:rPr>
        <w:t>s</w:t>
      </w:r>
      <w:r w:rsidRPr="00586D90">
        <w:rPr>
          <w:rFonts w:ascii="Times New Roman" w:eastAsiaTheme="minorHAnsi" w:hAnsi="Times New Roman"/>
          <w:sz w:val="24"/>
        </w:rPr>
        <w:t>, whereas the 2003 Constitution had no indication of the term.</w:t>
      </w:r>
    </w:p>
    <w:p w14:paraId="24274E40" w14:textId="77777777" w:rsidR="007E2FD4" w:rsidRPr="00586D90"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586D90">
        <w:rPr>
          <w:rFonts w:ascii="Times New Roman" w:eastAsiaTheme="minorHAnsi" w:hAnsi="Times New Roman"/>
          <w:b/>
          <w:sz w:val="24"/>
        </w:rPr>
        <w:t>The National Assembly (NA) is the legislative branch of Lao PDR</w:t>
      </w:r>
      <w:r>
        <w:rPr>
          <w:rFonts w:ascii="Times New Roman" w:eastAsiaTheme="minorHAnsi" w:hAnsi="Times New Roman"/>
          <w:b/>
          <w:sz w:val="24"/>
        </w:rPr>
        <w:t xml:space="preserve">. </w:t>
      </w:r>
      <w:r w:rsidRPr="007203A5">
        <w:rPr>
          <w:rFonts w:ascii="Times New Roman" w:eastAsiaTheme="minorHAnsi" w:hAnsi="Times New Roman"/>
          <w:sz w:val="24"/>
        </w:rPr>
        <w:t>It</w:t>
      </w:r>
      <w:r w:rsidRPr="007203A5">
        <w:rPr>
          <w:rFonts w:ascii="Times New Roman" w:hAnsi="Times New Roman"/>
          <w:sz w:val="24"/>
        </w:rPr>
        <w:t>s role in shaping the State budget and in overseeing budget processes is critical.</w:t>
      </w:r>
      <w:r>
        <w:rPr>
          <w:rFonts w:ascii="Times New Roman" w:hAnsi="Times New Roman"/>
          <w:sz w:val="24"/>
        </w:rPr>
        <w:t xml:space="preserve"> </w:t>
      </w:r>
      <w:r w:rsidRPr="007203A5">
        <w:rPr>
          <w:rFonts w:ascii="Times New Roman" w:hAnsi="Times New Roman"/>
          <w:sz w:val="24"/>
        </w:rPr>
        <w:t xml:space="preserve"> It </w:t>
      </w:r>
      <w:r w:rsidRPr="00586D90">
        <w:rPr>
          <w:rFonts w:ascii="Times New Roman" w:eastAsiaTheme="minorHAnsi" w:hAnsi="Times New Roman"/>
          <w:sz w:val="24"/>
        </w:rPr>
        <w:t xml:space="preserve">has the right to make decisions on fundamental issues of the country, and to oversee the activities of the executive organs, the People's Courts and the Office of the Public Prosecutor. It elects the President for a 5-year term. The NA representatives are elected every five years through universal suffrage. </w:t>
      </w:r>
      <w:r>
        <w:rPr>
          <w:rFonts w:ascii="Times New Roman" w:eastAsiaTheme="minorHAnsi" w:hAnsi="Times New Roman"/>
          <w:sz w:val="24"/>
        </w:rPr>
        <w:t xml:space="preserve"> </w:t>
      </w:r>
      <w:r w:rsidRPr="00586D90">
        <w:rPr>
          <w:rFonts w:ascii="Times New Roman" w:eastAsiaTheme="minorHAnsi" w:hAnsi="Times New Roman"/>
          <w:sz w:val="24"/>
        </w:rPr>
        <w:t>A</w:t>
      </w:r>
      <w:r>
        <w:rPr>
          <w:rFonts w:ascii="Times New Roman" w:eastAsiaTheme="minorHAnsi" w:hAnsi="Times New Roman"/>
          <w:sz w:val="24"/>
        </w:rPr>
        <w:t>t</w:t>
      </w:r>
      <w:r w:rsidRPr="00586D90">
        <w:rPr>
          <w:rFonts w:ascii="Times New Roman" w:eastAsiaTheme="minorHAnsi" w:hAnsi="Times New Roman"/>
          <w:sz w:val="24"/>
        </w:rPr>
        <w:t xml:space="preserve"> the last election in March 2016, 149 seats were </w:t>
      </w:r>
      <w:r>
        <w:rPr>
          <w:rFonts w:ascii="Times New Roman" w:eastAsiaTheme="minorHAnsi" w:hAnsi="Times New Roman"/>
          <w:sz w:val="24"/>
        </w:rPr>
        <w:t>contested</w:t>
      </w:r>
      <w:r w:rsidRPr="00586D90">
        <w:rPr>
          <w:rFonts w:ascii="Times New Roman" w:eastAsiaTheme="minorHAnsi" w:hAnsi="Times New Roman"/>
          <w:sz w:val="24"/>
        </w:rPr>
        <w:t xml:space="preserve">, (an increase of 17 from the previous election) representing 18 provinces, with 5 not </w:t>
      </w:r>
      <w:r>
        <w:rPr>
          <w:rFonts w:ascii="Times New Roman" w:eastAsiaTheme="minorHAnsi" w:hAnsi="Times New Roman"/>
          <w:sz w:val="24"/>
        </w:rPr>
        <w:t xml:space="preserve">being </w:t>
      </w:r>
      <w:r w:rsidRPr="00586D90">
        <w:rPr>
          <w:rFonts w:ascii="Times New Roman" w:eastAsiaTheme="minorHAnsi" w:hAnsi="Times New Roman"/>
          <w:sz w:val="24"/>
        </w:rPr>
        <w:t xml:space="preserve">members of the LPRP. The NA meets twice a year for three-week period </w:t>
      </w:r>
      <w:r>
        <w:rPr>
          <w:rFonts w:ascii="Times New Roman" w:eastAsiaTheme="minorHAnsi" w:hAnsi="Times New Roman"/>
          <w:sz w:val="24"/>
        </w:rPr>
        <w:t xml:space="preserve">when </w:t>
      </w:r>
      <w:r w:rsidRPr="00586D90">
        <w:rPr>
          <w:rFonts w:ascii="Times New Roman" w:eastAsiaTheme="minorHAnsi" w:hAnsi="Times New Roman"/>
          <w:sz w:val="24"/>
        </w:rPr>
        <w:t>proposed legislation is scrutinized.</w:t>
      </w:r>
      <w:r w:rsidRPr="00586D90">
        <w:rPr>
          <w:rFonts w:ascii="Times New Roman" w:hAnsi="Times New Roman"/>
          <w:b/>
          <w:sz w:val="24"/>
        </w:rPr>
        <w:t xml:space="preserve"> </w:t>
      </w:r>
      <w:r w:rsidRPr="00586D90">
        <w:rPr>
          <w:rFonts w:ascii="Times New Roman" w:hAnsi="Times New Roman"/>
          <w:sz w:val="24"/>
        </w:rPr>
        <w:t>The Planning, Finance and Audit Committee</w:t>
      </w:r>
      <w:r w:rsidRPr="00586D90">
        <w:rPr>
          <w:rFonts w:ascii="Times New Roman" w:hAnsi="Times New Roman"/>
          <w:b/>
          <w:sz w:val="24"/>
        </w:rPr>
        <w:t xml:space="preserve"> </w:t>
      </w:r>
      <w:r w:rsidRPr="00586D90">
        <w:rPr>
          <w:rFonts w:ascii="Times New Roman" w:hAnsi="Times New Roman"/>
          <w:sz w:val="24"/>
        </w:rPr>
        <w:t xml:space="preserve">was established as a permanent entity of </w:t>
      </w:r>
      <w:r>
        <w:rPr>
          <w:rFonts w:ascii="Times New Roman" w:hAnsi="Times New Roman"/>
          <w:sz w:val="24"/>
        </w:rPr>
        <w:t>the Assembly</w:t>
      </w:r>
      <w:r w:rsidRPr="00586D90">
        <w:rPr>
          <w:rFonts w:ascii="Times New Roman" w:hAnsi="Times New Roman"/>
          <w:sz w:val="24"/>
        </w:rPr>
        <w:t xml:space="preserve"> to interact with the MoF on the budget and review audit results of state financial reports prepared by SAO. </w:t>
      </w:r>
    </w:p>
    <w:p w14:paraId="12F1BDA7" w14:textId="77777777"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586D90">
        <w:rPr>
          <w:rFonts w:ascii="Times New Roman" w:eastAsiaTheme="minorHAnsi" w:hAnsi="Times New Roman"/>
          <w:b/>
          <w:sz w:val="24"/>
        </w:rPr>
        <w:t xml:space="preserve">The executive branch is governed by the President, </w:t>
      </w:r>
      <w:r w:rsidRPr="00586D90">
        <w:rPr>
          <w:rFonts w:ascii="Times New Roman" w:eastAsiaTheme="minorHAnsi" w:hAnsi="Times New Roman"/>
          <w:sz w:val="24"/>
        </w:rPr>
        <w:t>who is the Head of State and representative of the multi ethnic Lao people. The Government is the executive branch of the State and the Prime Minister is the Head of Government. Policies and decisions are decided by the LPRP through the 11-member Politburo and the 55-member Central Committee. Government decisions are vetted by the Council of Ministers appointed by the President, after they have been approved by the NA. Although the LPRP remains the supreme authority, legislation</w:t>
      </w:r>
      <w:r>
        <w:rPr>
          <w:rFonts w:ascii="Times New Roman" w:eastAsiaTheme="minorHAnsi" w:hAnsi="Times New Roman"/>
          <w:sz w:val="24"/>
        </w:rPr>
        <w:t>,</w:t>
      </w:r>
      <w:r w:rsidRPr="00586D90">
        <w:rPr>
          <w:rFonts w:ascii="Times New Roman" w:eastAsiaTheme="minorHAnsi" w:hAnsi="Times New Roman"/>
          <w:sz w:val="24"/>
        </w:rPr>
        <w:t xml:space="preserve"> the budget must be approved by the NA, which exercises oversight over the GoL. </w:t>
      </w:r>
      <w:r w:rsidRPr="00586D90">
        <w:rPr>
          <w:rFonts w:ascii="Times New Roman" w:eastAsiaTheme="minorHAnsi" w:hAnsi="Times New Roman"/>
          <w:sz w:val="24"/>
        </w:rPr>
        <w:lastRenderedPageBreak/>
        <w:t xml:space="preserve">The mandate of the State Audit Organization (SAO) is founded on the 2007 Audit Law and audit reports are made to the NA as well as to the Prime Minister. </w:t>
      </w:r>
    </w:p>
    <w:p w14:paraId="5F055F52" w14:textId="77777777"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586D90">
        <w:rPr>
          <w:rFonts w:ascii="Times New Roman" w:eastAsiaTheme="minorHAnsi" w:hAnsi="Times New Roman"/>
          <w:b/>
          <w:sz w:val="24"/>
        </w:rPr>
        <w:t xml:space="preserve">The People's Courts constitute the judicial branch of the State </w:t>
      </w:r>
      <w:r w:rsidRPr="00586D90">
        <w:rPr>
          <w:rFonts w:ascii="Times New Roman" w:eastAsiaTheme="minorHAnsi" w:hAnsi="Times New Roman"/>
          <w:sz w:val="24"/>
        </w:rPr>
        <w:t>and consist of the People's Supreme Court, Appellate Courts, People's Provincial Courts and City Courts, People’s District Courts and Military Courts.</w:t>
      </w:r>
    </w:p>
    <w:p w14:paraId="6C26BAB5" w14:textId="77777777" w:rsidR="007E2FD4" w:rsidRPr="00FA4ACE"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03A5">
        <w:rPr>
          <w:rFonts w:ascii="Times New Roman" w:eastAsiaTheme="minorHAnsi" w:hAnsi="Times New Roman"/>
          <w:b/>
          <w:sz w:val="24"/>
        </w:rPr>
        <w:t xml:space="preserve">Lao PDR is a unitary state divided administratively into 17 provinces </w:t>
      </w:r>
      <w:r w:rsidRPr="007203A5">
        <w:rPr>
          <w:rFonts w:ascii="Times New Roman" w:eastAsiaTheme="minorHAnsi" w:hAnsi="Times New Roman"/>
          <w:sz w:val="24"/>
        </w:rPr>
        <w:t>(</w:t>
      </w:r>
      <w:proofErr w:type="spellStart"/>
      <w:r w:rsidRPr="007203A5">
        <w:rPr>
          <w:rFonts w:ascii="Times New Roman" w:eastAsiaTheme="minorHAnsi" w:hAnsi="Times New Roman"/>
          <w:i/>
          <w:sz w:val="24"/>
        </w:rPr>
        <w:t>khoueng</w:t>
      </w:r>
      <w:proofErr w:type="spellEnd"/>
      <w:r w:rsidRPr="007203A5">
        <w:rPr>
          <w:rFonts w:ascii="Times New Roman" w:eastAsiaTheme="minorHAnsi" w:hAnsi="Times New Roman"/>
          <w:sz w:val="24"/>
        </w:rPr>
        <w:t>) and one prefecture (</w:t>
      </w:r>
      <w:proofErr w:type="spellStart"/>
      <w:r w:rsidRPr="007203A5">
        <w:rPr>
          <w:rFonts w:ascii="Times New Roman" w:eastAsiaTheme="minorHAnsi" w:hAnsi="Times New Roman"/>
          <w:i/>
          <w:sz w:val="24"/>
        </w:rPr>
        <w:t>kampheng</w:t>
      </w:r>
      <w:proofErr w:type="spellEnd"/>
      <w:r w:rsidRPr="007203A5">
        <w:rPr>
          <w:rFonts w:ascii="Times New Roman" w:eastAsiaTheme="minorHAnsi" w:hAnsi="Times New Roman"/>
          <w:i/>
          <w:sz w:val="24"/>
        </w:rPr>
        <w:t xml:space="preserve"> </w:t>
      </w:r>
      <w:proofErr w:type="spellStart"/>
      <w:r w:rsidRPr="007203A5">
        <w:rPr>
          <w:rFonts w:ascii="Times New Roman" w:eastAsiaTheme="minorHAnsi" w:hAnsi="Times New Roman"/>
          <w:i/>
          <w:sz w:val="24"/>
        </w:rPr>
        <w:t>nakhon</w:t>
      </w:r>
      <w:proofErr w:type="spellEnd"/>
      <w:r w:rsidRPr="007203A5">
        <w:rPr>
          <w:rFonts w:ascii="Times New Roman" w:eastAsiaTheme="minorHAnsi" w:hAnsi="Times New Roman"/>
          <w:sz w:val="24"/>
        </w:rPr>
        <w:t>) which includes the capital city Vientiane (</w:t>
      </w:r>
      <w:r w:rsidRPr="007203A5">
        <w:rPr>
          <w:rFonts w:ascii="Times New Roman" w:eastAsiaTheme="minorHAnsi" w:hAnsi="Times New Roman"/>
          <w:i/>
          <w:sz w:val="24"/>
        </w:rPr>
        <w:t xml:space="preserve">Nakhon </w:t>
      </w:r>
      <w:proofErr w:type="spellStart"/>
      <w:r w:rsidRPr="007203A5">
        <w:rPr>
          <w:rFonts w:ascii="Times New Roman" w:eastAsiaTheme="minorHAnsi" w:hAnsi="Times New Roman"/>
          <w:i/>
          <w:sz w:val="24"/>
        </w:rPr>
        <w:t>Louang</w:t>
      </w:r>
      <w:proofErr w:type="spellEnd"/>
      <w:r w:rsidRPr="007203A5">
        <w:rPr>
          <w:rFonts w:ascii="Times New Roman" w:eastAsiaTheme="minorHAnsi" w:hAnsi="Times New Roman"/>
          <w:i/>
          <w:sz w:val="24"/>
        </w:rPr>
        <w:t xml:space="preserve"> </w:t>
      </w:r>
      <w:proofErr w:type="spellStart"/>
      <w:r w:rsidRPr="007203A5">
        <w:rPr>
          <w:rFonts w:ascii="Times New Roman" w:eastAsiaTheme="minorHAnsi" w:hAnsi="Times New Roman"/>
          <w:i/>
          <w:sz w:val="24"/>
        </w:rPr>
        <w:t>Viangchan</w:t>
      </w:r>
      <w:proofErr w:type="spellEnd"/>
      <w:r w:rsidRPr="007203A5">
        <w:rPr>
          <w:rFonts w:ascii="Times New Roman" w:eastAsiaTheme="minorHAnsi" w:hAnsi="Times New Roman"/>
          <w:sz w:val="24"/>
        </w:rPr>
        <w:t>). Provinces are further divided into 148 districts (</w:t>
      </w:r>
      <w:proofErr w:type="spellStart"/>
      <w:r w:rsidRPr="007203A5">
        <w:rPr>
          <w:rFonts w:ascii="Times New Roman" w:eastAsiaTheme="minorHAnsi" w:hAnsi="Times New Roman"/>
          <w:i/>
          <w:sz w:val="24"/>
        </w:rPr>
        <w:t>muang</w:t>
      </w:r>
      <w:proofErr w:type="spellEnd"/>
      <w:r w:rsidRPr="007203A5">
        <w:rPr>
          <w:rFonts w:ascii="Times New Roman" w:eastAsiaTheme="minorHAnsi" w:hAnsi="Times New Roman"/>
          <w:sz w:val="24"/>
        </w:rPr>
        <w:t xml:space="preserve">) and about 8,500 villages (ban). Since the elections in 2016, the Provincial People’s Assemblies have been established at provincial level. </w:t>
      </w:r>
      <w:r>
        <w:rPr>
          <w:rFonts w:ascii="Times New Roman" w:eastAsiaTheme="minorHAnsi" w:hAnsi="Times New Roman"/>
          <w:sz w:val="24"/>
        </w:rPr>
        <w:t xml:space="preserve"> </w:t>
      </w:r>
      <w:r w:rsidRPr="007203A5">
        <w:rPr>
          <w:rFonts w:ascii="Times New Roman" w:eastAsiaTheme="minorHAnsi" w:hAnsi="Times New Roman"/>
          <w:sz w:val="24"/>
        </w:rPr>
        <w:t>Each province is divided into districts (an average o</w:t>
      </w:r>
      <w:r>
        <w:rPr>
          <w:rFonts w:ascii="Times New Roman" w:eastAsiaTheme="minorHAnsi" w:hAnsi="Times New Roman"/>
          <w:sz w:val="24"/>
        </w:rPr>
        <w:t>f 8) made up of</w:t>
      </w:r>
      <w:r w:rsidRPr="007203A5">
        <w:rPr>
          <w:rFonts w:ascii="Times New Roman" w:eastAsiaTheme="minorHAnsi" w:hAnsi="Times New Roman"/>
          <w:sz w:val="24"/>
        </w:rPr>
        <w:t xml:space="preserve"> towns and villages. Provincial governors and are appointed by the Central Government and appoint the heads of districts while the village heads are appointed by the villagers.</w:t>
      </w:r>
    </w:p>
    <w:p w14:paraId="24D59D81" w14:textId="77777777" w:rsidR="007E2FD4" w:rsidRPr="007604FD"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rPr>
      </w:pPr>
      <w:r w:rsidRPr="007203A5">
        <w:rPr>
          <w:rFonts w:ascii="Times New Roman" w:eastAsiaTheme="minorHAnsi" w:hAnsi="Times New Roman"/>
          <w:b/>
          <w:sz w:val="24"/>
        </w:rPr>
        <w:t xml:space="preserve">Much executive authority has been delegated to provincial governors. </w:t>
      </w:r>
      <w:r w:rsidRPr="007203A5">
        <w:rPr>
          <w:rFonts w:ascii="Times New Roman" w:eastAsiaTheme="minorHAnsi" w:hAnsi="Times New Roman"/>
          <w:sz w:val="24"/>
        </w:rPr>
        <w:t xml:space="preserve">The ministries and provinces are all part of the Central Government as first tier budget entities and financed through the national budget. The provinces have the power to collect revenues on behalf of the Central Government and decide on the final allocation of their budget. </w:t>
      </w:r>
      <w:r>
        <w:rPr>
          <w:rFonts w:ascii="Times New Roman" w:eastAsiaTheme="minorHAnsi" w:hAnsi="Times New Roman"/>
          <w:sz w:val="24"/>
        </w:rPr>
        <w:t xml:space="preserve"> </w:t>
      </w:r>
      <w:r w:rsidRPr="007203A5">
        <w:rPr>
          <w:rFonts w:ascii="Times New Roman" w:eastAsiaTheme="minorHAnsi" w:hAnsi="Times New Roman"/>
          <w:sz w:val="24"/>
        </w:rPr>
        <w:t xml:space="preserve">They are also refinanced throughout the year in case of a shortfall of revenues. </w:t>
      </w:r>
    </w:p>
    <w:p w14:paraId="32081922" w14:textId="77777777" w:rsidR="007E2FD4" w:rsidRPr="007203A5"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203A5">
        <w:rPr>
          <w:rFonts w:ascii="Times New Roman" w:eastAsiaTheme="minorHAnsi" w:hAnsi="Times New Roman"/>
          <w:b/>
          <w:sz w:val="24"/>
        </w:rPr>
        <w:t xml:space="preserve">The Lao PDR Constitution was amended in 2015 with a stronger focus on social development, and greater emphasis on the protection of natural resources and environment. </w:t>
      </w:r>
      <w:r w:rsidRPr="007203A5">
        <w:rPr>
          <w:rFonts w:ascii="Times New Roman" w:eastAsiaTheme="minorHAnsi" w:hAnsi="Times New Roman"/>
          <w:sz w:val="24"/>
        </w:rPr>
        <w:t>The Party Congress, which convenes every 5 years, adopted in 2015 the 10</w:t>
      </w:r>
      <w:r w:rsidRPr="007203A5">
        <w:rPr>
          <w:rFonts w:ascii="Times New Roman" w:eastAsiaTheme="minorHAnsi" w:hAnsi="Times New Roman"/>
          <w:sz w:val="24"/>
          <w:vertAlign w:val="superscript"/>
        </w:rPr>
        <w:t>th</w:t>
      </w:r>
      <w:r w:rsidRPr="007203A5">
        <w:rPr>
          <w:rFonts w:ascii="Times New Roman" w:eastAsiaTheme="minorHAnsi" w:hAnsi="Times New Roman"/>
          <w:sz w:val="24"/>
        </w:rPr>
        <w:t xml:space="preserve"> Party Resolution that committed to the new SDGs and prioritized effective utilization of natural resources, industrialization, and modernization with principles of green development. </w:t>
      </w:r>
      <w:r>
        <w:rPr>
          <w:rFonts w:ascii="Times New Roman" w:eastAsiaTheme="minorHAnsi" w:hAnsi="Times New Roman"/>
          <w:sz w:val="24"/>
        </w:rPr>
        <w:t xml:space="preserve"> </w:t>
      </w:r>
      <w:r w:rsidRPr="007203A5">
        <w:rPr>
          <w:rFonts w:ascii="Times New Roman" w:eastAsiaTheme="minorHAnsi" w:hAnsi="Times New Roman"/>
          <w:sz w:val="24"/>
        </w:rPr>
        <w:t>The 15-year Vision, 10-year Strategy, and 5-year 8</w:t>
      </w:r>
      <w:r w:rsidRPr="007203A5">
        <w:rPr>
          <w:rFonts w:ascii="Times New Roman" w:eastAsiaTheme="minorHAnsi" w:hAnsi="Times New Roman"/>
          <w:sz w:val="24"/>
          <w:vertAlign w:val="superscript"/>
        </w:rPr>
        <w:t>th</w:t>
      </w:r>
      <w:r w:rsidRPr="007203A5">
        <w:rPr>
          <w:rFonts w:ascii="Times New Roman" w:eastAsiaTheme="minorHAnsi" w:hAnsi="Times New Roman"/>
          <w:sz w:val="24"/>
        </w:rPr>
        <w:t xml:space="preserve"> NSEDP adopted by the newly elected National Assembly in 2016 will guide the Government to reaching its goals.</w:t>
      </w:r>
    </w:p>
    <w:p w14:paraId="7BB8FAD3" w14:textId="6B342717" w:rsidR="007E2FD4" w:rsidRDefault="007E2FD4" w:rsidP="008037D9">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203A5">
        <w:rPr>
          <w:rFonts w:ascii="Times New Roman" w:hAnsi="Times New Roman"/>
          <w:b/>
          <w:sz w:val="24"/>
        </w:rPr>
        <w:t>The prime responsibility for managing the public finances rests with the Ministry of Finance</w:t>
      </w:r>
      <w:r w:rsidRPr="007203A5">
        <w:rPr>
          <w:rFonts w:ascii="Times New Roman" w:hAnsi="Times New Roman"/>
          <w:sz w:val="24"/>
        </w:rPr>
        <w:t xml:space="preserve">. Under Decree on the Organization and Activities of the Ministry of Finance </w:t>
      </w:r>
      <w:r w:rsidRPr="00D4304D">
        <w:rPr>
          <w:rFonts w:ascii="Times New Roman" w:hAnsi="Times New Roman"/>
          <w:color w:val="000000" w:themeColor="text1"/>
          <w:sz w:val="24"/>
        </w:rPr>
        <w:t>(No. 80/PM, 28 February 2007,</w:t>
      </w:r>
      <w:r w:rsidRPr="007203A5">
        <w:rPr>
          <w:rFonts w:ascii="Times New Roman" w:hAnsi="Times New Roman"/>
          <w:color w:val="FF0000"/>
          <w:sz w:val="24"/>
        </w:rPr>
        <w:t xml:space="preserve"> </w:t>
      </w:r>
      <w:r w:rsidRPr="007203A5">
        <w:rPr>
          <w:rFonts w:ascii="Times New Roman" w:hAnsi="Times New Roman"/>
          <w:sz w:val="24"/>
        </w:rPr>
        <w:t xml:space="preserve">functions include formulating, stipulating and implementing policies in terms of budgeting, taxes, customs and excise, treasury, state assets management, fiscal balance, and budget financing and risk management. </w:t>
      </w:r>
      <w:r>
        <w:rPr>
          <w:rFonts w:ascii="Times New Roman" w:hAnsi="Times New Roman"/>
          <w:sz w:val="24"/>
        </w:rPr>
        <w:t xml:space="preserve"> </w:t>
      </w:r>
      <w:r w:rsidRPr="007203A5">
        <w:rPr>
          <w:rFonts w:ascii="Times New Roman" w:hAnsi="Times New Roman"/>
          <w:sz w:val="24"/>
        </w:rPr>
        <w:t xml:space="preserve">It also provides recommendations on fiscal and financial sector policies. </w:t>
      </w:r>
    </w:p>
    <w:p w14:paraId="027B69D1" w14:textId="77777777" w:rsidR="007E2FD4" w:rsidRPr="00483514" w:rsidRDefault="007E2FD4" w:rsidP="008037D9">
      <w:pPr>
        <w:pStyle w:val="ListParagraph"/>
        <w:numPr>
          <w:ilvl w:val="0"/>
          <w:numId w:val="32"/>
        </w:numPr>
        <w:autoSpaceDE w:val="0"/>
        <w:autoSpaceDN w:val="0"/>
        <w:adjustRightInd w:val="0"/>
        <w:spacing w:after="240"/>
        <w:ind w:left="0" w:firstLine="0"/>
        <w:contextualSpacing w:val="0"/>
        <w:rPr>
          <w:rFonts w:ascii="Times New Roman" w:eastAsiaTheme="minorHAnsi" w:hAnsi="Times New Roman"/>
          <w:sz w:val="24"/>
          <w:lang w:val="en-MY"/>
        </w:rPr>
      </w:pPr>
      <w:r w:rsidRPr="00483514">
        <w:rPr>
          <w:rFonts w:ascii="Times New Roman" w:hAnsi="Times New Roman"/>
          <w:b/>
          <w:sz w:val="24"/>
        </w:rPr>
        <w:t>The current organization of the Ministry of Finance defines the main responsibilities</w:t>
      </w:r>
      <w:r w:rsidR="009D64BB">
        <w:rPr>
          <w:rFonts w:ascii="Times New Roman" w:hAnsi="Times New Roman"/>
          <w:sz w:val="24"/>
        </w:rPr>
        <w:t xml:space="preserve">. </w:t>
      </w:r>
      <w:r>
        <w:rPr>
          <w:rFonts w:ascii="Times New Roman" w:hAnsi="Times New Roman"/>
          <w:sz w:val="24"/>
        </w:rPr>
        <w:t xml:space="preserve">These are allocated to different departments: </w:t>
      </w:r>
      <w:r w:rsidRPr="007203A5">
        <w:rPr>
          <w:rFonts w:ascii="Times New Roman" w:hAnsi="Times New Roman"/>
          <w:sz w:val="24"/>
        </w:rPr>
        <w:t>budget preparation, procurement to the Budget department including allocation of expenditure provis</w:t>
      </w:r>
      <w:r>
        <w:rPr>
          <w:rFonts w:ascii="Times New Roman" w:hAnsi="Times New Roman"/>
          <w:sz w:val="24"/>
        </w:rPr>
        <w:t>ion to ministries and provinces; b</w:t>
      </w:r>
      <w:r w:rsidRPr="007203A5">
        <w:rPr>
          <w:rFonts w:ascii="Times New Roman" w:hAnsi="Times New Roman"/>
          <w:sz w:val="24"/>
        </w:rPr>
        <w:t xml:space="preserve">udget execution, cash management and accounting to the Treasury department including cash flow forecasting, receipts and payments and domestic borrowing. </w:t>
      </w:r>
      <w:r>
        <w:rPr>
          <w:rFonts w:ascii="Times New Roman" w:hAnsi="Times New Roman"/>
          <w:sz w:val="24"/>
        </w:rPr>
        <w:t xml:space="preserve"> </w:t>
      </w:r>
      <w:r w:rsidRPr="007203A5">
        <w:rPr>
          <w:rFonts w:ascii="Times New Roman" w:hAnsi="Times New Roman"/>
          <w:sz w:val="24"/>
        </w:rPr>
        <w:t xml:space="preserve">The coordination of the overall fiscal policy and fiscal forecasting and liaison with </w:t>
      </w:r>
      <w:r w:rsidRPr="00CF1EC4">
        <w:rPr>
          <w:rFonts w:ascii="Times New Roman" w:hAnsi="Times New Roman"/>
          <w:sz w:val="24"/>
        </w:rPr>
        <w:t>Ministry of Planning and Investment</w:t>
      </w:r>
      <w:r w:rsidRPr="007203A5">
        <w:rPr>
          <w:rFonts w:ascii="Times New Roman" w:hAnsi="Times New Roman"/>
          <w:sz w:val="24"/>
        </w:rPr>
        <w:t xml:space="preserve"> </w:t>
      </w:r>
      <w:r>
        <w:rPr>
          <w:rFonts w:ascii="Times New Roman" w:hAnsi="Times New Roman"/>
          <w:sz w:val="24"/>
        </w:rPr>
        <w:t xml:space="preserve">(MPI) </w:t>
      </w:r>
      <w:r w:rsidRPr="007203A5">
        <w:rPr>
          <w:rFonts w:ascii="Times New Roman" w:hAnsi="Times New Roman"/>
          <w:sz w:val="24"/>
        </w:rPr>
        <w:t xml:space="preserve">on macroeconomic modeling is the responsibility of the Fiscal Policy Department. External borrowing (and the servicing of external debt) is the responsibility of the External Finance Department of MoF. The Department of International Cooperation (DIC) of MPI coordinates the receipt of external grants. </w:t>
      </w:r>
    </w:p>
    <w:p w14:paraId="53971F76" w14:textId="77777777" w:rsidR="007E2FD4" w:rsidRPr="00D1361D"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eastAsiaTheme="minorHAnsi" w:hAnsi="Times New Roman"/>
          <w:spacing w:val="-2"/>
          <w:sz w:val="24"/>
          <w:lang w:val="en-MY"/>
        </w:rPr>
      </w:pPr>
      <w:r w:rsidRPr="00483514">
        <w:rPr>
          <w:rFonts w:ascii="Times New Roman" w:hAnsi="Times New Roman"/>
          <w:b/>
          <w:sz w:val="24"/>
        </w:rPr>
        <w:t>Revenue is mainly the responsibility of the Tax Department</w:t>
      </w:r>
      <w:r w:rsidRPr="007203A5">
        <w:rPr>
          <w:rFonts w:ascii="Times New Roman" w:hAnsi="Times New Roman"/>
          <w:sz w:val="24"/>
        </w:rPr>
        <w:t xml:space="preserve"> </w:t>
      </w:r>
      <w:r w:rsidRPr="00483514">
        <w:rPr>
          <w:rFonts w:ascii="Times New Roman" w:hAnsi="Times New Roman"/>
          <w:b/>
          <w:sz w:val="24"/>
        </w:rPr>
        <w:t>and the Customs Department</w:t>
      </w:r>
      <w:r w:rsidR="009D64BB">
        <w:rPr>
          <w:rFonts w:ascii="Times New Roman" w:hAnsi="Times New Roman"/>
          <w:b/>
          <w:sz w:val="24"/>
        </w:rPr>
        <w:t>.</w:t>
      </w:r>
      <w:r w:rsidRPr="007203A5">
        <w:rPr>
          <w:rFonts w:ascii="Times New Roman" w:hAnsi="Times New Roman"/>
          <w:sz w:val="24"/>
        </w:rPr>
        <w:t xml:space="preserve"> </w:t>
      </w:r>
      <w:r>
        <w:rPr>
          <w:rFonts w:ascii="Times New Roman" w:hAnsi="Times New Roman"/>
          <w:sz w:val="24"/>
        </w:rPr>
        <w:t>P</w:t>
      </w:r>
      <w:r w:rsidRPr="007203A5">
        <w:rPr>
          <w:rFonts w:ascii="Times New Roman" w:hAnsi="Times New Roman"/>
          <w:sz w:val="24"/>
        </w:rPr>
        <w:t>rofit tax, i</w:t>
      </w:r>
      <w:r>
        <w:rPr>
          <w:rFonts w:ascii="Times New Roman" w:hAnsi="Times New Roman"/>
          <w:sz w:val="24"/>
        </w:rPr>
        <w:t>ncome tax, turnover taxes, VAT,</w:t>
      </w:r>
      <w:r w:rsidRPr="007203A5">
        <w:rPr>
          <w:rFonts w:ascii="Times New Roman" w:hAnsi="Times New Roman"/>
          <w:sz w:val="24"/>
        </w:rPr>
        <w:t xml:space="preserve"> and excise taxes</w:t>
      </w:r>
      <w:r>
        <w:rPr>
          <w:rFonts w:ascii="Times New Roman" w:hAnsi="Times New Roman"/>
          <w:sz w:val="24"/>
        </w:rPr>
        <w:t xml:space="preserve"> are administered by the Tax Department and </w:t>
      </w:r>
      <w:r w:rsidRPr="007203A5">
        <w:rPr>
          <w:rFonts w:ascii="Times New Roman" w:hAnsi="Times New Roman"/>
          <w:sz w:val="24"/>
        </w:rPr>
        <w:t xml:space="preserve">(customs duties, and VAT, excise and turnover taxes collected on </w:t>
      </w:r>
      <w:r w:rsidRPr="007203A5">
        <w:rPr>
          <w:rFonts w:ascii="Times New Roman" w:hAnsi="Times New Roman"/>
          <w:sz w:val="24"/>
        </w:rPr>
        <w:lastRenderedPageBreak/>
        <w:t>imports</w:t>
      </w:r>
      <w:r>
        <w:rPr>
          <w:rFonts w:ascii="Times New Roman" w:hAnsi="Times New Roman"/>
          <w:sz w:val="24"/>
        </w:rPr>
        <w:t xml:space="preserve"> by the Customs Department. </w:t>
      </w:r>
      <w:r w:rsidRPr="007203A5">
        <w:rPr>
          <w:rFonts w:ascii="Times New Roman" w:hAnsi="Times New Roman"/>
          <w:sz w:val="24"/>
        </w:rPr>
        <w:t xml:space="preserve">The State-Owned Enterprise (SOE) Department monitors the finances and reporting of SOEs, while the State Assets Department </w:t>
      </w:r>
      <w:proofErr w:type="gramStart"/>
      <w:r w:rsidRPr="007203A5">
        <w:rPr>
          <w:rFonts w:ascii="Times New Roman" w:hAnsi="Times New Roman"/>
          <w:sz w:val="24"/>
        </w:rPr>
        <w:t>is in charge of</w:t>
      </w:r>
      <w:proofErr w:type="gramEnd"/>
      <w:r w:rsidRPr="007203A5">
        <w:rPr>
          <w:rFonts w:ascii="Times New Roman" w:hAnsi="Times New Roman"/>
          <w:sz w:val="24"/>
        </w:rPr>
        <w:t xml:space="preserve"> revenues from the exploitation or sale of state property. The Accounting Department sets the accounting </w:t>
      </w:r>
      <w:r w:rsidRPr="00D1361D">
        <w:rPr>
          <w:rFonts w:ascii="Times New Roman" w:hAnsi="Times New Roman"/>
          <w:spacing w:val="-2"/>
          <w:sz w:val="24"/>
        </w:rPr>
        <w:t xml:space="preserve">standards for both private and public sectors but is not responsible for government financial </w:t>
      </w:r>
      <w:r w:rsidRPr="00D1361D">
        <w:rPr>
          <w:rFonts w:ascii="Times New Roman" w:hAnsi="Times New Roman"/>
          <w:spacing w:val="-4"/>
          <w:sz w:val="24"/>
        </w:rPr>
        <w:t>reporting (which is undertaken by the Budget and Treasury</w:t>
      </w:r>
      <w:r w:rsidRPr="00D1361D">
        <w:rPr>
          <w:rFonts w:ascii="Times New Roman" w:hAnsi="Times New Roman"/>
          <w:spacing w:val="-2"/>
          <w:sz w:val="24"/>
        </w:rPr>
        <w:t xml:space="preserve"> Departments).</w:t>
      </w:r>
    </w:p>
    <w:p w14:paraId="679ED5F9" w14:textId="77777777" w:rsidR="007E2FD4" w:rsidRPr="00D1361D"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hAnsi="Times New Roman"/>
          <w:spacing w:val="-2"/>
          <w:sz w:val="24"/>
        </w:rPr>
      </w:pPr>
      <w:proofErr w:type="gramStart"/>
      <w:r w:rsidRPr="007203A5">
        <w:rPr>
          <w:rFonts w:ascii="Times New Roman" w:hAnsi="Times New Roman"/>
          <w:b/>
          <w:sz w:val="24"/>
        </w:rPr>
        <w:t>The Ministry of Planning and Investment,</w:t>
      </w:r>
      <w:proofErr w:type="gramEnd"/>
      <w:r w:rsidRPr="007203A5">
        <w:rPr>
          <w:rFonts w:ascii="Times New Roman" w:hAnsi="Times New Roman"/>
          <w:b/>
          <w:sz w:val="24"/>
        </w:rPr>
        <w:t xml:space="preserve"> also plays an important role in the preparation of the capital </w:t>
      </w:r>
      <w:r>
        <w:rPr>
          <w:rFonts w:ascii="Times New Roman" w:hAnsi="Times New Roman"/>
          <w:b/>
          <w:sz w:val="24"/>
        </w:rPr>
        <w:t xml:space="preserve">budget. </w:t>
      </w:r>
      <w:r w:rsidRPr="00CF1EC4">
        <w:rPr>
          <w:rFonts w:ascii="Times New Roman" w:hAnsi="Times New Roman"/>
          <w:sz w:val="24"/>
        </w:rPr>
        <w:t>It</w:t>
      </w:r>
      <w:r w:rsidRPr="007203A5">
        <w:rPr>
          <w:rFonts w:ascii="Times New Roman" w:hAnsi="Times New Roman"/>
          <w:b/>
          <w:sz w:val="24"/>
        </w:rPr>
        <w:t xml:space="preserve"> </w:t>
      </w:r>
      <w:r w:rsidRPr="007203A5">
        <w:rPr>
          <w:rFonts w:ascii="Times New Roman" w:eastAsiaTheme="minorHAnsi" w:hAnsi="Times New Roman"/>
          <w:sz w:val="24"/>
          <w:lang w:val="en-MY"/>
        </w:rPr>
        <w:t>has the responsibility to prepare the macro-economic forecasts that provide the context for the budget preparation.</w:t>
      </w:r>
      <w:r>
        <w:rPr>
          <w:rFonts w:ascii="Times New Roman" w:eastAsiaTheme="minorHAnsi" w:hAnsi="Times New Roman"/>
          <w:sz w:val="24"/>
          <w:lang w:val="en-MY"/>
        </w:rPr>
        <w:t xml:space="preserve"> </w:t>
      </w:r>
      <w:r w:rsidRPr="007203A5">
        <w:rPr>
          <w:rFonts w:ascii="Times New Roman" w:eastAsiaTheme="minorHAnsi" w:hAnsi="Times New Roman"/>
          <w:sz w:val="24"/>
          <w:lang w:val="en-MY"/>
        </w:rPr>
        <w:t xml:space="preserve">Its Planning Department collects and prioritizes the investment projects to be approved by the NA </w:t>
      </w:r>
      <w:r>
        <w:rPr>
          <w:rFonts w:ascii="Times New Roman" w:eastAsiaTheme="minorHAnsi" w:hAnsi="Times New Roman"/>
          <w:sz w:val="24"/>
          <w:lang w:val="en-MY"/>
        </w:rPr>
        <w:t>in</w:t>
      </w:r>
      <w:r w:rsidRPr="007203A5">
        <w:rPr>
          <w:rFonts w:ascii="Times New Roman" w:eastAsiaTheme="minorHAnsi" w:hAnsi="Times New Roman"/>
          <w:sz w:val="24"/>
          <w:lang w:val="en-MY"/>
        </w:rPr>
        <w:t xml:space="preserve"> the budget.</w:t>
      </w:r>
      <w:r>
        <w:rPr>
          <w:rFonts w:ascii="Times New Roman" w:eastAsiaTheme="minorHAnsi" w:hAnsi="Times New Roman"/>
          <w:sz w:val="24"/>
          <w:lang w:val="en-MY"/>
        </w:rPr>
        <w:t xml:space="preserve"> </w:t>
      </w:r>
      <w:r w:rsidRPr="007203A5">
        <w:rPr>
          <w:rFonts w:ascii="Times New Roman" w:eastAsiaTheme="minorHAnsi" w:hAnsi="Times New Roman"/>
          <w:sz w:val="24"/>
          <w:lang w:val="en-MY"/>
        </w:rPr>
        <w:t xml:space="preserve">In carrying out these functions, MPI </w:t>
      </w:r>
      <w:proofErr w:type="gramStart"/>
      <w:r w:rsidRPr="007203A5">
        <w:rPr>
          <w:rFonts w:ascii="Times New Roman" w:eastAsiaTheme="minorHAnsi" w:hAnsi="Times New Roman"/>
          <w:sz w:val="24"/>
          <w:lang w:val="en-MY"/>
        </w:rPr>
        <w:t>takes into account</w:t>
      </w:r>
      <w:proofErr w:type="gramEnd"/>
      <w:r w:rsidRPr="007203A5">
        <w:rPr>
          <w:rFonts w:ascii="Times New Roman" w:eastAsiaTheme="minorHAnsi" w:hAnsi="Times New Roman"/>
          <w:sz w:val="24"/>
          <w:lang w:val="en-MY"/>
        </w:rPr>
        <w:t xml:space="preserve"> the scope for external borrowing (determined by MoF External Finance Department in accordance with debt sustainability criteria), and the revenue forecasts from MoF. The </w:t>
      </w:r>
      <w:r w:rsidRPr="00D1361D">
        <w:rPr>
          <w:rFonts w:ascii="Times New Roman" w:eastAsiaTheme="minorHAnsi" w:hAnsi="Times New Roman"/>
          <w:spacing w:val="-2"/>
          <w:sz w:val="24"/>
          <w:lang w:val="en-MY"/>
        </w:rPr>
        <w:t>selection of projects follows a screening process based partly on political orientations from the NSEDP and the objectives to reduce poverty and partly on the application of technical public investment criteria defined established guidelines.</w:t>
      </w:r>
    </w:p>
    <w:p w14:paraId="538395B6" w14:textId="77777777" w:rsidR="007E2FD4"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hAnsi="Times New Roman"/>
          <w:sz w:val="24"/>
        </w:rPr>
      </w:pPr>
      <w:r w:rsidRPr="007203A5">
        <w:rPr>
          <w:rFonts w:ascii="Times New Roman" w:hAnsi="Times New Roman"/>
          <w:b/>
          <w:sz w:val="24"/>
        </w:rPr>
        <w:t xml:space="preserve">Based on Decree 253/PM dated August 19th, 2011, </w:t>
      </w:r>
      <w:r>
        <w:rPr>
          <w:rFonts w:ascii="Times New Roman" w:hAnsi="Times New Roman"/>
          <w:b/>
          <w:sz w:val="24"/>
        </w:rPr>
        <w:t xml:space="preserve">the </w:t>
      </w:r>
      <w:r w:rsidRPr="00CF1EC4">
        <w:rPr>
          <w:rFonts w:ascii="Times New Roman" w:hAnsi="Times New Roman"/>
          <w:b/>
          <w:sz w:val="24"/>
        </w:rPr>
        <w:t xml:space="preserve">Ministry of Home Affairs </w:t>
      </w:r>
      <w:r>
        <w:rPr>
          <w:rFonts w:ascii="Times New Roman" w:hAnsi="Times New Roman"/>
          <w:b/>
          <w:sz w:val="24"/>
        </w:rPr>
        <w:t>(</w:t>
      </w:r>
      <w:r w:rsidRPr="007203A5">
        <w:rPr>
          <w:rFonts w:ascii="Times New Roman" w:hAnsi="Times New Roman"/>
          <w:b/>
          <w:sz w:val="24"/>
        </w:rPr>
        <w:t>MOHA</w:t>
      </w:r>
      <w:r>
        <w:rPr>
          <w:rFonts w:ascii="Times New Roman" w:hAnsi="Times New Roman"/>
          <w:b/>
          <w:sz w:val="24"/>
        </w:rPr>
        <w:t>)</w:t>
      </w:r>
      <w:r w:rsidRPr="007203A5">
        <w:rPr>
          <w:rFonts w:ascii="Times New Roman" w:hAnsi="Times New Roman"/>
          <w:b/>
          <w:sz w:val="24"/>
        </w:rPr>
        <w:t xml:space="preserve"> has the role of Secretariat to the Government at macro level, regarding governance reform at central and local level and civil service management.</w:t>
      </w:r>
      <w:r w:rsidRPr="007203A5">
        <w:rPr>
          <w:rFonts w:ascii="Times New Roman" w:hAnsi="Times New Roman"/>
          <w:sz w:val="24"/>
        </w:rPr>
        <w:t xml:space="preserve"> In charge of the implementation of The National Governance and Public Administration Reform Program, its mandate includes: Art</w:t>
      </w:r>
      <w:r>
        <w:rPr>
          <w:rFonts w:ascii="Times New Roman" w:hAnsi="Times New Roman"/>
          <w:sz w:val="24"/>
        </w:rPr>
        <w:t>icle</w:t>
      </w:r>
      <w:r w:rsidRPr="007203A5">
        <w:rPr>
          <w:rFonts w:ascii="Times New Roman" w:hAnsi="Times New Roman"/>
          <w:sz w:val="24"/>
        </w:rPr>
        <w:t xml:space="preserve"> 3.5 “To encourage and instruct public administration at local level to be in line with the Law on Local Administration”; Art</w:t>
      </w:r>
      <w:r>
        <w:rPr>
          <w:rFonts w:ascii="Times New Roman" w:hAnsi="Times New Roman"/>
          <w:sz w:val="24"/>
        </w:rPr>
        <w:t xml:space="preserve">icle </w:t>
      </w:r>
      <w:r w:rsidRPr="007203A5">
        <w:rPr>
          <w:rFonts w:ascii="Times New Roman" w:hAnsi="Times New Roman"/>
          <w:sz w:val="24"/>
        </w:rPr>
        <w:t>3.6 “To formulate development plans and appraisal of civil servant performance; establish mechanisms and manage civil servants, estimate quota of civil servants for long term, medium term and annually; to study policies related to salary and benefit and other policies for civil servants and make proposals to the Government.”</w:t>
      </w:r>
    </w:p>
    <w:p w14:paraId="7A13424D" w14:textId="77777777" w:rsidR="007E2FD4" w:rsidRPr="007203A5"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hAnsi="Times New Roman"/>
          <w:sz w:val="24"/>
        </w:rPr>
      </w:pPr>
      <w:r w:rsidRPr="007203A5">
        <w:rPr>
          <w:rFonts w:ascii="Times New Roman" w:hAnsi="Times New Roman"/>
          <w:b/>
          <w:sz w:val="24"/>
        </w:rPr>
        <w:t>Line ministries and provinces are responsible and accountable for their own financial administration.</w:t>
      </w:r>
      <w:r w:rsidRPr="007203A5">
        <w:rPr>
          <w:rFonts w:ascii="Times New Roman" w:hAnsi="Times New Roman"/>
          <w:sz w:val="24"/>
        </w:rPr>
        <w:t xml:space="preserve"> Within each line ministry and provinces there are spending units responsible for financial control and the approval of payments, including payroll. </w:t>
      </w:r>
      <w:r>
        <w:rPr>
          <w:rFonts w:ascii="Times New Roman" w:hAnsi="Times New Roman"/>
          <w:sz w:val="24"/>
        </w:rPr>
        <w:t xml:space="preserve"> </w:t>
      </w:r>
      <w:r w:rsidRPr="007203A5">
        <w:rPr>
          <w:rFonts w:ascii="Times New Roman" w:hAnsi="Times New Roman"/>
          <w:sz w:val="24"/>
        </w:rPr>
        <w:t>Payment requests are then forwarded to Treasury’s provincial offices for payments to be made. Ministries are also required to prepare annual financial stat</w:t>
      </w:r>
      <w:r>
        <w:rPr>
          <w:rFonts w:ascii="Times New Roman" w:hAnsi="Times New Roman"/>
          <w:sz w:val="24"/>
        </w:rPr>
        <w:t>ements to be submitted to the Mo</w:t>
      </w:r>
      <w:r w:rsidRPr="007203A5">
        <w:rPr>
          <w:rFonts w:ascii="Times New Roman" w:hAnsi="Times New Roman"/>
          <w:sz w:val="24"/>
        </w:rPr>
        <w:t xml:space="preserve">F. </w:t>
      </w:r>
      <w:r>
        <w:rPr>
          <w:rFonts w:ascii="Times New Roman" w:hAnsi="Times New Roman"/>
          <w:sz w:val="24"/>
        </w:rPr>
        <w:t xml:space="preserve"> </w:t>
      </w:r>
      <w:r w:rsidRPr="007203A5">
        <w:rPr>
          <w:rFonts w:ascii="Times New Roman" w:hAnsi="Times New Roman"/>
          <w:sz w:val="24"/>
        </w:rPr>
        <w:t xml:space="preserve">Each line ministry includes an inspection department fulfilling the function of an internal audit unit </w:t>
      </w:r>
      <w:r w:rsidR="00EA2FDF">
        <w:rPr>
          <w:rFonts w:ascii="Times New Roman" w:hAnsi="Times New Roman"/>
          <w:sz w:val="24"/>
        </w:rPr>
        <w:t xml:space="preserve">(but with a more control orientation) </w:t>
      </w:r>
      <w:r w:rsidRPr="007203A5">
        <w:rPr>
          <w:rFonts w:ascii="Times New Roman" w:hAnsi="Times New Roman"/>
          <w:sz w:val="24"/>
        </w:rPr>
        <w:t xml:space="preserve">which reports directly to the responsible minister and is responsible for compliance and financial audits. </w:t>
      </w:r>
      <w:r w:rsidRPr="007203A5">
        <w:rPr>
          <w:rFonts w:ascii="Times New Roman" w:eastAsiaTheme="minorHAnsi" w:hAnsi="Times New Roman"/>
          <w:sz w:val="24"/>
          <w:lang w:val="en-MY"/>
        </w:rPr>
        <w:t>The ministries are responsible for central functions</w:t>
      </w:r>
      <w:r w:rsidRPr="007203A5">
        <w:rPr>
          <w:rFonts w:ascii="Times New Roman" w:hAnsi="Times New Roman"/>
          <w:sz w:val="24"/>
        </w:rPr>
        <w:t xml:space="preserve"> </w:t>
      </w:r>
      <w:r w:rsidRPr="007203A5">
        <w:rPr>
          <w:rFonts w:ascii="Times New Roman" w:eastAsiaTheme="minorHAnsi" w:hAnsi="Times New Roman"/>
          <w:sz w:val="24"/>
          <w:lang w:val="en-MY"/>
        </w:rPr>
        <w:t>of government and for national institutions such as universities and specialist hospitals.</w:t>
      </w:r>
      <w:r>
        <w:rPr>
          <w:rFonts w:ascii="Times New Roman" w:eastAsiaTheme="minorHAnsi" w:hAnsi="Times New Roman"/>
          <w:sz w:val="24"/>
          <w:lang w:val="en-MY"/>
        </w:rPr>
        <w:t xml:space="preserve"> </w:t>
      </w:r>
    </w:p>
    <w:p w14:paraId="4FE38659" w14:textId="77777777" w:rsidR="007E2FD4" w:rsidRPr="00177ADB"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hAnsi="Times New Roman"/>
          <w:spacing w:val="-2"/>
          <w:sz w:val="24"/>
        </w:rPr>
      </w:pPr>
      <w:r w:rsidRPr="00177ADB">
        <w:rPr>
          <w:rFonts w:ascii="Times New Roman" w:eastAsiaTheme="minorHAnsi" w:hAnsi="Times New Roman"/>
          <w:b/>
          <w:spacing w:val="-2"/>
          <w:sz w:val="24"/>
          <w:lang w:val="en-MY"/>
        </w:rPr>
        <w:t>Most public services are delivered to the citizens by provincial and</w:t>
      </w:r>
      <w:r w:rsidRPr="00177ADB">
        <w:rPr>
          <w:rFonts w:ascii="Times New Roman" w:hAnsi="Times New Roman"/>
          <w:b/>
          <w:spacing w:val="-2"/>
          <w:sz w:val="24"/>
        </w:rPr>
        <w:t xml:space="preserve"> </w:t>
      </w:r>
      <w:r w:rsidRPr="00177ADB">
        <w:rPr>
          <w:rFonts w:ascii="Times New Roman" w:eastAsiaTheme="minorHAnsi" w:hAnsi="Times New Roman"/>
          <w:b/>
          <w:spacing w:val="-2"/>
          <w:sz w:val="24"/>
          <w:lang w:val="en-MY"/>
        </w:rPr>
        <w:t>district administrations. Provincial budgets are allocated directly by MoF without</w:t>
      </w:r>
      <w:r w:rsidRPr="00177ADB">
        <w:rPr>
          <w:rFonts w:ascii="Times New Roman" w:hAnsi="Times New Roman"/>
          <w:b/>
          <w:spacing w:val="-2"/>
          <w:sz w:val="24"/>
        </w:rPr>
        <w:t xml:space="preserve"> </w:t>
      </w:r>
      <w:r w:rsidRPr="00177ADB">
        <w:rPr>
          <w:rFonts w:ascii="Times New Roman" w:eastAsiaTheme="minorHAnsi" w:hAnsi="Times New Roman"/>
          <w:b/>
          <w:spacing w:val="-2"/>
          <w:sz w:val="24"/>
          <w:lang w:val="en-MY"/>
        </w:rPr>
        <w:t>discussion with the relevant line ministries.</w:t>
      </w:r>
      <w:r w:rsidRPr="00177ADB">
        <w:rPr>
          <w:rFonts w:ascii="Times New Roman" w:eastAsiaTheme="minorHAnsi" w:hAnsi="Times New Roman"/>
          <w:spacing w:val="-2"/>
          <w:sz w:val="24"/>
          <w:lang w:val="en-MY"/>
        </w:rPr>
        <w:t xml:space="preserve"> Thus, provinces have been free to determine</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their own priorities, sometimes ignoring stated government priorities for preference to be</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 xml:space="preserve">given to the priority districts or, for example, to </w:t>
      </w:r>
      <w:proofErr w:type="gramStart"/>
      <w:r w:rsidRPr="00177ADB">
        <w:rPr>
          <w:rFonts w:ascii="Times New Roman" w:eastAsiaTheme="minorHAnsi" w:hAnsi="Times New Roman"/>
          <w:spacing w:val="-2"/>
          <w:sz w:val="24"/>
          <w:lang w:val="en-MY"/>
        </w:rPr>
        <w:t>particular medical</w:t>
      </w:r>
      <w:proofErr w:type="gramEnd"/>
      <w:r w:rsidRPr="00177ADB">
        <w:rPr>
          <w:rFonts w:ascii="Times New Roman" w:eastAsiaTheme="minorHAnsi" w:hAnsi="Times New Roman"/>
          <w:spacing w:val="-2"/>
          <w:sz w:val="24"/>
          <w:lang w:val="en-MY"/>
        </w:rPr>
        <w:t xml:space="preserve"> services. To establish</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some effective control over these priorities, the National Assembly has been pressing the</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government to introduce norms for the allocation of expenditure at province/district level.</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 xml:space="preserve">The provinces have also </w:t>
      </w:r>
      <w:proofErr w:type="gramStart"/>
      <w:r w:rsidRPr="00177ADB">
        <w:rPr>
          <w:rFonts w:ascii="Times New Roman" w:eastAsiaTheme="minorHAnsi" w:hAnsi="Times New Roman"/>
          <w:spacing w:val="-2"/>
          <w:sz w:val="24"/>
          <w:lang w:val="en-MY"/>
        </w:rPr>
        <w:t>been in charge of</w:t>
      </w:r>
      <w:proofErr w:type="gramEnd"/>
      <w:r w:rsidRPr="00177ADB">
        <w:rPr>
          <w:rFonts w:ascii="Times New Roman" w:eastAsiaTheme="minorHAnsi" w:hAnsi="Times New Roman"/>
          <w:spacing w:val="-2"/>
          <w:sz w:val="24"/>
          <w:lang w:val="en-MY"/>
        </w:rPr>
        <w:t xml:space="preserve"> the collection of most revenues and of</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Treasury operations in their areas but have to centralize revenues and expenditures and cash balances within the centralized Treasury system and control over all government revenues (including</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charges for services) and over all government bank accounts. Substantial progress has already been made with controlling tax</w:t>
      </w:r>
      <w:r w:rsidRPr="00177ADB">
        <w:rPr>
          <w:rFonts w:ascii="Times New Roman" w:hAnsi="Times New Roman"/>
          <w:spacing w:val="-2"/>
          <w:sz w:val="24"/>
        </w:rPr>
        <w:t xml:space="preserve"> </w:t>
      </w:r>
      <w:r w:rsidRPr="00177ADB">
        <w:rPr>
          <w:rFonts w:ascii="Times New Roman" w:eastAsiaTheme="minorHAnsi" w:hAnsi="Times New Roman"/>
          <w:spacing w:val="-2"/>
          <w:sz w:val="24"/>
          <w:lang w:val="en-MY"/>
        </w:rPr>
        <w:t>and custom revenue. Automated interbank clearing</w:t>
      </w:r>
      <w:r w:rsidRPr="00177ADB">
        <w:rPr>
          <w:rFonts w:ascii="Times New Roman" w:hAnsi="Times New Roman"/>
          <w:spacing w:val="-2"/>
          <w:sz w:val="24"/>
          <w:lang w:val="en-MY"/>
        </w:rPr>
        <w:t xml:space="preserve"> a</w:t>
      </w:r>
      <w:r w:rsidRPr="00177ADB">
        <w:rPr>
          <w:rFonts w:ascii="Times New Roman" w:eastAsiaTheme="minorHAnsi" w:hAnsi="Times New Roman"/>
          <w:spacing w:val="-2"/>
          <w:sz w:val="24"/>
          <w:lang w:val="en-MY"/>
        </w:rPr>
        <w:t xml:space="preserve">rrangements have been introduced to consolidate government </w:t>
      </w:r>
      <w:r w:rsidRPr="00177ADB">
        <w:rPr>
          <w:rFonts w:ascii="Times New Roman" w:eastAsiaTheme="minorHAnsi" w:hAnsi="Times New Roman"/>
          <w:spacing w:val="-2"/>
          <w:sz w:val="24"/>
          <w:lang w:val="en-MY"/>
        </w:rPr>
        <w:lastRenderedPageBreak/>
        <w:t xml:space="preserve">cash resources in the TSA and ultimately in the GFIS reporting system, although there is no interface and the information </w:t>
      </w:r>
      <w:proofErr w:type="gramStart"/>
      <w:r w:rsidRPr="00177ADB">
        <w:rPr>
          <w:rFonts w:ascii="Times New Roman" w:eastAsiaTheme="minorHAnsi" w:hAnsi="Times New Roman"/>
          <w:spacing w:val="-2"/>
          <w:sz w:val="24"/>
          <w:lang w:val="en-MY"/>
        </w:rPr>
        <w:t>has to</w:t>
      </w:r>
      <w:proofErr w:type="gramEnd"/>
      <w:r w:rsidRPr="00177ADB">
        <w:rPr>
          <w:rFonts w:ascii="Times New Roman" w:eastAsiaTheme="minorHAnsi" w:hAnsi="Times New Roman"/>
          <w:spacing w:val="-2"/>
          <w:sz w:val="24"/>
          <w:lang w:val="en-MY"/>
        </w:rPr>
        <w:t xml:space="preserve"> be inserted manually.</w:t>
      </w:r>
    </w:p>
    <w:p w14:paraId="66A5E044" w14:textId="77777777" w:rsidR="007E2FD4" w:rsidRPr="007203A5" w:rsidRDefault="007E2FD4" w:rsidP="008037D9">
      <w:pPr>
        <w:pStyle w:val="ListParagraph"/>
        <w:widowControl w:val="0"/>
        <w:numPr>
          <w:ilvl w:val="0"/>
          <w:numId w:val="32"/>
        </w:numPr>
        <w:autoSpaceDE w:val="0"/>
        <w:autoSpaceDN w:val="0"/>
        <w:adjustRightInd w:val="0"/>
        <w:spacing w:after="240"/>
        <w:ind w:left="0" w:firstLine="0"/>
        <w:contextualSpacing w:val="0"/>
        <w:rPr>
          <w:rFonts w:ascii="Times New Roman" w:hAnsi="Times New Roman"/>
          <w:sz w:val="24"/>
        </w:rPr>
      </w:pPr>
      <w:r w:rsidRPr="007203A5">
        <w:rPr>
          <w:rFonts w:ascii="Times New Roman" w:hAnsi="Times New Roman"/>
          <w:b/>
          <w:sz w:val="24"/>
        </w:rPr>
        <w:t>The external audit institution, SAO, has a clear mandate to audit all central government organizations</w:t>
      </w:r>
      <w:r>
        <w:rPr>
          <w:rFonts w:ascii="Times New Roman" w:hAnsi="Times New Roman"/>
          <w:b/>
          <w:sz w:val="24"/>
        </w:rPr>
        <w:t xml:space="preserve">. </w:t>
      </w:r>
      <w:r w:rsidRPr="00CF1EC4">
        <w:rPr>
          <w:rFonts w:ascii="Times New Roman" w:hAnsi="Times New Roman"/>
          <w:sz w:val="24"/>
        </w:rPr>
        <w:t>The SAO</w:t>
      </w:r>
      <w:r w:rsidRPr="007203A5">
        <w:rPr>
          <w:rFonts w:ascii="Times New Roman" w:hAnsi="Times New Roman"/>
          <w:sz w:val="24"/>
        </w:rPr>
        <w:t xml:space="preserve"> has the power to obtain all necessary information to achieve this. </w:t>
      </w:r>
      <w:r w:rsidRPr="00177ADB">
        <w:rPr>
          <w:rFonts w:ascii="Times New Roman" w:hAnsi="Times New Roman"/>
          <w:spacing w:val="-2"/>
          <w:sz w:val="24"/>
        </w:rPr>
        <w:t>It reports to parliament semi-annually covering audit issues, and through its audit reports on the government’s annual State Budget Implementation report. It has made good progress in improving its institutional capacity and is in the process of adoption of professional standards based on international</w:t>
      </w:r>
      <w:r w:rsidRPr="007203A5">
        <w:rPr>
          <w:rFonts w:ascii="Times New Roman" w:hAnsi="Times New Roman"/>
          <w:sz w:val="24"/>
        </w:rPr>
        <w:t xml:space="preserve"> practices but its overall effectiveness and capacity and limited by the lack of resources (in number of auditors and skills) and plays a major role in the budget scrutiny and effective parliamentary scrutiny. </w:t>
      </w:r>
      <w:r>
        <w:rPr>
          <w:rFonts w:ascii="Times New Roman" w:hAnsi="Times New Roman"/>
          <w:sz w:val="24"/>
        </w:rPr>
        <w:t xml:space="preserve">It </w:t>
      </w:r>
      <w:r w:rsidRPr="007203A5">
        <w:rPr>
          <w:rFonts w:ascii="Times New Roman" w:hAnsi="Times New Roman"/>
          <w:sz w:val="24"/>
        </w:rPr>
        <w:t>receives external support</w:t>
      </w:r>
      <w:r>
        <w:rPr>
          <w:rFonts w:ascii="Times New Roman" w:hAnsi="Times New Roman"/>
          <w:sz w:val="24"/>
        </w:rPr>
        <w:t>.</w:t>
      </w:r>
    </w:p>
    <w:p w14:paraId="04998C0A" w14:textId="77777777" w:rsidR="007E2FD4" w:rsidRPr="00F8790B" w:rsidRDefault="007E2FD4" w:rsidP="00177ADB">
      <w:pPr>
        <w:pStyle w:val="Caption"/>
        <w:spacing w:before="0" w:after="0" w:line="240" w:lineRule="auto"/>
        <w:ind w:left="720"/>
        <w:rPr>
          <w:rFonts w:ascii="Times New Roman" w:hAnsi="Times New Roman"/>
          <w:color w:val="auto"/>
          <w:sz w:val="22"/>
          <w:szCs w:val="22"/>
        </w:rPr>
      </w:pPr>
      <w:bookmarkStart w:id="24" w:name="_Toc504664506"/>
      <w:r w:rsidRPr="00F8790B">
        <w:rPr>
          <w:rFonts w:ascii="Times New Roman" w:hAnsi="Times New Roman"/>
          <w:color w:val="auto"/>
          <w:sz w:val="22"/>
          <w:szCs w:val="22"/>
        </w:rPr>
        <w:t>Table 2.</w:t>
      </w:r>
      <w:r>
        <w:rPr>
          <w:rFonts w:ascii="Times New Roman" w:hAnsi="Times New Roman"/>
          <w:color w:val="auto"/>
          <w:sz w:val="22"/>
          <w:szCs w:val="22"/>
        </w:rPr>
        <w:t>4</w:t>
      </w:r>
      <w:r w:rsidRPr="00F8790B">
        <w:rPr>
          <w:rFonts w:ascii="Times New Roman" w:hAnsi="Times New Roman"/>
          <w:color w:val="auto"/>
          <w:sz w:val="22"/>
          <w:szCs w:val="22"/>
        </w:rPr>
        <w:t>: Structure of the Public Sector (number of entities</w:t>
      </w:r>
      <w:bookmarkEnd w:id="24"/>
      <w:r w:rsidR="00D1361D">
        <w:rPr>
          <w:rFonts w:ascii="Times New Roman" w:hAnsi="Times New Roman"/>
          <w:color w:val="auto"/>
          <w:sz w:val="22"/>
          <w:szCs w:val="22"/>
        </w:rPr>
        <w:t>)</w:t>
      </w:r>
    </w:p>
    <w:tbl>
      <w:tblPr>
        <w:tblStyle w:val="TableGrid"/>
        <w:tblW w:w="0" w:type="auto"/>
        <w:jc w:val="center"/>
        <w:tblBorders>
          <w:top w:val="none" w:sz="0" w:space="0" w:color="auto"/>
          <w:left w:val="none" w:sz="0" w:space="0" w:color="auto"/>
          <w:bottom w:val="none" w:sz="0" w:space="0" w:color="auto"/>
          <w:right w:val="none" w:sz="0" w:space="0" w:color="auto"/>
          <w:insideH w:val="dotted" w:sz="4" w:space="0" w:color="6CAB64"/>
          <w:insideV w:val="dotted" w:sz="4" w:space="0" w:color="6CAB64"/>
        </w:tblBorders>
        <w:shd w:val="clear" w:color="auto" w:fill="FBE4D5"/>
        <w:tblLook w:val="04A0" w:firstRow="1" w:lastRow="0" w:firstColumn="1" w:lastColumn="0" w:noHBand="0" w:noVBand="1"/>
      </w:tblPr>
      <w:tblGrid>
        <w:gridCol w:w="1355"/>
        <w:gridCol w:w="1358"/>
        <w:gridCol w:w="1464"/>
        <w:gridCol w:w="1134"/>
        <w:gridCol w:w="1701"/>
        <w:gridCol w:w="1701"/>
      </w:tblGrid>
      <w:tr w:rsidR="007E2FD4" w:rsidRPr="00CF1EC4" w14:paraId="5F39F2F3" w14:textId="77777777" w:rsidTr="00C66FE9">
        <w:trPr>
          <w:jc w:val="center"/>
        </w:trPr>
        <w:tc>
          <w:tcPr>
            <w:tcW w:w="13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9E0E5D" w14:textId="77777777" w:rsidR="007E2FD4" w:rsidRPr="00F8790B" w:rsidRDefault="007E2FD4" w:rsidP="007E2FD4">
            <w:pPr>
              <w:spacing w:before="0"/>
              <w:ind w:left="0"/>
              <w:jc w:val="left"/>
              <w:rPr>
                <w:b/>
                <w:sz w:val="22"/>
                <w:szCs w:val="22"/>
              </w:rPr>
            </w:pPr>
          </w:p>
        </w:tc>
        <w:tc>
          <w:tcPr>
            <w:tcW w:w="73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99B822" w14:textId="77777777" w:rsidR="007E2FD4" w:rsidRPr="00F8790B" w:rsidRDefault="007E2FD4" w:rsidP="007E2FD4">
            <w:pPr>
              <w:spacing w:before="0"/>
              <w:ind w:left="0"/>
              <w:jc w:val="center"/>
              <w:rPr>
                <w:b/>
                <w:sz w:val="22"/>
                <w:szCs w:val="22"/>
              </w:rPr>
            </w:pPr>
            <w:r w:rsidRPr="00F8790B">
              <w:rPr>
                <w:b/>
                <w:sz w:val="22"/>
                <w:szCs w:val="22"/>
              </w:rPr>
              <w:t>Public Sector</w:t>
            </w:r>
          </w:p>
        </w:tc>
      </w:tr>
      <w:tr w:rsidR="007E2FD4" w:rsidRPr="00CF1EC4" w14:paraId="349524D7" w14:textId="77777777" w:rsidTr="00C66FE9">
        <w:trPr>
          <w:jc w:val="center"/>
        </w:trPr>
        <w:tc>
          <w:tcPr>
            <w:tcW w:w="13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2A4532" w14:textId="77777777" w:rsidR="007E2FD4" w:rsidRPr="00F8790B" w:rsidRDefault="007E2FD4" w:rsidP="007E2FD4">
            <w:pPr>
              <w:spacing w:before="0"/>
              <w:ind w:left="0"/>
              <w:jc w:val="left"/>
              <w:rPr>
                <w:b/>
                <w:sz w:val="22"/>
                <w:szCs w:val="22"/>
              </w:rPr>
            </w:pPr>
          </w:p>
        </w:tc>
        <w:tc>
          <w:tcPr>
            <w:tcW w:w="2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AD5EBC" w14:textId="77777777" w:rsidR="007E2FD4" w:rsidRPr="00F8790B" w:rsidRDefault="007E2FD4" w:rsidP="007E2FD4">
            <w:pPr>
              <w:spacing w:before="0"/>
              <w:ind w:left="0"/>
              <w:jc w:val="center"/>
              <w:rPr>
                <w:b/>
                <w:sz w:val="22"/>
                <w:szCs w:val="22"/>
              </w:rPr>
            </w:pPr>
            <w:r w:rsidRPr="00F8790B">
              <w:rPr>
                <w:b/>
                <w:sz w:val="22"/>
                <w:szCs w:val="22"/>
              </w:rPr>
              <w:t>Government Subsector</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184EC1" w14:textId="77777777" w:rsidR="007E2FD4" w:rsidRPr="00F8790B" w:rsidRDefault="007E2FD4" w:rsidP="007E2FD4">
            <w:pPr>
              <w:spacing w:before="0"/>
              <w:ind w:left="0"/>
              <w:jc w:val="center"/>
              <w:rPr>
                <w:b/>
                <w:sz w:val="22"/>
                <w:szCs w:val="22"/>
              </w:rPr>
            </w:pPr>
            <w:r w:rsidRPr="00F8790B">
              <w:rPr>
                <w:b/>
                <w:sz w:val="22"/>
                <w:szCs w:val="22"/>
              </w:rPr>
              <w:t>Social Security Funds</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9210A4" w14:textId="77777777" w:rsidR="007E2FD4" w:rsidRPr="00F8790B" w:rsidRDefault="007E2FD4" w:rsidP="007E2FD4">
            <w:pPr>
              <w:spacing w:before="0"/>
              <w:ind w:left="0"/>
              <w:jc w:val="center"/>
              <w:rPr>
                <w:b/>
                <w:sz w:val="22"/>
                <w:szCs w:val="22"/>
              </w:rPr>
            </w:pPr>
            <w:r w:rsidRPr="00F8790B">
              <w:rPr>
                <w:b/>
                <w:sz w:val="22"/>
                <w:szCs w:val="22"/>
              </w:rPr>
              <w:t>Public Corporation Subsector</w:t>
            </w:r>
          </w:p>
        </w:tc>
      </w:tr>
      <w:tr w:rsidR="007E2FD4" w:rsidRPr="00CF1EC4" w14:paraId="648CAD67" w14:textId="77777777" w:rsidTr="00C66FE9">
        <w:trPr>
          <w:jc w:val="center"/>
        </w:trPr>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B32DF6" w14:textId="77777777" w:rsidR="007E2FD4" w:rsidRPr="00F8790B" w:rsidRDefault="007E2FD4" w:rsidP="007E2FD4">
            <w:pPr>
              <w:spacing w:before="0"/>
              <w:ind w:left="0"/>
              <w:jc w:val="left"/>
              <w:rPr>
                <w:b/>
                <w:sz w:val="22"/>
                <w:szCs w:val="22"/>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F718BF" w14:textId="77777777" w:rsidR="007E2FD4" w:rsidRPr="00F8790B" w:rsidRDefault="007E2FD4" w:rsidP="007E2FD4">
            <w:pPr>
              <w:spacing w:before="0"/>
              <w:ind w:left="0"/>
              <w:jc w:val="center"/>
              <w:rPr>
                <w:b/>
                <w:sz w:val="22"/>
                <w:szCs w:val="22"/>
              </w:rPr>
            </w:pPr>
            <w:r w:rsidRPr="00F8790B">
              <w:rPr>
                <w:b/>
                <w:sz w:val="22"/>
                <w:szCs w:val="22"/>
              </w:rPr>
              <w:t>Budgetary Unit</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7D442E" w14:textId="77777777" w:rsidR="007E2FD4" w:rsidRPr="00F8790B" w:rsidRDefault="007E2FD4" w:rsidP="007E2FD4">
            <w:pPr>
              <w:spacing w:before="0"/>
              <w:ind w:left="0"/>
              <w:jc w:val="center"/>
              <w:rPr>
                <w:b/>
                <w:sz w:val="22"/>
                <w:szCs w:val="22"/>
              </w:rPr>
            </w:pPr>
            <w:r w:rsidRPr="00F8790B">
              <w:rPr>
                <w:b/>
                <w:sz w:val="22"/>
                <w:szCs w:val="22"/>
              </w:rPr>
              <w:t>Extra-budgetary Unit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AD8F07" w14:textId="77777777" w:rsidR="007E2FD4" w:rsidRPr="00F8790B" w:rsidRDefault="007E2FD4" w:rsidP="007E2FD4">
            <w:pPr>
              <w:spacing w:before="0"/>
              <w:ind w:left="0"/>
              <w:jc w:val="center"/>
              <w:rPr>
                <w:b/>
                <w:sz w:val="22"/>
                <w:szCs w:val="22"/>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54ABC0" w14:textId="77777777" w:rsidR="007E2FD4" w:rsidRPr="00F8790B" w:rsidRDefault="007E2FD4" w:rsidP="007E2FD4">
            <w:pPr>
              <w:spacing w:before="0"/>
              <w:ind w:left="0"/>
              <w:jc w:val="center"/>
              <w:rPr>
                <w:b/>
                <w:sz w:val="22"/>
                <w:szCs w:val="22"/>
              </w:rPr>
            </w:pPr>
            <w:r w:rsidRPr="00F8790B">
              <w:rPr>
                <w:b/>
                <w:sz w:val="22"/>
                <w:szCs w:val="22"/>
              </w:rPr>
              <w:t>Non-financial Public Corporations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4DC509" w14:textId="77777777" w:rsidR="007E2FD4" w:rsidRPr="00F8790B" w:rsidRDefault="007E2FD4" w:rsidP="007E2FD4">
            <w:pPr>
              <w:spacing w:before="0"/>
              <w:ind w:left="0"/>
              <w:jc w:val="center"/>
              <w:rPr>
                <w:b/>
                <w:sz w:val="22"/>
                <w:szCs w:val="22"/>
              </w:rPr>
            </w:pPr>
            <w:r w:rsidRPr="00F8790B">
              <w:rPr>
                <w:b/>
                <w:sz w:val="22"/>
                <w:szCs w:val="22"/>
              </w:rPr>
              <w:t>Financial Public Corporations</w:t>
            </w:r>
          </w:p>
        </w:tc>
      </w:tr>
      <w:tr w:rsidR="007E2FD4" w:rsidRPr="00CF1EC4" w14:paraId="2BD1BD4B" w14:textId="77777777" w:rsidTr="00C66FE9">
        <w:trPr>
          <w:jc w:val="center"/>
        </w:trPr>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E53F09" w14:textId="77777777" w:rsidR="007E2FD4" w:rsidRPr="00CF1EC4" w:rsidRDefault="007E2FD4" w:rsidP="007E2FD4">
            <w:pPr>
              <w:spacing w:before="0"/>
              <w:ind w:left="0"/>
              <w:jc w:val="left"/>
              <w:rPr>
                <w:sz w:val="22"/>
                <w:szCs w:val="22"/>
              </w:rPr>
            </w:pPr>
            <w:r>
              <w:rPr>
                <w:sz w:val="22"/>
                <w:szCs w:val="22"/>
              </w:rPr>
              <w:t>Central</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AFDDFE" w14:textId="77777777" w:rsidR="007E2FD4" w:rsidRDefault="007E2FD4" w:rsidP="007E2FD4">
            <w:pPr>
              <w:spacing w:before="0"/>
              <w:ind w:left="0"/>
              <w:jc w:val="center"/>
              <w:rPr>
                <w:sz w:val="22"/>
                <w:szCs w:val="22"/>
              </w:rPr>
            </w:pPr>
            <w:r>
              <w:rPr>
                <w:sz w:val="22"/>
                <w:szCs w:val="22"/>
              </w:rPr>
              <w:t>35 of which:</w:t>
            </w:r>
          </w:p>
          <w:p w14:paraId="51E402B5" w14:textId="77777777" w:rsidR="007E2FD4" w:rsidRPr="00CF1EC4" w:rsidRDefault="007E2FD4" w:rsidP="007E2FD4">
            <w:pPr>
              <w:spacing w:before="0"/>
              <w:ind w:left="0"/>
              <w:jc w:val="center"/>
              <w:rPr>
                <w:sz w:val="22"/>
                <w:szCs w:val="22"/>
              </w:rPr>
            </w:pPr>
            <w:r>
              <w:rPr>
                <w:sz w:val="22"/>
                <w:szCs w:val="22"/>
              </w:rPr>
              <w:t>17 ministries and 18 Provinces</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348C4C1" w14:textId="77777777" w:rsidR="007E2FD4" w:rsidRPr="00CF1EC4" w:rsidRDefault="007E2FD4" w:rsidP="007E2FD4">
            <w:pPr>
              <w:spacing w:before="0"/>
              <w:ind w:left="0"/>
              <w:jc w:val="center"/>
              <w:rPr>
                <w:sz w:val="22"/>
                <w:szCs w:val="22"/>
              </w:rPr>
            </w:pPr>
            <w:r>
              <w:rPr>
                <w:sz w:val="22"/>
                <w:szCs w:val="22"/>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9B0E247" w14:textId="77777777" w:rsidR="007E2FD4" w:rsidRPr="00CF1EC4" w:rsidRDefault="00C66FE9" w:rsidP="007E2FD4">
            <w:pPr>
              <w:spacing w:before="0"/>
              <w:ind w:left="0"/>
              <w:jc w:val="center"/>
              <w:rPr>
                <w:sz w:val="22"/>
                <w:szCs w:val="22"/>
              </w:rPr>
            </w:pPr>
            <w:r>
              <w:rPr>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E5802D" w14:textId="77777777" w:rsidR="007E2FD4" w:rsidRPr="00D4304D" w:rsidRDefault="007E2FD4" w:rsidP="007E2FD4">
            <w:pPr>
              <w:spacing w:before="0"/>
              <w:ind w:left="0"/>
              <w:jc w:val="center"/>
              <w:rPr>
                <w:sz w:val="22"/>
                <w:szCs w:val="22"/>
              </w:rPr>
            </w:pPr>
            <w:r w:rsidRPr="00D4304D">
              <w:rPr>
                <w:sz w:val="22"/>
                <w:szCs w:val="22"/>
              </w:rPr>
              <w:t>180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733C01" w14:textId="77777777" w:rsidR="007E2FD4" w:rsidRPr="00D4304D" w:rsidRDefault="007E2FD4" w:rsidP="007E2FD4">
            <w:pPr>
              <w:spacing w:before="0"/>
              <w:ind w:left="0"/>
              <w:jc w:val="center"/>
              <w:rPr>
                <w:sz w:val="22"/>
                <w:szCs w:val="22"/>
              </w:rPr>
            </w:pPr>
            <w:r w:rsidRPr="00D4304D">
              <w:rPr>
                <w:sz w:val="22"/>
                <w:szCs w:val="22"/>
              </w:rPr>
              <w:t>3</w:t>
            </w:r>
          </w:p>
        </w:tc>
      </w:tr>
      <w:tr w:rsidR="007E2FD4" w:rsidRPr="00CF1EC4" w14:paraId="44FA8DF9" w14:textId="77777777" w:rsidTr="00C66FE9">
        <w:trPr>
          <w:jc w:val="center"/>
        </w:trPr>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57B24D" w14:textId="77777777" w:rsidR="007E2FD4" w:rsidRPr="00CF1EC4" w:rsidRDefault="007E2FD4" w:rsidP="007E2FD4">
            <w:pPr>
              <w:spacing w:before="0"/>
              <w:ind w:left="0"/>
              <w:jc w:val="left"/>
              <w:rPr>
                <w:sz w:val="22"/>
                <w:szCs w:val="22"/>
              </w:rPr>
            </w:pPr>
            <w:proofErr w:type="spellStart"/>
            <w:r>
              <w:rPr>
                <w:sz w:val="22"/>
                <w:szCs w:val="22"/>
              </w:rPr>
              <w:t>Ist</w:t>
            </w:r>
            <w:proofErr w:type="spellEnd"/>
            <w:r>
              <w:rPr>
                <w:sz w:val="22"/>
                <w:szCs w:val="22"/>
              </w:rPr>
              <w:t xml:space="preserve"> Tier subnational</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5FF576" w14:textId="77777777" w:rsidR="007E2FD4" w:rsidRPr="00CF1EC4" w:rsidRDefault="007E2FD4" w:rsidP="007E2FD4">
            <w:pPr>
              <w:spacing w:before="0"/>
              <w:ind w:left="0"/>
              <w:jc w:val="center"/>
              <w:rPr>
                <w:sz w:val="22"/>
                <w:szCs w:val="22"/>
              </w:rPr>
            </w:pPr>
            <w:r>
              <w:rPr>
                <w:sz w:val="22"/>
                <w:szCs w:val="22"/>
              </w:rPr>
              <w:t>148 Districts</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588044" w14:textId="77777777" w:rsidR="007E2FD4" w:rsidRPr="00CF1EC4" w:rsidRDefault="007E2FD4" w:rsidP="007E2FD4">
            <w:pPr>
              <w:spacing w:before="0"/>
              <w:ind w:left="0"/>
              <w:jc w:val="center"/>
              <w:rPr>
                <w:sz w:val="22"/>
                <w:szCs w:val="22"/>
              </w:rPr>
            </w:pPr>
            <w:r>
              <w:rPr>
                <w:sz w:val="22"/>
                <w:szCs w:val="22"/>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93D86B9" w14:textId="77777777" w:rsidR="007E2FD4" w:rsidRPr="00CF1EC4" w:rsidRDefault="007E2FD4" w:rsidP="007E2FD4">
            <w:pPr>
              <w:spacing w:before="0"/>
              <w:ind w:left="0"/>
              <w:jc w:val="center"/>
              <w:rPr>
                <w:color w:val="000000" w:themeColor="text1"/>
                <w:sz w:val="22"/>
                <w:szCs w:val="22"/>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662EC4" w14:textId="77777777" w:rsidR="007E2FD4" w:rsidRPr="00CF1EC4" w:rsidRDefault="007E2FD4" w:rsidP="007E2FD4">
            <w:pPr>
              <w:spacing w:before="0"/>
              <w:ind w:left="0"/>
              <w:jc w:val="center"/>
              <w:rPr>
                <w:sz w:val="22"/>
                <w:szCs w:val="22"/>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31CDA96" w14:textId="77777777" w:rsidR="007E2FD4" w:rsidRPr="00CF1EC4" w:rsidRDefault="007E2FD4" w:rsidP="007E2FD4">
            <w:pPr>
              <w:spacing w:before="0"/>
              <w:ind w:left="0"/>
              <w:jc w:val="center"/>
              <w:rPr>
                <w:sz w:val="22"/>
                <w:szCs w:val="22"/>
              </w:rPr>
            </w:pPr>
          </w:p>
        </w:tc>
      </w:tr>
      <w:tr w:rsidR="007E2FD4" w:rsidRPr="00CF1EC4" w14:paraId="05DFA62D" w14:textId="77777777" w:rsidTr="00C66FE9">
        <w:trPr>
          <w:jc w:val="center"/>
        </w:trPr>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256F5C" w14:textId="77777777" w:rsidR="007E2FD4" w:rsidRPr="00CF1EC4" w:rsidRDefault="007E2FD4" w:rsidP="007E2FD4">
            <w:pPr>
              <w:spacing w:before="0"/>
              <w:ind w:left="0"/>
              <w:jc w:val="left"/>
              <w:rPr>
                <w:sz w:val="22"/>
                <w:szCs w:val="22"/>
              </w:rPr>
            </w:pPr>
            <w:r>
              <w:rPr>
                <w:sz w:val="22"/>
                <w:szCs w:val="22"/>
              </w:rPr>
              <w:t>Lower Level of subnational</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2DF776" w14:textId="77777777" w:rsidR="007E2FD4" w:rsidRPr="00CF1EC4" w:rsidRDefault="007E2FD4" w:rsidP="007E2FD4">
            <w:pPr>
              <w:spacing w:before="0"/>
              <w:ind w:left="0"/>
              <w:jc w:val="center"/>
              <w:rPr>
                <w:sz w:val="22"/>
                <w:szCs w:val="22"/>
              </w:rPr>
            </w:pPr>
            <w:r>
              <w:rPr>
                <w:sz w:val="22"/>
                <w:szCs w:val="22"/>
              </w:rPr>
              <w:t>0</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C7B37F1" w14:textId="77777777" w:rsidR="007E2FD4" w:rsidRPr="00CF1EC4" w:rsidRDefault="007E2FD4" w:rsidP="007E2FD4">
            <w:pPr>
              <w:spacing w:before="0"/>
              <w:ind w:left="0"/>
              <w:jc w:val="center"/>
              <w:rPr>
                <w:sz w:val="22"/>
                <w:szCs w:val="22"/>
              </w:rPr>
            </w:pPr>
            <w:r>
              <w:rPr>
                <w:sz w:val="22"/>
                <w:szCs w:val="22"/>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1DFCBB" w14:textId="77777777" w:rsidR="007E2FD4" w:rsidRPr="00CF1EC4" w:rsidRDefault="007E2FD4" w:rsidP="007E2FD4">
            <w:pPr>
              <w:spacing w:before="0"/>
              <w:ind w:left="0"/>
              <w:jc w:val="center"/>
              <w:rPr>
                <w:sz w:val="22"/>
                <w:szCs w:val="22"/>
              </w:rPr>
            </w:pP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75663A" w14:textId="77777777" w:rsidR="007E2FD4" w:rsidRPr="00CF1EC4" w:rsidRDefault="007E2FD4" w:rsidP="007E2FD4">
            <w:pPr>
              <w:spacing w:before="0"/>
              <w:ind w:left="0"/>
              <w:jc w:val="center"/>
              <w:rPr>
                <w:sz w:val="22"/>
                <w:szCs w:val="22"/>
              </w:rPr>
            </w:pPr>
          </w:p>
        </w:tc>
      </w:tr>
    </w:tbl>
    <w:p w14:paraId="6FF6BD6C" w14:textId="77777777" w:rsidR="007E2FD4" w:rsidRPr="00623C3A" w:rsidRDefault="007E2FD4" w:rsidP="007E2FD4">
      <w:pPr>
        <w:pStyle w:val="Caption"/>
        <w:spacing w:before="0" w:after="0" w:line="240" w:lineRule="auto"/>
        <w:ind w:left="0"/>
        <w:jc w:val="both"/>
        <w:rPr>
          <w:rFonts w:ascii="Times New Roman" w:hAnsi="Times New Roman"/>
          <w:color w:val="auto"/>
          <w:sz w:val="22"/>
          <w:szCs w:val="22"/>
        </w:rPr>
      </w:pPr>
    </w:p>
    <w:p w14:paraId="67CDD776" w14:textId="77777777" w:rsidR="007E2FD4" w:rsidRPr="00F8790B" w:rsidRDefault="007E2FD4" w:rsidP="007E2FD4">
      <w:pPr>
        <w:pStyle w:val="Caption"/>
        <w:spacing w:before="0" w:after="0" w:line="240" w:lineRule="auto"/>
        <w:ind w:left="0"/>
        <w:rPr>
          <w:rFonts w:ascii="Times New Roman" w:hAnsi="Times New Roman"/>
          <w:color w:val="auto"/>
          <w:sz w:val="22"/>
          <w:szCs w:val="22"/>
        </w:rPr>
      </w:pPr>
      <w:bookmarkStart w:id="25" w:name="_Toc504664507"/>
      <w:r w:rsidRPr="00F8790B">
        <w:rPr>
          <w:rFonts w:ascii="Times New Roman" w:hAnsi="Times New Roman"/>
          <w:color w:val="auto"/>
          <w:sz w:val="22"/>
          <w:szCs w:val="22"/>
        </w:rPr>
        <w:t>Table 2.</w:t>
      </w:r>
      <w:r>
        <w:rPr>
          <w:rFonts w:ascii="Times New Roman" w:hAnsi="Times New Roman"/>
          <w:color w:val="auto"/>
          <w:sz w:val="22"/>
          <w:szCs w:val="22"/>
        </w:rPr>
        <w:t>5</w:t>
      </w:r>
      <w:r w:rsidRPr="00F8790B">
        <w:rPr>
          <w:rFonts w:ascii="Times New Roman" w:hAnsi="Times New Roman"/>
          <w:color w:val="auto"/>
          <w:sz w:val="22"/>
          <w:szCs w:val="22"/>
        </w:rPr>
        <w:t>: Financial Structure of Central Government – Actual Expenditure</w:t>
      </w:r>
      <w:bookmarkEnd w:id="25"/>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E4D5"/>
        <w:tblLook w:val="04A0" w:firstRow="1" w:lastRow="0" w:firstColumn="1" w:lastColumn="0" w:noHBand="0" w:noVBand="1"/>
      </w:tblPr>
      <w:tblGrid>
        <w:gridCol w:w="3260"/>
        <w:gridCol w:w="13"/>
        <w:gridCol w:w="1583"/>
        <w:gridCol w:w="1328"/>
        <w:gridCol w:w="1536"/>
        <w:gridCol w:w="1296"/>
      </w:tblGrid>
      <w:tr w:rsidR="007E2FD4" w:rsidRPr="00F8790B" w14:paraId="0446B6F0" w14:textId="77777777" w:rsidTr="00D1361D">
        <w:trPr>
          <w:jc w:val="center"/>
        </w:trPr>
        <w:tc>
          <w:tcPr>
            <w:tcW w:w="3338" w:type="dxa"/>
            <w:shd w:val="clear" w:color="auto" w:fill="FFFFFF" w:themeFill="background1"/>
            <w:vAlign w:val="center"/>
          </w:tcPr>
          <w:p w14:paraId="5ECFB430" w14:textId="77777777" w:rsidR="007E2FD4" w:rsidRPr="00F8790B" w:rsidRDefault="007E2FD4" w:rsidP="007E2FD4">
            <w:pPr>
              <w:spacing w:before="0"/>
              <w:ind w:left="0"/>
              <w:jc w:val="left"/>
              <w:rPr>
                <w:b/>
                <w:sz w:val="22"/>
                <w:szCs w:val="22"/>
              </w:rPr>
            </w:pPr>
            <w:r w:rsidRPr="00F8790B">
              <w:rPr>
                <w:b/>
                <w:sz w:val="22"/>
                <w:szCs w:val="22"/>
              </w:rPr>
              <w:t>201</w:t>
            </w:r>
            <w:r w:rsidR="00D13368">
              <w:rPr>
                <w:b/>
                <w:sz w:val="22"/>
                <w:szCs w:val="22"/>
              </w:rPr>
              <w:t>7</w:t>
            </w:r>
            <w:r w:rsidRPr="00F8790B">
              <w:rPr>
                <w:b/>
                <w:sz w:val="22"/>
                <w:szCs w:val="22"/>
              </w:rPr>
              <w:t>: Budget Estimates</w:t>
            </w:r>
          </w:p>
        </w:tc>
        <w:tc>
          <w:tcPr>
            <w:tcW w:w="5616" w:type="dxa"/>
            <w:gridSpan w:val="5"/>
            <w:shd w:val="clear" w:color="auto" w:fill="FFFFFF" w:themeFill="background1"/>
            <w:vAlign w:val="center"/>
          </w:tcPr>
          <w:p w14:paraId="61408BF9" w14:textId="77777777" w:rsidR="007E2FD4" w:rsidRPr="00F8790B" w:rsidRDefault="007E2FD4" w:rsidP="007E2FD4">
            <w:pPr>
              <w:spacing w:before="0"/>
              <w:ind w:left="0"/>
              <w:jc w:val="center"/>
              <w:rPr>
                <w:b/>
                <w:sz w:val="22"/>
                <w:szCs w:val="22"/>
              </w:rPr>
            </w:pPr>
            <w:r w:rsidRPr="00F8790B">
              <w:rPr>
                <w:b/>
                <w:sz w:val="22"/>
                <w:szCs w:val="22"/>
              </w:rPr>
              <w:t>Central Government (</w:t>
            </w:r>
            <w:r>
              <w:rPr>
                <w:b/>
                <w:sz w:val="22"/>
                <w:szCs w:val="22"/>
              </w:rPr>
              <w:t>Kip m</w:t>
            </w:r>
            <w:r w:rsidRPr="00F8790B">
              <w:rPr>
                <w:b/>
                <w:sz w:val="22"/>
                <w:szCs w:val="22"/>
              </w:rPr>
              <w:t>illion)</w:t>
            </w:r>
          </w:p>
        </w:tc>
      </w:tr>
      <w:tr w:rsidR="007E2FD4" w:rsidRPr="00F8790B" w14:paraId="0583ECC8" w14:textId="77777777" w:rsidTr="00D1361D">
        <w:trPr>
          <w:jc w:val="center"/>
        </w:trPr>
        <w:tc>
          <w:tcPr>
            <w:tcW w:w="3351" w:type="dxa"/>
            <w:gridSpan w:val="2"/>
            <w:shd w:val="clear" w:color="auto" w:fill="FFFFFF" w:themeFill="background1"/>
            <w:vAlign w:val="center"/>
          </w:tcPr>
          <w:p w14:paraId="27E4C2BF" w14:textId="77777777" w:rsidR="007E2FD4" w:rsidRPr="00F8790B" w:rsidRDefault="007E2FD4" w:rsidP="007E2FD4">
            <w:pPr>
              <w:spacing w:before="0"/>
              <w:ind w:left="0"/>
              <w:jc w:val="left"/>
              <w:rPr>
                <w:b/>
                <w:sz w:val="22"/>
                <w:szCs w:val="22"/>
              </w:rPr>
            </w:pPr>
          </w:p>
        </w:tc>
        <w:tc>
          <w:tcPr>
            <w:tcW w:w="1594" w:type="dxa"/>
            <w:shd w:val="clear" w:color="auto" w:fill="FFFFFF" w:themeFill="background1"/>
            <w:vAlign w:val="center"/>
          </w:tcPr>
          <w:p w14:paraId="0E0FDDA6" w14:textId="77777777" w:rsidR="007E2FD4" w:rsidRPr="00F8790B" w:rsidRDefault="007E2FD4" w:rsidP="007E2FD4">
            <w:pPr>
              <w:spacing w:before="0"/>
              <w:ind w:left="0"/>
              <w:jc w:val="center"/>
              <w:rPr>
                <w:b/>
                <w:sz w:val="22"/>
                <w:szCs w:val="22"/>
              </w:rPr>
            </w:pPr>
            <w:r w:rsidRPr="00F8790B">
              <w:rPr>
                <w:b/>
                <w:sz w:val="22"/>
                <w:szCs w:val="22"/>
              </w:rPr>
              <w:t>Budgetary operations</w:t>
            </w:r>
          </w:p>
        </w:tc>
        <w:tc>
          <w:tcPr>
            <w:tcW w:w="1330" w:type="dxa"/>
            <w:shd w:val="clear" w:color="auto" w:fill="FFFFFF" w:themeFill="background1"/>
            <w:vAlign w:val="center"/>
          </w:tcPr>
          <w:p w14:paraId="11B6EEFE" w14:textId="77777777" w:rsidR="007E2FD4" w:rsidRPr="00F8790B" w:rsidRDefault="007E2FD4" w:rsidP="007E2FD4">
            <w:pPr>
              <w:spacing w:before="0"/>
              <w:ind w:left="0"/>
              <w:jc w:val="center"/>
              <w:rPr>
                <w:b/>
                <w:sz w:val="22"/>
                <w:szCs w:val="22"/>
              </w:rPr>
            </w:pPr>
            <w:r w:rsidRPr="00F8790B">
              <w:rPr>
                <w:b/>
                <w:sz w:val="22"/>
                <w:szCs w:val="22"/>
              </w:rPr>
              <w:t>Extra-budgetary operations</w:t>
            </w:r>
          </w:p>
        </w:tc>
        <w:tc>
          <w:tcPr>
            <w:tcW w:w="1419" w:type="dxa"/>
            <w:shd w:val="clear" w:color="auto" w:fill="FFFFFF" w:themeFill="background1"/>
            <w:vAlign w:val="center"/>
          </w:tcPr>
          <w:p w14:paraId="31FB36E7" w14:textId="77777777" w:rsidR="007E2FD4" w:rsidRPr="00F8790B" w:rsidRDefault="007E2FD4" w:rsidP="007E2FD4">
            <w:pPr>
              <w:spacing w:before="0"/>
              <w:ind w:left="0"/>
              <w:jc w:val="center"/>
              <w:rPr>
                <w:b/>
                <w:sz w:val="22"/>
                <w:szCs w:val="22"/>
              </w:rPr>
            </w:pPr>
            <w:r w:rsidRPr="00F8790B">
              <w:rPr>
                <w:b/>
                <w:sz w:val="22"/>
                <w:szCs w:val="22"/>
              </w:rPr>
              <w:t>Social security funds</w:t>
            </w:r>
          </w:p>
        </w:tc>
        <w:tc>
          <w:tcPr>
            <w:tcW w:w="1260" w:type="dxa"/>
            <w:shd w:val="clear" w:color="auto" w:fill="FFFFFF" w:themeFill="background1"/>
            <w:vAlign w:val="center"/>
          </w:tcPr>
          <w:p w14:paraId="0D761157" w14:textId="77777777" w:rsidR="007E2FD4" w:rsidRPr="00F8790B" w:rsidRDefault="007E2FD4" w:rsidP="007E2FD4">
            <w:pPr>
              <w:spacing w:before="0"/>
              <w:ind w:left="0"/>
              <w:jc w:val="center"/>
              <w:rPr>
                <w:b/>
                <w:sz w:val="22"/>
                <w:szCs w:val="22"/>
              </w:rPr>
            </w:pPr>
            <w:r w:rsidRPr="00F8790B">
              <w:rPr>
                <w:b/>
                <w:sz w:val="22"/>
                <w:szCs w:val="22"/>
              </w:rPr>
              <w:t>Total aggregated</w:t>
            </w:r>
          </w:p>
        </w:tc>
      </w:tr>
      <w:tr w:rsidR="007E2FD4" w:rsidRPr="00CF1EC4" w14:paraId="0BB9F9DC" w14:textId="77777777" w:rsidTr="00D1361D">
        <w:trPr>
          <w:jc w:val="center"/>
        </w:trPr>
        <w:tc>
          <w:tcPr>
            <w:tcW w:w="3338" w:type="dxa"/>
            <w:shd w:val="clear" w:color="auto" w:fill="F2F2F2" w:themeFill="background1" w:themeFillShade="F2"/>
            <w:vAlign w:val="center"/>
          </w:tcPr>
          <w:p w14:paraId="311F74A5" w14:textId="77777777" w:rsidR="007E2FD4" w:rsidRPr="00FA4ACE" w:rsidRDefault="007E2FD4" w:rsidP="007E2FD4">
            <w:pPr>
              <w:spacing w:before="0"/>
              <w:ind w:left="0"/>
              <w:jc w:val="left"/>
              <w:rPr>
                <w:sz w:val="22"/>
                <w:szCs w:val="22"/>
              </w:rPr>
            </w:pPr>
            <w:r w:rsidRPr="00FA4ACE">
              <w:rPr>
                <w:sz w:val="22"/>
                <w:szCs w:val="22"/>
              </w:rPr>
              <w:t>Revenue</w:t>
            </w:r>
          </w:p>
        </w:tc>
        <w:tc>
          <w:tcPr>
            <w:tcW w:w="1607" w:type="dxa"/>
            <w:gridSpan w:val="2"/>
            <w:shd w:val="clear" w:color="auto" w:fill="F2F2F2" w:themeFill="background1" w:themeFillShade="F2"/>
          </w:tcPr>
          <w:p w14:paraId="1ECABC6E" w14:textId="77777777" w:rsidR="007E2FD4" w:rsidRPr="001B00EA" w:rsidRDefault="00310D44" w:rsidP="00177ADB">
            <w:pPr>
              <w:spacing w:before="120"/>
              <w:ind w:left="0"/>
              <w:jc w:val="center"/>
              <w:rPr>
                <w:sz w:val="22"/>
                <w:szCs w:val="22"/>
              </w:rPr>
            </w:pPr>
            <w:r w:rsidRPr="00310D44">
              <w:rPr>
                <w:szCs w:val="22"/>
              </w:rPr>
              <w:t>31,463,000</w:t>
            </w:r>
          </w:p>
        </w:tc>
        <w:tc>
          <w:tcPr>
            <w:tcW w:w="1330" w:type="dxa"/>
            <w:shd w:val="clear" w:color="auto" w:fill="F2F2F2" w:themeFill="background1" w:themeFillShade="F2"/>
          </w:tcPr>
          <w:p w14:paraId="62AB7D4F" w14:textId="77777777" w:rsidR="007E2FD4" w:rsidRPr="001B00EA" w:rsidRDefault="00310D44" w:rsidP="00177ADB">
            <w:pPr>
              <w:spacing w:before="120"/>
              <w:ind w:left="0"/>
              <w:jc w:val="center"/>
              <w:rPr>
                <w:sz w:val="22"/>
                <w:szCs w:val="22"/>
              </w:rPr>
            </w:pPr>
            <w:r w:rsidRPr="00310D44">
              <w:rPr>
                <w:szCs w:val="22"/>
              </w:rPr>
              <w:t>458,699</w:t>
            </w:r>
          </w:p>
        </w:tc>
        <w:tc>
          <w:tcPr>
            <w:tcW w:w="1419" w:type="dxa"/>
            <w:shd w:val="clear" w:color="auto" w:fill="F2F2F2" w:themeFill="background1" w:themeFillShade="F2"/>
          </w:tcPr>
          <w:p w14:paraId="67F32620" w14:textId="77777777" w:rsidR="007E2FD4" w:rsidRPr="001B00EA" w:rsidRDefault="00784AD7" w:rsidP="00177ADB">
            <w:pPr>
              <w:spacing w:before="120"/>
              <w:ind w:left="0"/>
              <w:jc w:val="center"/>
              <w:rPr>
                <w:sz w:val="22"/>
                <w:szCs w:val="22"/>
              </w:rPr>
            </w:pPr>
            <w:r w:rsidRPr="00776F20">
              <w:rPr>
                <w:szCs w:val="22"/>
              </w:rPr>
              <w:t>Unavailable</w:t>
            </w:r>
            <w:r w:rsidRPr="001B00EA">
              <w:rPr>
                <w:rStyle w:val="FootnoteReference"/>
                <w:szCs w:val="22"/>
              </w:rPr>
              <w:footnoteReference w:id="17"/>
            </w:r>
          </w:p>
        </w:tc>
        <w:tc>
          <w:tcPr>
            <w:tcW w:w="1260" w:type="dxa"/>
            <w:shd w:val="clear" w:color="auto" w:fill="F2F2F2" w:themeFill="background1" w:themeFillShade="F2"/>
            <w:vAlign w:val="bottom"/>
          </w:tcPr>
          <w:p w14:paraId="760A7F13" w14:textId="77777777" w:rsidR="007E2FD4" w:rsidRPr="00255C63" w:rsidRDefault="007E2FD4" w:rsidP="00177ADB">
            <w:pPr>
              <w:spacing w:before="120"/>
              <w:ind w:left="0"/>
              <w:jc w:val="center"/>
              <w:rPr>
                <w:color w:val="000000"/>
                <w:sz w:val="22"/>
                <w:szCs w:val="22"/>
              </w:rPr>
            </w:pPr>
            <w:r w:rsidRPr="00776F20">
              <w:rPr>
                <w:color w:val="000000"/>
                <w:szCs w:val="22"/>
              </w:rPr>
              <w:t>21,216,847</w:t>
            </w:r>
          </w:p>
        </w:tc>
      </w:tr>
      <w:tr w:rsidR="007E2FD4" w:rsidRPr="00CF1EC4" w14:paraId="47D714E5" w14:textId="77777777" w:rsidTr="00D1361D">
        <w:trPr>
          <w:jc w:val="center"/>
        </w:trPr>
        <w:tc>
          <w:tcPr>
            <w:tcW w:w="3338" w:type="dxa"/>
            <w:shd w:val="clear" w:color="auto" w:fill="F2F2F2" w:themeFill="background1" w:themeFillShade="F2"/>
            <w:vAlign w:val="center"/>
          </w:tcPr>
          <w:p w14:paraId="78B32D6F" w14:textId="77777777" w:rsidR="007E2FD4" w:rsidRPr="00FA4ACE" w:rsidRDefault="007E2FD4" w:rsidP="007E2FD4">
            <w:pPr>
              <w:spacing w:before="0"/>
              <w:ind w:left="0"/>
              <w:jc w:val="left"/>
              <w:rPr>
                <w:sz w:val="22"/>
                <w:szCs w:val="22"/>
              </w:rPr>
            </w:pPr>
            <w:r w:rsidRPr="00FA4ACE">
              <w:rPr>
                <w:sz w:val="22"/>
                <w:szCs w:val="22"/>
              </w:rPr>
              <w:t>Expenditure</w:t>
            </w:r>
          </w:p>
        </w:tc>
        <w:tc>
          <w:tcPr>
            <w:tcW w:w="1607" w:type="dxa"/>
            <w:gridSpan w:val="2"/>
            <w:shd w:val="clear" w:color="auto" w:fill="F2F2F2" w:themeFill="background1" w:themeFillShade="F2"/>
          </w:tcPr>
          <w:p w14:paraId="0CE2E43A" w14:textId="77777777" w:rsidR="007E2FD4" w:rsidRPr="001B00EA" w:rsidRDefault="00310D44" w:rsidP="00177ADB">
            <w:pPr>
              <w:spacing w:before="120"/>
              <w:ind w:left="0"/>
              <w:jc w:val="center"/>
              <w:rPr>
                <w:sz w:val="22"/>
                <w:szCs w:val="22"/>
              </w:rPr>
            </w:pPr>
            <w:r w:rsidRPr="00310D44">
              <w:rPr>
                <w:szCs w:val="22"/>
              </w:rPr>
              <w:t>32,402,000</w:t>
            </w:r>
          </w:p>
        </w:tc>
        <w:tc>
          <w:tcPr>
            <w:tcW w:w="1330" w:type="dxa"/>
            <w:shd w:val="clear" w:color="auto" w:fill="F2F2F2" w:themeFill="background1" w:themeFillShade="F2"/>
          </w:tcPr>
          <w:p w14:paraId="775A43EF" w14:textId="77777777" w:rsidR="007E2FD4" w:rsidRPr="001B00EA" w:rsidRDefault="00310D44" w:rsidP="00177ADB">
            <w:pPr>
              <w:spacing w:before="120"/>
              <w:ind w:left="0"/>
              <w:jc w:val="center"/>
              <w:rPr>
                <w:sz w:val="22"/>
                <w:szCs w:val="22"/>
              </w:rPr>
            </w:pPr>
            <w:r w:rsidRPr="00310D44">
              <w:rPr>
                <w:szCs w:val="22"/>
              </w:rPr>
              <w:t>458,659</w:t>
            </w:r>
          </w:p>
        </w:tc>
        <w:tc>
          <w:tcPr>
            <w:tcW w:w="1419" w:type="dxa"/>
            <w:shd w:val="clear" w:color="auto" w:fill="F2F2F2" w:themeFill="background1" w:themeFillShade="F2"/>
          </w:tcPr>
          <w:p w14:paraId="5CED10DF" w14:textId="77777777" w:rsidR="007E2FD4" w:rsidRPr="00255C63" w:rsidRDefault="00784AD7" w:rsidP="00177ADB">
            <w:pPr>
              <w:spacing w:before="120"/>
              <w:ind w:left="0"/>
              <w:jc w:val="center"/>
              <w:rPr>
                <w:sz w:val="22"/>
                <w:szCs w:val="22"/>
              </w:rPr>
            </w:pPr>
            <w:r w:rsidRPr="00776F20">
              <w:rPr>
                <w:szCs w:val="22"/>
              </w:rPr>
              <w:t>Unavailable</w:t>
            </w:r>
          </w:p>
        </w:tc>
        <w:tc>
          <w:tcPr>
            <w:tcW w:w="1260" w:type="dxa"/>
            <w:shd w:val="clear" w:color="auto" w:fill="F2F2F2" w:themeFill="background1" w:themeFillShade="F2"/>
            <w:vAlign w:val="bottom"/>
          </w:tcPr>
          <w:p w14:paraId="0DAD2E54" w14:textId="77777777" w:rsidR="007E2FD4" w:rsidRPr="001B00EA" w:rsidRDefault="00310D44" w:rsidP="00177ADB">
            <w:pPr>
              <w:spacing w:before="120"/>
              <w:ind w:left="0"/>
              <w:jc w:val="center"/>
              <w:rPr>
                <w:color w:val="000000"/>
                <w:sz w:val="22"/>
                <w:szCs w:val="22"/>
              </w:rPr>
            </w:pPr>
            <w:r>
              <w:rPr>
                <w:color w:val="000000"/>
                <w:szCs w:val="22"/>
              </w:rPr>
              <w:t>32,834,206</w:t>
            </w:r>
          </w:p>
        </w:tc>
      </w:tr>
      <w:tr w:rsidR="007E2FD4" w:rsidRPr="00CF1EC4" w14:paraId="6A63D324" w14:textId="77777777" w:rsidTr="00D1361D">
        <w:trPr>
          <w:jc w:val="center"/>
        </w:trPr>
        <w:tc>
          <w:tcPr>
            <w:tcW w:w="3338" w:type="dxa"/>
            <w:shd w:val="clear" w:color="auto" w:fill="F2F2F2" w:themeFill="background1" w:themeFillShade="F2"/>
            <w:vAlign w:val="center"/>
          </w:tcPr>
          <w:p w14:paraId="214980DE" w14:textId="77777777" w:rsidR="007E2FD4" w:rsidRPr="00FA4ACE" w:rsidRDefault="007E2FD4" w:rsidP="007E2FD4">
            <w:pPr>
              <w:spacing w:before="0"/>
              <w:ind w:left="0"/>
              <w:jc w:val="left"/>
              <w:rPr>
                <w:sz w:val="22"/>
                <w:szCs w:val="22"/>
              </w:rPr>
            </w:pPr>
            <w:r w:rsidRPr="00FA4ACE">
              <w:rPr>
                <w:sz w:val="22"/>
                <w:szCs w:val="22"/>
              </w:rPr>
              <w:t>Transfers to (-) and from (+) other units of general gov’t</w:t>
            </w:r>
          </w:p>
        </w:tc>
        <w:tc>
          <w:tcPr>
            <w:tcW w:w="1607" w:type="dxa"/>
            <w:gridSpan w:val="2"/>
            <w:shd w:val="clear" w:color="auto" w:fill="F2F2F2" w:themeFill="background1" w:themeFillShade="F2"/>
            <w:vAlign w:val="center"/>
          </w:tcPr>
          <w:p w14:paraId="1BE178CD" w14:textId="77777777" w:rsidR="007E2FD4" w:rsidRPr="00CF1EC4" w:rsidRDefault="007E2FD4" w:rsidP="00177ADB">
            <w:pPr>
              <w:spacing w:before="120"/>
              <w:ind w:left="0"/>
              <w:jc w:val="center"/>
              <w:rPr>
                <w:sz w:val="22"/>
                <w:szCs w:val="22"/>
              </w:rPr>
            </w:pPr>
            <w:r>
              <w:rPr>
                <w:sz w:val="22"/>
                <w:szCs w:val="22"/>
              </w:rPr>
              <w:t>Unavailable</w:t>
            </w:r>
          </w:p>
        </w:tc>
        <w:tc>
          <w:tcPr>
            <w:tcW w:w="1330" w:type="dxa"/>
            <w:shd w:val="clear" w:color="auto" w:fill="F2F2F2" w:themeFill="background1" w:themeFillShade="F2"/>
            <w:vAlign w:val="center"/>
          </w:tcPr>
          <w:p w14:paraId="33E41422" w14:textId="77777777" w:rsidR="007E2FD4" w:rsidRPr="00CF1EC4" w:rsidRDefault="007E2FD4" w:rsidP="00177ADB">
            <w:pPr>
              <w:spacing w:before="120"/>
              <w:ind w:left="0"/>
              <w:jc w:val="center"/>
              <w:rPr>
                <w:sz w:val="22"/>
                <w:szCs w:val="22"/>
              </w:rPr>
            </w:pPr>
            <w:r>
              <w:rPr>
                <w:sz w:val="22"/>
                <w:szCs w:val="22"/>
              </w:rPr>
              <w:t>Unavailable</w:t>
            </w:r>
          </w:p>
        </w:tc>
        <w:tc>
          <w:tcPr>
            <w:tcW w:w="1419" w:type="dxa"/>
            <w:shd w:val="clear" w:color="auto" w:fill="F2F2F2" w:themeFill="background1" w:themeFillShade="F2"/>
            <w:vAlign w:val="center"/>
          </w:tcPr>
          <w:p w14:paraId="4FE53704" w14:textId="77777777" w:rsidR="007E2FD4" w:rsidRPr="00CF1EC4" w:rsidRDefault="007E2FD4" w:rsidP="007E2FD4">
            <w:pPr>
              <w:spacing w:before="0"/>
              <w:ind w:left="0"/>
              <w:jc w:val="right"/>
              <w:rPr>
                <w:sz w:val="22"/>
                <w:szCs w:val="22"/>
              </w:rPr>
            </w:pPr>
          </w:p>
        </w:tc>
        <w:tc>
          <w:tcPr>
            <w:tcW w:w="1260" w:type="dxa"/>
            <w:shd w:val="clear" w:color="auto" w:fill="F2F2F2" w:themeFill="background1" w:themeFillShade="F2"/>
            <w:vAlign w:val="center"/>
          </w:tcPr>
          <w:p w14:paraId="277C660D" w14:textId="77777777" w:rsidR="007E2FD4" w:rsidRPr="00CF1EC4" w:rsidRDefault="007E2FD4" w:rsidP="007E2FD4">
            <w:pPr>
              <w:spacing w:before="0"/>
              <w:ind w:left="0"/>
              <w:jc w:val="right"/>
              <w:rPr>
                <w:sz w:val="22"/>
                <w:szCs w:val="22"/>
              </w:rPr>
            </w:pPr>
          </w:p>
        </w:tc>
      </w:tr>
      <w:tr w:rsidR="007E2FD4" w:rsidRPr="00CF1EC4" w14:paraId="64F21104" w14:textId="77777777" w:rsidTr="00D1361D">
        <w:trPr>
          <w:jc w:val="center"/>
        </w:trPr>
        <w:tc>
          <w:tcPr>
            <w:tcW w:w="3338" w:type="dxa"/>
            <w:shd w:val="clear" w:color="auto" w:fill="F2F2F2" w:themeFill="background1" w:themeFillShade="F2"/>
            <w:vAlign w:val="center"/>
          </w:tcPr>
          <w:p w14:paraId="12A804CA" w14:textId="77777777" w:rsidR="007E2FD4" w:rsidRPr="00FA4ACE" w:rsidRDefault="007E2FD4" w:rsidP="007E2FD4">
            <w:pPr>
              <w:spacing w:before="0"/>
              <w:ind w:left="0"/>
              <w:jc w:val="left"/>
              <w:rPr>
                <w:sz w:val="22"/>
                <w:szCs w:val="22"/>
              </w:rPr>
            </w:pPr>
            <w:r w:rsidRPr="00FA4ACE">
              <w:rPr>
                <w:sz w:val="22"/>
                <w:szCs w:val="22"/>
              </w:rPr>
              <w:t>Liabilities</w:t>
            </w:r>
          </w:p>
        </w:tc>
        <w:tc>
          <w:tcPr>
            <w:tcW w:w="1607" w:type="dxa"/>
            <w:gridSpan w:val="2"/>
            <w:shd w:val="clear" w:color="auto" w:fill="F2F2F2" w:themeFill="background1" w:themeFillShade="F2"/>
          </w:tcPr>
          <w:p w14:paraId="52CC84C3" w14:textId="77777777" w:rsidR="007E2FD4" w:rsidRPr="00CF1EC4" w:rsidRDefault="007E2FD4" w:rsidP="00177ADB">
            <w:pPr>
              <w:spacing w:before="120"/>
              <w:ind w:left="0"/>
              <w:jc w:val="center"/>
              <w:rPr>
                <w:sz w:val="22"/>
                <w:szCs w:val="22"/>
              </w:rPr>
            </w:pPr>
            <w:r>
              <w:rPr>
                <w:sz w:val="22"/>
                <w:szCs w:val="22"/>
              </w:rPr>
              <w:t>Unavailable</w:t>
            </w:r>
          </w:p>
        </w:tc>
        <w:tc>
          <w:tcPr>
            <w:tcW w:w="1330" w:type="dxa"/>
            <w:shd w:val="clear" w:color="auto" w:fill="F2F2F2" w:themeFill="background1" w:themeFillShade="F2"/>
          </w:tcPr>
          <w:p w14:paraId="0B0DFC58" w14:textId="77777777" w:rsidR="007E2FD4" w:rsidRPr="00CF1EC4" w:rsidRDefault="007E2FD4" w:rsidP="00177ADB">
            <w:pPr>
              <w:spacing w:before="120"/>
              <w:ind w:left="0"/>
              <w:jc w:val="center"/>
              <w:rPr>
                <w:sz w:val="22"/>
                <w:szCs w:val="22"/>
              </w:rPr>
            </w:pPr>
            <w:r>
              <w:rPr>
                <w:sz w:val="22"/>
                <w:szCs w:val="22"/>
              </w:rPr>
              <w:t>Unavailable</w:t>
            </w:r>
          </w:p>
        </w:tc>
        <w:tc>
          <w:tcPr>
            <w:tcW w:w="1419" w:type="dxa"/>
            <w:shd w:val="clear" w:color="auto" w:fill="F2F2F2" w:themeFill="background1" w:themeFillShade="F2"/>
          </w:tcPr>
          <w:p w14:paraId="329664BB" w14:textId="77777777" w:rsidR="007E2FD4" w:rsidRPr="00CF1EC4" w:rsidRDefault="007E2FD4" w:rsidP="007E2FD4">
            <w:pPr>
              <w:spacing w:before="0"/>
              <w:ind w:left="0"/>
              <w:jc w:val="right"/>
              <w:rPr>
                <w:sz w:val="22"/>
                <w:szCs w:val="22"/>
              </w:rPr>
            </w:pPr>
          </w:p>
        </w:tc>
        <w:tc>
          <w:tcPr>
            <w:tcW w:w="1260" w:type="dxa"/>
            <w:shd w:val="clear" w:color="auto" w:fill="F2F2F2" w:themeFill="background1" w:themeFillShade="F2"/>
          </w:tcPr>
          <w:p w14:paraId="4EA32C94" w14:textId="77777777" w:rsidR="007E2FD4" w:rsidRPr="00CF1EC4" w:rsidRDefault="007E2FD4" w:rsidP="007E2FD4">
            <w:pPr>
              <w:spacing w:before="0"/>
              <w:ind w:left="0"/>
              <w:jc w:val="right"/>
              <w:rPr>
                <w:sz w:val="22"/>
                <w:szCs w:val="22"/>
              </w:rPr>
            </w:pPr>
          </w:p>
        </w:tc>
      </w:tr>
      <w:tr w:rsidR="007E2FD4" w:rsidRPr="00CF1EC4" w14:paraId="1D726DC6" w14:textId="77777777" w:rsidTr="00D1361D">
        <w:trPr>
          <w:jc w:val="center"/>
        </w:trPr>
        <w:tc>
          <w:tcPr>
            <w:tcW w:w="3338" w:type="dxa"/>
            <w:shd w:val="clear" w:color="auto" w:fill="F2F2F2" w:themeFill="background1" w:themeFillShade="F2"/>
            <w:vAlign w:val="center"/>
          </w:tcPr>
          <w:p w14:paraId="3583ABD5" w14:textId="77777777" w:rsidR="007E2FD4" w:rsidRPr="00FA4ACE" w:rsidRDefault="007E2FD4" w:rsidP="007E2FD4">
            <w:pPr>
              <w:spacing w:before="0"/>
              <w:ind w:left="0"/>
              <w:jc w:val="left"/>
              <w:rPr>
                <w:sz w:val="22"/>
                <w:szCs w:val="22"/>
              </w:rPr>
            </w:pPr>
            <w:r>
              <w:rPr>
                <w:sz w:val="22"/>
                <w:szCs w:val="22"/>
              </w:rPr>
              <w:t xml:space="preserve">Financial </w:t>
            </w:r>
            <w:r w:rsidRPr="00FA4ACE">
              <w:rPr>
                <w:sz w:val="22"/>
                <w:szCs w:val="22"/>
              </w:rPr>
              <w:t>Assets</w:t>
            </w:r>
          </w:p>
        </w:tc>
        <w:tc>
          <w:tcPr>
            <w:tcW w:w="1607" w:type="dxa"/>
            <w:gridSpan w:val="2"/>
            <w:shd w:val="clear" w:color="auto" w:fill="F2F2F2" w:themeFill="background1" w:themeFillShade="F2"/>
          </w:tcPr>
          <w:p w14:paraId="1763DB01" w14:textId="77777777" w:rsidR="007E2FD4" w:rsidRPr="00CF1EC4" w:rsidRDefault="007E2FD4" w:rsidP="00177ADB">
            <w:pPr>
              <w:spacing w:before="120"/>
              <w:ind w:left="0"/>
              <w:jc w:val="center"/>
              <w:rPr>
                <w:sz w:val="22"/>
                <w:szCs w:val="22"/>
              </w:rPr>
            </w:pPr>
            <w:r>
              <w:rPr>
                <w:sz w:val="22"/>
                <w:szCs w:val="22"/>
              </w:rPr>
              <w:t>Unavailable</w:t>
            </w:r>
          </w:p>
        </w:tc>
        <w:tc>
          <w:tcPr>
            <w:tcW w:w="1330" w:type="dxa"/>
            <w:shd w:val="clear" w:color="auto" w:fill="F2F2F2" w:themeFill="background1" w:themeFillShade="F2"/>
          </w:tcPr>
          <w:p w14:paraId="6CD579EC" w14:textId="77777777" w:rsidR="007E2FD4" w:rsidRPr="00CF1EC4" w:rsidRDefault="007E2FD4" w:rsidP="00177ADB">
            <w:pPr>
              <w:spacing w:before="120"/>
              <w:ind w:left="0"/>
              <w:jc w:val="center"/>
              <w:rPr>
                <w:sz w:val="22"/>
                <w:szCs w:val="22"/>
              </w:rPr>
            </w:pPr>
            <w:r>
              <w:rPr>
                <w:sz w:val="22"/>
                <w:szCs w:val="22"/>
              </w:rPr>
              <w:t>Unavailable</w:t>
            </w:r>
          </w:p>
        </w:tc>
        <w:tc>
          <w:tcPr>
            <w:tcW w:w="1419" w:type="dxa"/>
            <w:shd w:val="clear" w:color="auto" w:fill="F2F2F2" w:themeFill="background1" w:themeFillShade="F2"/>
          </w:tcPr>
          <w:p w14:paraId="54B3344A" w14:textId="77777777" w:rsidR="007E2FD4" w:rsidRPr="00CF1EC4" w:rsidRDefault="007E2FD4" w:rsidP="007E2FD4">
            <w:pPr>
              <w:spacing w:before="0"/>
              <w:ind w:left="0"/>
              <w:jc w:val="right"/>
              <w:rPr>
                <w:sz w:val="22"/>
                <w:szCs w:val="22"/>
              </w:rPr>
            </w:pPr>
          </w:p>
        </w:tc>
        <w:tc>
          <w:tcPr>
            <w:tcW w:w="1260" w:type="dxa"/>
            <w:shd w:val="clear" w:color="auto" w:fill="F2F2F2" w:themeFill="background1" w:themeFillShade="F2"/>
          </w:tcPr>
          <w:p w14:paraId="79E9E7E6" w14:textId="77777777" w:rsidR="007E2FD4" w:rsidRPr="00CF1EC4" w:rsidRDefault="007E2FD4" w:rsidP="007E2FD4">
            <w:pPr>
              <w:spacing w:before="0"/>
              <w:ind w:left="0"/>
              <w:jc w:val="right"/>
              <w:rPr>
                <w:sz w:val="22"/>
                <w:szCs w:val="22"/>
              </w:rPr>
            </w:pPr>
          </w:p>
        </w:tc>
      </w:tr>
    </w:tbl>
    <w:p w14:paraId="49EA0B49" w14:textId="77777777" w:rsidR="00700091" w:rsidRPr="00700091" w:rsidRDefault="00310D44" w:rsidP="007E2FD4">
      <w:pPr>
        <w:spacing w:after="240"/>
        <w:ind w:left="0"/>
        <w:rPr>
          <w:rFonts w:ascii="Times New Roman" w:hAnsi="Times New Roman"/>
        </w:rPr>
      </w:pPr>
      <w:bookmarkStart w:id="26" w:name="_Toc504974019"/>
      <w:r w:rsidRPr="00310D44">
        <w:rPr>
          <w:rFonts w:ascii="Times New Roman" w:hAnsi="Times New Roman"/>
        </w:rPr>
        <w:t xml:space="preserve">Source: 2017 State Budget </w:t>
      </w:r>
      <w:r w:rsidR="00700091">
        <w:rPr>
          <w:rFonts w:ascii="Times New Roman" w:hAnsi="Times New Roman"/>
        </w:rPr>
        <w:t>implementation estimates</w:t>
      </w:r>
      <w:r w:rsidRPr="00310D44">
        <w:rPr>
          <w:rFonts w:ascii="Times New Roman" w:hAnsi="Times New Roman"/>
        </w:rPr>
        <w:t xml:space="preserve"> (</w:t>
      </w:r>
      <w:r w:rsidR="00700091">
        <w:rPr>
          <w:rFonts w:ascii="Times New Roman" w:hAnsi="Times New Roman"/>
        </w:rPr>
        <w:t>MoF</w:t>
      </w:r>
      <w:r w:rsidRPr="00310D44">
        <w:rPr>
          <w:rFonts w:ascii="Times New Roman" w:hAnsi="Times New Roman"/>
        </w:rPr>
        <w:t>)</w:t>
      </w:r>
    </w:p>
    <w:p w14:paraId="32BFDEDD" w14:textId="77777777" w:rsidR="007E2FD4" w:rsidRPr="00F8790B" w:rsidRDefault="007E2FD4" w:rsidP="007E2FD4">
      <w:pPr>
        <w:spacing w:after="240"/>
        <w:ind w:left="0"/>
        <w:rPr>
          <w:rFonts w:ascii="Times New Roman" w:hAnsi="Times New Roman"/>
          <w:b/>
          <w:sz w:val="24"/>
        </w:rPr>
      </w:pPr>
      <w:r>
        <w:rPr>
          <w:rFonts w:ascii="Times New Roman" w:hAnsi="Times New Roman"/>
          <w:b/>
          <w:sz w:val="24"/>
        </w:rPr>
        <w:t xml:space="preserve">2.5. </w:t>
      </w:r>
      <w:r w:rsidRPr="00F8790B">
        <w:rPr>
          <w:rFonts w:ascii="Times New Roman" w:hAnsi="Times New Roman"/>
          <w:b/>
          <w:sz w:val="24"/>
        </w:rPr>
        <w:t>Other important features of PFM and its operating environment</w:t>
      </w:r>
      <w:bookmarkEnd w:id="26"/>
    </w:p>
    <w:p w14:paraId="05D59AFB" w14:textId="77777777" w:rsidR="007E2FD4" w:rsidRPr="00F8790B" w:rsidRDefault="007E2FD4" w:rsidP="007E2FD4">
      <w:pPr>
        <w:spacing w:after="240"/>
        <w:ind w:left="0"/>
        <w:rPr>
          <w:rFonts w:ascii="Times New Roman" w:hAnsi="Times New Roman"/>
          <w:b/>
          <w:sz w:val="24"/>
        </w:rPr>
      </w:pPr>
      <w:r w:rsidRPr="00F8790B">
        <w:rPr>
          <w:rFonts w:ascii="Times New Roman" w:hAnsi="Times New Roman"/>
          <w:b/>
          <w:sz w:val="24"/>
        </w:rPr>
        <w:t>Degree of centralization of the PFM systems and the Sam Sang policy framework</w:t>
      </w:r>
    </w:p>
    <w:p w14:paraId="6EA748BA" w14:textId="77777777" w:rsidR="007E2FD4" w:rsidRPr="00F572DD" w:rsidRDefault="007E2FD4" w:rsidP="008037D9">
      <w:pPr>
        <w:pStyle w:val="ListParagraph"/>
        <w:numPr>
          <w:ilvl w:val="0"/>
          <w:numId w:val="32"/>
        </w:numPr>
        <w:spacing w:after="240"/>
        <w:ind w:left="0" w:firstLine="0"/>
        <w:contextualSpacing w:val="0"/>
        <w:rPr>
          <w:rFonts w:ascii="Times New Roman" w:hAnsi="Times New Roman"/>
        </w:rPr>
      </w:pPr>
      <w:r w:rsidRPr="00F8790B">
        <w:rPr>
          <w:rFonts w:ascii="Times New Roman" w:hAnsi="Times New Roman"/>
          <w:b/>
          <w:color w:val="000000"/>
          <w:spacing w:val="-4"/>
          <w:sz w:val="24"/>
          <w:lang w:val="en-GB"/>
        </w:rPr>
        <w:lastRenderedPageBreak/>
        <w:t>The 8</w:t>
      </w:r>
      <w:r w:rsidRPr="00F8790B">
        <w:rPr>
          <w:rFonts w:ascii="Times New Roman" w:hAnsi="Times New Roman"/>
          <w:b/>
          <w:color w:val="000000"/>
          <w:spacing w:val="-4"/>
          <w:sz w:val="24"/>
          <w:vertAlign w:val="superscript"/>
          <w:lang w:val="en-GB"/>
        </w:rPr>
        <w:t>th</w:t>
      </w:r>
      <w:r w:rsidRPr="00F8790B">
        <w:rPr>
          <w:rFonts w:ascii="Times New Roman" w:hAnsi="Times New Roman"/>
          <w:b/>
          <w:color w:val="000000"/>
          <w:spacing w:val="-4"/>
          <w:sz w:val="24"/>
          <w:lang w:val="en-GB"/>
        </w:rPr>
        <w:t xml:space="preserve"> National Socio-Economic Development Plan (NSEDP) 2016-2020 acknowledged the link between greater devolution and local governance to achieving more sustainable and inclusive growth</w:t>
      </w:r>
      <w:r w:rsidRPr="00F8790B">
        <w:rPr>
          <w:rFonts w:ascii="Times New Roman" w:hAnsi="Times New Roman"/>
          <w:color w:val="000000"/>
          <w:spacing w:val="-4"/>
          <w:sz w:val="24"/>
          <w:lang w:val="en-GB"/>
        </w:rPr>
        <w:t>. The Sam Sang directive, issued in 2012, remains the principle policy directive defining the GoL’s “decentralization framework”, with practical implications of the Sam Sang directive for design and structure of int</w:t>
      </w:r>
      <w:r w:rsidR="00C66FE9">
        <w:rPr>
          <w:rFonts w:ascii="Times New Roman" w:hAnsi="Times New Roman"/>
          <w:color w:val="000000"/>
          <w:spacing w:val="-4"/>
          <w:sz w:val="24"/>
          <w:lang w:val="en-GB"/>
        </w:rPr>
        <w:t xml:space="preserve">ergovernmental fiscal relations </w:t>
      </w:r>
      <w:r w:rsidRPr="00F8790B">
        <w:rPr>
          <w:rFonts w:ascii="Times New Roman" w:hAnsi="Times New Roman"/>
          <w:color w:val="000000"/>
          <w:spacing w:val="-4"/>
          <w:sz w:val="24"/>
          <w:lang w:val="en-GB"/>
        </w:rPr>
        <w:t xml:space="preserve">still being developed based on assessment of findings from recent pilot activities and the GoL’s evolving policy priorities and objectives. Politburo Resolution No.03/CPP/2012 seeks to accelerate local economic development through targeted dissemination of Party resolutions and Government of Lao PDR policies; decentralized public administration; and development of targeted villages. The Sam Sang (“Three Builds”) directive proposes villages as the development unit, districts as the integration unit, and provinces as the strategic unit. </w:t>
      </w:r>
      <w:r>
        <w:rPr>
          <w:rFonts w:ascii="Times New Roman" w:hAnsi="Times New Roman"/>
          <w:color w:val="000000"/>
          <w:spacing w:val="-4"/>
          <w:sz w:val="24"/>
          <w:lang w:val="en-GB"/>
        </w:rPr>
        <w:t xml:space="preserve"> </w:t>
      </w:r>
    </w:p>
    <w:p w14:paraId="229DF498" w14:textId="77777777" w:rsidR="007E2FD4" w:rsidRPr="007604FD" w:rsidRDefault="007E2FD4" w:rsidP="008037D9">
      <w:pPr>
        <w:pStyle w:val="ListParagraph"/>
        <w:numPr>
          <w:ilvl w:val="0"/>
          <w:numId w:val="32"/>
        </w:numPr>
        <w:spacing w:after="240"/>
        <w:ind w:left="0" w:firstLine="0"/>
        <w:contextualSpacing w:val="0"/>
        <w:rPr>
          <w:rFonts w:ascii="Times New Roman" w:hAnsi="Times New Roman"/>
          <w:sz w:val="24"/>
        </w:rPr>
      </w:pPr>
      <w:r w:rsidRPr="00F572DD">
        <w:rPr>
          <w:rFonts w:ascii="Times New Roman" w:hAnsi="Times New Roman"/>
          <w:b/>
          <w:color w:val="000000"/>
          <w:spacing w:val="-4"/>
          <w:sz w:val="24"/>
          <w:lang w:val="en-GB"/>
        </w:rPr>
        <w:t>Subsequent guidance from the National Assembly, Prime Minister and the Guiding Committee for Sam Sang Pilot Projects</w:t>
      </w:r>
      <w:r w:rsidRPr="00F8790B">
        <w:rPr>
          <w:rFonts w:ascii="Times New Roman" w:hAnsi="Times New Roman"/>
          <w:color w:val="000000"/>
          <w:spacing w:val="-4"/>
          <w:sz w:val="24"/>
          <w:lang w:val="en-GB"/>
        </w:rPr>
        <w:t xml:space="preserve"> </w:t>
      </w:r>
      <w:r w:rsidRPr="00F572DD">
        <w:rPr>
          <w:rFonts w:ascii="Times New Roman" w:hAnsi="Times New Roman"/>
          <w:b/>
          <w:color w:val="000000"/>
          <w:spacing w:val="-4"/>
          <w:sz w:val="24"/>
          <w:lang w:val="en-GB"/>
        </w:rPr>
        <w:t>has provided greater direction.</w:t>
      </w:r>
      <w:r w:rsidR="009D64BB">
        <w:rPr>
          <w:rFonts w:ascii="Times New Roman" w:hAnsi="Times New Roman"/>
          <w:color w:val="000000"/>
          <w:spacing w:val="-4"/>
          <w:sz w:val="24"/>
          <w:lang w:val="en-GB"/>
        </w:rPr>
        <w:t xml:space="preserve"> </w:t>
      </w:r>
      <w:r>
        <w:rPr>
          <w:rFonts w:ascii="Times New Roman" w:hAnsi="Times New Roman"/>
          <w:color w:val="000000"/>
          <w:spacing w:val="-4"/>
          <w:sz w:val="24"/>
          <w:lang w:val="en-GB"/>
        </w:rPr>
        <w:t>Sam Sang comprises</w:t>
      </w:r>
      <w:r w:rsidRPr="00F8790B">
        <w:rPr>
          <w:rFonts w:ascii="Times New Roman" w:hAnsi="Times New Roman"/>
          <w:color w:val="000000"/>
          <w:spacing w:val="-4"/>
          <w:sz w:val="24"/>
          <w:lang w:val="en-GB"/>
        </w:rPr>
        <w:t xml:space="preserve"> three </w:t>
      </w:r>
      <w:r>
        <w:rPr>
          <w:rFonts w:ascii="Times New Roman" w:hAnsi="Times New Roman"/>
          <w:color w:val="000000"/>
          <w:spacing w:val="-4"/>
          <w:sz w:val="24"/>
          <w:lang w:val="en-GB"/>
        </w:rPr>
        <w:t>elements</w:t>
      </w:r>
      <w:r w:rsidRPr="00F8790B">
        <w:rPr>
          <w:rFonts w:ascii="Times New Roman" w:hAnsi="Times New Roman"/>
          <w:color w:val="000000"/>
          <w:spacing w:val="-4"/>
          <w:sz w:val="24"/>
          <w:lang w:val="en-GB"/>
        </w:rPr>
        <w:t>: (1) a political manifesto; (2) an approach to decentralized administration; and (3) a national targeted development program. Sam Sang represents a significant policy change because it requires wide-ranging reforms to public administration functional assignments.</w:t>
      </w:r>
      <w:r>
        <w:rPr>
          <w:rFonts w:ascii="Times New Roman" w:hAnsi="Times New Roman"/>
          <w:color w:val="000000"/>
          <w:spacing w:val="-4"/>
          <w:sz w:val="24"/>
          <w:lang w:val="en-GB"/>
        </w:rPr>
        <w:t xml:space="preserve"> </w:t>
      </w:r>
      <w:r w:rsidRPr="00F8790B">
        <w:rPr>
          <w:rFonts w:ascii="Times New Roman" w:hAnsi="Times New Roman"/>
          <w:color w:val="000000"/>
          <w:spacing w:val="-4"/>
          <w:sz w:val="24"/>
          <w:lang w:val="en-GB"/>
        </w:rPr>
        <w:t xml:space="preserve"> Because of this, the resolution was designed to be piloted, then its early implementation evaluated and reported to Leaders before decisions </w:t>
      </w:r>
      <w:r>
        <w:rPr>
          <w:rFonts w:ascii="Times New Roman" w:hAnsi="Times New Roman"/>
          <w:color w:val="000000"/>
          <w:spacing w:val="-4"/>
          <w:sz w:val="24"/>
          <w:lang w:val="en-GB"/>
        </w:rPr>
        <w:t xml:space="preserve">are made </w:t>
      </w:r>
      <w:r w:rsidRPr="00F8790B">
        <w:rPr>
          <w:rFonts w:ascii="Times New Roman" w:hAnsi="Times New Roman"/>
          <w:color w:val="000000"/>
          <w:spacing w:val="-4"/>
          <w:sz w:val="24"/>
          <w:lang w:val="en-GB"/>
        </w:rPr>
        <w:t xml:space="preserve">about scaled-up implementation. The Sam Sang pilot, launched in October 2012 and completed in early 2015, directed 15 ministries to delegate more responsibilities, functions and resources to local administrations, particularly at district level. The pilot devolution strategy was implemented and tested nationwide in 109 targeted villages (out of 8,470) located in 51 targeted districts (out of 145). </w:t>
      </w:r>
      <w:r>
        <w:rPr>
          <w:rFonts w:ascii="Times New Roman" w:hAnsi="Times New Roman"/>
          <w:color w:val="000000"/>
          <w:spacing w:val="-4"/>
          <w:sz w:val="24"/>
          <w:lang w:val="en-GB"/>
        </w:rPr>
        <w:t xml:space="preserve"> </w:t>
      </w:r>
      <w:r w:rsidRPr="00F8790B">
        <w:rPr>
          <w:rFonts w:ascii="Times New Roman" w:hAnsi="Times New Roman"/>
          <w:color w:val="000000"/>
          <w:spacing w:val="-4"/>
          <w:sz w:val="24"/>
          <w:lang w:val="en-GB"/>
        </w:rPr>
        <w:t>It intends to promote fully functional local administration equipped to plan, budget and deliver local public services with greater budgetary discretion and revenue responsibilities. At the same time, the 2015 constitutional revisions a</w:t>
      </w:r>
      <w:r w:rsidR="00177ADB">
        <w:rPr>
          <w:rFonts w:ascii="Times New Roman" w:hAnsi="Times New Roman"/>
          <w:color w:val="000000"/>
          <w:spacing w:val="-4"/>
          <w:sz w:val="24"/>
          <w:lang w:val="en-GB"/>
        </w:rPr>
        <w:t xml:space="preserve">nd updates to the Law on Local </w:t>
      </w:r>
      <w:r w:rsidRPr="00F8790B">
        <w:rPr>
          <w:rFonts w:ascii="Times New Roman" w:hAnsi="Times New Roman"/>
          <w:color w:val="000000"/>
          <w:spacing w:val="-4"/>
          <w:sz w:val="24"/>
          <w:lang w:val="en-GB"/>
        </w:rPr>
        <w:t xml:space="preserve">Administration has aimed to provide a clearer separation of powers such as establishing Peoples’ Provincial Assemblies, and clearer mandates, roles and responsibilities of different levels of government and public administration. </w:t>
      </w:r>
    </w:p>
    <w:p w14:paraId="20BD29C9" w14:textId="77777777" w:rsidR="007E2FD4" w:rsidRPr="00F8790B" w:rsidRDefault="007E2FD4" w:rsidP="008037D9">
      <w:pPr>
        <w:pStyle w:val="ListParagraph"/>
        <w:numPr>
          <w:ilvl w:val="0"/>
          <w:numId w:val="32"/>
        </w:numPr>
        <w:spacing w:after="240"/>
        <w:ind w:left="0" w:firstLine="0"/>
        <w:contextualSpacing w:val="0"/>
        <w:rPr>
          <w:rFonts w:ascii="Times New Roman" w:hAnsi="Times New Roman"/>
          <w:sz w:val="24"/>
        </w:rPr>
      </w:pPr>
      <w:r w:rsidRPr="00F8790B">
        <w:rPr>
          <w:rFonts w:ascii="Times New Roman" w:hAnsi="Times New Roman"/>
          <w:b/>
          <w:color w:val="000000"/>
          <w:spacing w:val="-4"/>
          <w:sz w:val="24"/>
          <w:lang w:val="en-GB"/>
        </w:rPr>
        <w:t>The piloting of the Sam Sang policy initiative 2012-2014 has shown signs of effectiveness; routine procedures and service delivery appear to be matched with clearer delegation of authority</w:t>
      </w:r>
      <w:r w:rsidRPr="00F8790B">
        <w:rPr>
          <w:rFonts w:ascii="Times New Roman" w:hAnsi="Times New Roman"/>
          <w:color w:val="000000"/>
          <w:spacing w:val="-4"/>
          <w:sz w:val="24"/>
          <w:lang w:val="en-GB"/>
        </w:rPr>
        <w:t xml:space="preserve"> (</w:t>
      </w:r>
      <w:r w:rsidRPr="00F8790B">
        <w:rPr>
          <w:rFonts w:ascii="Times New Roman" w:hAnsi="Times New Roman"/>
          <w:i/>
          <w:color w:val="000000"/>
          <w:spacing w:val="-4"/>
          <w:sz w:val="24"/>
          <w:lang w:val="en-GB"/>
        </w:rPr>
        <w:t>Sam Sang Pilot Steering Committee Report, 2014</w:t>
      </w:r>
      <w:r w:rsidRPr="00F8790B">
        <w:rPr>
          <w:rFonts w:ascii="Times New Roman" w:hAnsi="Times New Roman"/>
          <w:color w:val="000000"/>
          <w:spacing w:val="-4"/>
          <w:sz w:val="24"/>
          <w:lang w:val="en-GB"/>
        </w:rPr>
        <w:t>). Furthermore, revenue collection supposedly increased two to three-fold, with the management of public expenditure reported as more eff</w:t>
      </w:r>
      <w:r w:rsidR="009D64BB">
        <w:rPr>
          <w:rFonts w:ascii="Times New Roman" w:hAnsi="Times New Roman"/>
          <w:color w:val="000000"/>
          <w:spacing w:val="-4"/>
          <w:sz w:val="24"/>
          <w:lang w:val="en-GB"/>
        </w:rPr>
        <w:t>icient by government officials.</w:t>
      </w:r>
      <w:r w:rsidRPr="00F8790B">
        <w:rPr>
          <w:rFonts w:ascii="Times New Roman" w:hAnsi="Times New Roman"/>
          <w:color w:val="000000"/>
          <w:spacing w:val="-4"/>
          <w:sz w:val="24"/>
          <w:lang w:val="en-GB"/>
        </w:rPr>
        <w:t xml:space="preserve"> The Budget Law 2015 amendments continued to assign central and province levels as budget holders. Districts have increased budget sign-off authority but were not given budget holder status. In the spirit of the Sam-Sang, the District Development Fund mechanism helped build the capacities of local authorities to better public administration and service delivery. With capital investment grants, various projects have been implemented in 53 of the country’s 148 districts.</w:t>
      </w:r>
      <w:r w:rsidRPr="00F8790B">
        <w:rPr>
          <w:rFonts w:ascii="Times New Roman" w:hAnsi="Times New Roman"/>
        </w:rPr>
        <w:t xml:space="preserve"> </w:t>
      </w:r>
    </w:p>
    <w:p w14:paraId="13F8D133" w14:textId="77777777" w:rsidR="007E2FD4" w:rsidRDefault="007E2FD4" w:rsidP="008037D9">
      <w:pPr>
        <w:pStyle w:val="ListParagraph"/>
        <w:numPr>
          <w:ilvl w:val="0"/>
          <w:numId w:val="32"/>
        </w:numPr>
        <w:spacing w:after="240"/>
        <w:ind w:left="0" w:firstLine="0"/>
        <w:contextualSpacing w:val="0"/>
        <w:rPr>
          <w:rFonts w:ascii="Times New Roman" w:hAnsi="Times New Roman"/>
          <w:sz w:val="24"/>
        </w:rPr>
      </w:pPr>
      <w:r w:rsidRPr="00F8790B">
        <w:rPr>
          <w:rFonts w:ascii="Times New Roman" w:hAnsi="Times New Roman"/>
          <w:b/>
          <w:sz w:val="24"/>
        </w:rPr>
        <w:t>Local government budgets account for a s</w:t>
      </w:r>
      <w:r w:rsidR="00D1361D">
        <w:rPr>
          <w:rFonts w:ascii="Times New Roman" w:hAnsi="Times New Roman"/>
          <w:b/>
          <w:sz w:val="24"/>
        </w:rPr>
        <w:t>table share of approximately 30 percent</w:t>
      </w:r>
      <w:r w:rsidRPr="00F8790B">
        <w:rPr>
          <w:rFonts w:ascii="Times New Roman" w:hAnsi="Times New Roman"/>
          <w:b/>
          <w:sz w:val="24"/>
        </w:rPr>
        <w:t xml:space="preserve"> of total general government spending over the 4-year period covering FY2014/15 to FY2018.</w:t>
      </w:r>
      <w:r w:rsidRPr="00F8790B">
        <w:rPr>
          <w:rFonts w:ascii="Times New Roman" w:hAnsi="Times New Roman"/>
          <w:sz w:val="24"/>
        </w:rPr>
        <w:t xml:space="preserve"> High shares of total government spending are spent for health and education at a consolidat</w:t>
      </w:r>
      <w:r w:rsidR="00D1361D">
        <w:rPr>
          <w:rFonts w:ascii="Times New Roman" w:hAnsi="Times New Roman"/>
          <w:sz w:val="24"/>
        </w:rPr>
        <w:t>ed share of approximately 65-70 percent</w:t>
      </w:r>
      <w:r w:rsidRPr="00F8790B">
        <w:rPr>
          <w:rFonts w:ascii="Times New Roman" w:hAnsi="Times New Roman"/>
          <w:sz w:val="24"/>
        </w:rPr>
        <w:t xml:space="preserve"> annually.</w:t>
      </w:r>
      <w:r w:rsidRPr="00C001AC">
        <w:rPr>
          <w:rStyle w:val="FootnoteReference"/>
          <w:rFonts w:ascii="Times New Roman" w:hAnsi="Times New Roman"/>
          <w:sz w:val="24"/>
        </w:rPr>
        <w:footnoteReference w:id="18"/>
      </w:r>
    </w:p>
    <w:p w14:paraId="4B7E4873" w14:textId="77777777" w:rsidR="007E2FD4" w:rsidRDefault="007E2FD4" w:rsidP="008037D9">
      <w:pPr>
        <w:pStyle w:val="ListParagraph"/>
        <w:numPr>
          <w:ilvl w:val="0"/>
          <w:numId w:val="32"/>
        </w:numPr>
        <w:spacing w:after="240"/>
        <w:ind w:left="0" w:firstLine="0"/>
        <w:contextualSpacing w:val="0"/>
        <w:rPr>
          <w:rFonts w:ascii="Times New Roman" w:hAnsi="Times New Roman"/>
          <w:sz w:val="24"/>
        </w:rPr>
      </w:pPr>
      <w:r w:rsidRPr="00F8790B">
        <w:rPr>
          <w:rFonts w:ascii="Times New Roman" w:hAnsi="Times New Roman"/>
          <w:b/>
          <w:sz w:val="24"/>
        </w:rPr>
        <w:t xml:space="preserve">MoF is currently engaged in a process to formulate a new decree to define an agenda to serve as a practical “roadmap” for strategic direction and implementation </w:t>
      </w:r>
      <w:r w:rsidRPr="00F8790B">
        <w:rPr>
          <w:rFonts w:ascii="Times New Roman" w:hAnsi="Times New Roman"/>
          <w:b/>
          <w:sz w:val="24"/>
        </w:rPr>
        <w:lastRenderedPageBreak/>
        <w:t>arrangements for decentralization reform over coming years.</w:t>
      </w:r>
      <w:r w:rsidRPr="00F8790B">
        <w:rPr>
          <w:rFonts w:ascii="Times New Roman" w:hAnsi="Times New Roman"/>
          <w:sz w:val="24"/>
        </w:rPr>
        <w:t xml:space="preserve"> </w:t>
      </w:r>
      <w:r>
        <w:rPr>
          <w:rFonts w:ascii="Times New Roman" w:hAnsi="Times New Roman"/>
          <w:sz w:val="24"/>
        </w:rPr>
        <w:t xml:space="preserve">This is concerned particularly </w:t>
      </w:r>
      <w:r w:rsidRPr="00F8790B">
        <w:rPr>
          <w:rFonts w:ascii="Times New Roman" w:hAnsi="Times New Roman"/>
          <w:sz w:val="24"/>
        </w:rPr>
        <w:t>about</w:t>
      </w:r>
      <w:r>
        <w:rPr>
          <w:rFonts w:ascii="Times New Roman" w:hAnsi="Times New Roman"/>
          <w:sz w:val="24"/>
        </w:rPr>
        <w:t>:</w:t>
      </w:r>
      <w:r w:rsidRPr="00F8790B">
        <w:rPr>
          <w:rFonts w:ascii="Times New Roman" w:hAnsi="Times New Roman"/>
          <w:sz w:val="24"/>
        </w:rPr>
        <w:t xml:space="preserve"> </w:t>
      </w:r>
    </w:p>
    <w:p w14:paraId="46AE4316" w14:textId="77777777" w:rsidR="007E2FD4" w:rsidRDefault="007E2FD4" w:rsidP="00D1361D">
      <w:pPr>
        <w:pStyle w:val="ListParagraph"/>
        <w:numPr>
          <w:ilvl w:val="0"/>
          <w:numId w:val="39"/>
        </w:numPr>
        <w:spacing w:before="0" w:after="120"/>
        <w:ind w:left="714" w:hanging="357"/>
        <w:contextualSpacing w:val="0"/>
        <w:rPr>
          <w:rFonts w:ascii="Times New Roman" w:hAnsi="Times New Roman"/>
          <w:sz w:val="24"/>
        </w:rPr>
      </w:pPr>
      <w:r w:rsidRPr="00F8790B">
        <w:rPr>
          <w:rFonts w:ascii="Times New Roman" w:hAnsi="Times New Roman"/>
          <w:sz w:val="24"/>
        </w:rPr>
        <w:t>sector-specific expenditure assignments, focusing on “priority sectors” (especi</w:t>
      </w:r>
      <w:r>
        <w:rPr>
          <w:rFonts w:ascii="Times New Roman" w:hAnsi="Times New Roman"/>
          <w:sz w:val="24"/>
        </w:rPr>
        <w:t xml:space="preserve">ally health and education); </w:t>
      </w:r>
    </w:p>
    <w:p w14:paraId="26507EA2" w14:textId="77777777" w:rsidR="007E2FD4" w:rsidRDefault="007E2FD4" w:rsidP="00D1361D">
      <w:pPr>
        <w:pStyle w:val="ListParagraph"/>
        <w:numPr>
          <w:ilvl w:val="0"/>
          <w:numId w:val="39"/>
        </w:numPr>
        <w:spacing w:before="0" w:after="120"/>
        <w:ind w:left="714" w:hanging="357"/>
        <w:contextualSpacing w:val="0"/>
        <w:rPr>
          <w:rFonts w:ascii="Times New Roman" w:hAnsi="Times New Roman"/>
          <w:sz w:val="24"/>
        </w:rPr>
      </w:pPr>
      <w:r w:rsidRPr="00F8790B">
        <w:rPr>
          <w:rFonts w:ascii="Times New Roman" w:hAnsi="Times New Roman"/>
          <w:sz w:val="24"/>
        </w:rPr>
        <w:t>revenue assignments: clarify</w:t>
      </w:r>
      <w:r>
        <w:rPr>
          <w:rFonts w:ascii="Times New Roman" w:hAnsi="Times New Roman"/>
          <w:sz w:val="24"/>
        </w:rPr>
        <w:t>ing</w:t>
      </w:r>
      <w:r w:rsidRPr="00F8790B">
        <w:rPr>
          <w:rFonts w:ascii="Times New Roman" w:hAnsi="Times New Roman"/>
          <w:sz w:val="24"/>
        </w:rPr>
        <w:t xml:space="preserve"> responsibility for revenue administration and which level (tier) of government collects revenue from specific revenue instruments, noting that a process is currently underway to strengthen capacity for assessments of local revenue bases (property and businesses), starting in the capital city, Vientiane; and </w:t>
      </w:r>
    </w:p>
    <w:p w14:paraId="7916C5F2" w14:textId="77777777" w:rsidR="007E2FD4" w:rsidRDefault="007E2FD4" w:rsidP="008037D9">
      <w:pPr>
        <w:pStyle w:val="ListParagraph"/>
        <w:numPr>
          <w:ilvl w:val="0"/>
          <w:numId w:val="40"/>
        </w:numPr>
        <w:spacing w:before="0"/>
        <w:ind w:left="714" w:hanging="357"/>
        <w:contextualSpacing w:val="0"/>
        <w:rPr>
          <w:rFonts w:ascii="Times New Roman" w:hAnsi="Times New Roman"/>
          <w:sz w:val="24"/>
        </w:rPr>
      </w:pPr>
      <w:r w:rsidRPr="00F8790B">
        <w:rPr>
          <w:rFonts w:ascii="Times New Roman" w:hAnsi="Times New Roman"/>
          <w:sz w:val="24"/>
        </w:rPr>
        <w:t>policy options for transfer mechanisms, consistent with Provincial Administration Law 2015 and Provincial National Assembly Law 2015.</w:t>
      </w:r>
      <w:r>
        <w:rPr>
          <w:rFonts w:ascii="Times New Roman" w:hAnsi="Times New Roman"/>
          <w:sz w:val="24"/>
        </w:rPr>
        <w:t xml:space="preserve"> </w:t>
      </w:r>
    </w:p>
    <w:p w14:paraId="79B4BE7C" w14:textId="77777777" w:rsidR="007E2FD4" w:rsidRPr="00F8790B" w:rsidRDefault="007E2FD4" w:rsidP="008037D9">
      <w:pPr>
        <w:pStyle w:val="ListParagraph"/>
        <w:numPr>
          <w:ilvl w:val="0"/>
          <w:numId w:val="32"/>
        </w:numPr>
        <w:spacing w:after="240"/>
        <w:ind w:left="0" w:firstLine="0"/>
        <w:contextualSpacing w:val="0"/>
        <w:rPr>
          <w:rFonts w:ascii="Times New Roman" w:hAnsi="Times New Roman"/>
          <w:sz w:val="24"/>
        </w:rPr>
      </w:pPr>
      <w:r w:rsidRPr="00D4304D">
        <w:rPr>
          <w:rFonts w:ascii="Times New Roman" w:hAnsi="Times New Roman"/>
          <w:b/>
          <w:sz w:val="24"/>
        </w:rPr>
        <w:t>The main budgetary provisions of State Budget Law to be addressed relate to</w:t>
      </w:r>
      <w:r w:rsidRPr="00F8790B">
        <w:rPr>
          <w:rFonts w:ascii="Times New Roman" w:hAnsi="Times New Roman"/>
          <w:sz w:val="24"/>
        </w:rPr>
        <w:t>:</w:t>
      </w:r>
    </w:p>
    <w:p w14:paraId="25FC98B4" w14:textId="77777777" w:rsidR="007E2FD4" w:rsidRPr="00F8790B" w:rsidRDefault="007E2FD4" w:rsidP="008037D9">
      <w:pPr>
        <w:pStyle w:val="ListParagraph"/>
        <w:numPr>
          <w:ilvl w:val="0"/>
          <w:numId w:val="39"/>
        </w:numPr>
        <w:spacing w:before="0" w:after="120"/>
        <w:ind w:left="714" w:hanging="357"/>
        <w:contextualSpacing w:val="0"/>
        <w:rPr>
          <w:rFonts w:ascii="Times New Roman" w:hAnsi="Times New Roman"/>
          <w:sz w:val="24"/>
        </w:rPr>
      </w:pPr>
      <w:r w:rsidRPr="00F8790B">
        <w:rPr>
          <w:rFonts w:ascii="Times New Roman" w:hAnsi="Times New Roman"/>
          <w:sz w:val="24"/>
        </w:rPr>
        <w:t>Articles 46 and 47: explicitly referring to “fiscal gap” transfers and how that impacts GoL intentions to move to system of formula-based transfers determined on basis of “expenditure drivers” relevant to well-defined set of functional expenditure assignments, together with appropriate indicator(s) of revenue capacity.</w:t>
      </w:r>
      <w:r w:rsidRPr="00C001AC">
        <w:rPr>
          <w:rStyle w:val="FootnoteReference"/>
          <w:rFonts w:ascii="Times New Roman" w:hAnsi="Times New Roman"/>
          <w:sz w:val="24"/>
        </w:rPr>
        <w:footnoteReference w:id="19"/>
      </w:r>
    </w:p>
    <w:p w14:paraId="667AFC64" w14:textId="77777777" w:rsidR="007E2FD4" w:rsidRPr="00F8790B" w:rsidRDefault="007E2FD4" w:rsidP="008037D9">
      <w:pPr>
        <w:pStyle w:val="ListParagraph"/>
        <w:numPr>
          <w:ilvl w:val="0"/>
          <w:numId w:val="39"/>
        </w:numPr>
        <w:spacing w:before="0" w:after="120"/>
        <w:rPr>
          <w:rFonts w:ascii="Times New Roman" w:hAnsi="Times New Roman"/>
          <w:color w:val="000000"/>
          <w:spacing w:val="-4"/>
          <w:sz w:val="24"/>
          <w:lang w:val="en-GB"/>
        </w:rPr>
      </w:pPr>
      <w:r w:rsidRPr="00F8790B">
        <w:rPr>
          <w:rFonts w:ascii="Times New Roman" w:hAnsi="Times New Roman"/>
          <w:sz w:val="24"/>
        </w:rPr>
        <w:t>Article 48: authorization for use of “specific” transfers to address national policy priorities provides legal basis for formula-based conditional transfer mechanisms.</w:t>
      </w:r>
    </w:p>
    <w:p w14:paraId="173181B7" w14:textId="77777777" w:rsidR="007E2FD4" w:rsidRPr="00D4304D" w:rsidRDefault="00D4304D" w:rsidP="008037D9">
      <w:pPr>
        <w:pStyle w:val="ListParagraph"/>
        <w:numPr>
          <w:ilvl w:val="0"/>
          <w:numId w:val="32"/>
        </w:numPr>
        <w:spacing w:after="240"/>
        <w:ind w:left="0" w:firstLine="0"/>
        <w:contextualSpacing w:val="0"/>
        <w:rPr>
          <w:rFonts w:ascii="Times New Roman" w:hAnsi="Times New Roman"/>
          <w:color w:val="000000"/>
          <w:spacing w:val="-4"/>
          <w:sz w:val="24"/>
          <w:lang w:val="en-GB"/>
        </w:rPr>
      </w:pPr>
      <w:r>
        <w:rPr>
          <w:rFonts w:ascii="Times New Roman" w:hAnsi="Times New Roman"/>
          <w:b/>
          <w:color w:val="000000"/>
          <w:spacing w:val="-4"/>
          <w:sz w:val="24"/>
          <w:lang w:val="en-GB"/>
        </w:rPr>
        <w:t>W</w:t>
      </w:r>
      <w:r w:rsidR="007E2FD4" w:rsidRPr="00D4304D">
        <w:rPr>
          <w:rFonts w:ascii="Times New Roman" w:hAnsi="Times New Roman"/>
          <w:b/>
          <w:color w:val="000000"/>
          <w:spacing w:val="-4"/>
          <w:sz w:val="24"/>
          <w:lang w:val="en-GB"/>
        </w:rPr>
        <w:t>hile there is steady progress in administrative and representational devolution, progress on fiscal decentralisation is not yet on the agenda</w:t>
      </w:r>
      <w:r>
        <w:rPr>
          <w:rFonts w:ascii="Times New Roman" w:hAnsi="Times New Roman"/>
          <w:b/>
          <w:color w:val="000000"/>
          <w:spacing w:val="-4"/>
          <w:sz w:val="24"/>
          <w:lang w:val="en-GB"/>
        </w:rPr>
        <w:t xml:space="preserve">.  </w:t>
      </w:r>
      <w:r w:rsidR="00EA2FDF">
        <w:rPr>
          <w:rFonts w:ascii="Times New Roman" w:hAnsi="Times New Roman"/>
          <w:color w:val="000000"/>
          <w:spacing w:val="-4"/>
          <w:sz w:val="24"/>
          <w:lang w:val="en-GB"/>
        </w:rPr>
        <w:t>While there are provinces, these</w:t>
      </w:r>
      <w:r w:rsidR="00700091">
        <w:rPr>
          <w:rFonts w:ascii="Times New Roman" w:hAnsi="Times New Roman"/>
          <w:color w:val="000000"/>
          <w:spacing w:val="-4"/>
          <w:sz w:val="24"/>
          <w:lang w:val="en-GB"/>
        </w:rPr>
        <w:t xml:space="preserve"> still</w:t>
      </w:r>
      <w:r w:rsidR="00EA2FDF">
        <w:rPr>
          <w:rFonts w:ascii="Times New Roman" w:hAnsi="Times New Roman"/>
          <w:color w:val="000000"/>
          <w:spacing w:val="-4"/>
          <w:sz w:val="24"/>
          <w:lang w:val="en-GB"/>
        </w:rPr>
        <w:t xml:space="preserve"> operate as an arm of central government as deconcentrated entities </w:t>
      </w:r>
      <w:r w:rsidR="00700091">
        <w:rPr>
          <w:rFonts w:ascii="Times New Roman" w:hAnsi="Times New Roman"/>
          <w:color w:val="000000"/>
          <w:spacing w:val="-4"/>
          <w:sz w:val="24"/>
          <w:lang w:val="en-GB"/>
        </w:rPr>
        <w:t xml:space="preserve">with service delivery functions and </w:t>
      </w:r>
      <w:r w:rsidR="00EA2FDF">
        <w:rPr>
          <w:rFonts w:ascii="Times New Roman" w:hAnsi="Times New Roman"/>
          <w:color w:val="000000"/>
          <w:spacing w:val="-4"/>
          <w:sz w:val="24"/>
          <w:lang w:val="en-GB"/>
        </w:rPr>
        <w:t xml:space="preserve">with districts under their </w:t>
      </w:r>
      <w:proofErr w:type="gramStart"/>
      <w:r w:rsidR="00EA2FDF">
        <w:rPr>
          <w:rFonts w:ascii="Times New Roman" w:hAnsi="Times New Roman"/>
          <w:color w:val="000000"/>
          <w:spacing w:val="-4"/>
          <w:sz w:val="24"/>
          <w:lang w:val="en-GB"/>
        </w:rPr>
        <w:t>control .</w:t>
      </w:r>
      <w:proofErr w:type="gramEnd"/>
      <w:r w:rsidR="00EA2FDF">
        <w:rPr>
          <w:rFonts w:ascii="Times New Roman" w:hAnsi="Times New Roman"/>
          <w:color w:val="000000"/>
          <w:spacing w:val="-4"/>
          <w:sz w:val="24"/>
          <w:lang w:val="en-GB"/>
        </w:rPr>
        <w:t xml:space="preserve"> </w:t>
      </w:r>
      <w:r w:rsidRPr="00D4304D">
        <w:rPr>
          <w:rFonts w:ascii="Times New Roman" w:hAnsi="Times New Roman"/>
          <w:color w:val="000000"/>
          <w:spacing w:val="-4"/>
          <w:sz w:val="24"/>
          <w:lang w:val="en-GB"/>
        </w:rPr>
        <w:t xml:space="preserve">This is </w:t>
      </w:r>
      <w:r w:rsidR="007E2FD4" w:rsidRPr="00D4304D">
        <w:rPr>
          <w:rFonts w:ascii="Times New Roman" w:hAnsi="Times New Roman"/>
          <w:color w:val="000000"/>
          <w:spacing w:val="-4"/>
          <w:sz w:val="24"/>
          <w:lang w:val="en-GB"/>
        </w:rPr>
        <w:t>due to the challenging overall macro-economic situation.</w:t>
      </w:r>
    </w:p>
    <w:p w14:paraId="614A06D8" w14:textId="77777777" w:rsidR="007E2FD4" w:rsidRPr="00F572DD" w:rsidRDefault="007E2FD4" w:rsidP="007E2FD4">
      <w:pPr>
        <w:spacing w:after="240"/>
        <w:ind w:left="0"/>
        <w:rPr>
          <w:rFonts w:ascii="Times New Roman" w:hAnsi="Times New Roman"/>
          <w:b/>
          <w:sz w:val="24"/>
        </w:rPr>
      </w:pPr>
      <w:r w:rsidRPr="00F572DD">
        <w:rPr>
          <w:rFonts w:ascii="Times New Roman" w:hAnsi="Times New Roman"/>
          <w:b/>
          <w:sz w:val="24"/>
        </w:rPr>
        <w:t>Government Budget process</w:t>
      </w:r>
    </w:p>
    <w:p w14:paraId="6FF5839A" w14:textId="77777777" w:rsidR="007E2FD4" w:rsidRDefault="007E2FD4" w:rsidP="008037D9">
      <w:pPr>
        <w:pStyle w:val="ListParagraph"/>
        <w:numPr>
          <w:ilvl w:val="0"/>
          <w:numId w:val="32"/>
        </w:numPr>
        <w:spacing w:after="240"/>
        <w:ind w:left="0" w:firstLine="0"/>
        <w:contextualSpacing w:val="0"/>
        <w:rPr>
          <w:rFonts w:ascii="Times New Roman" w:eastAsiaTheme="minorHAnsi" w:hAnsi="Times New Roman"/>
          <w:sz w:val="24"/>
          <w:lang w:val="en-MY"/>
        </w:rPr>
      </w:pPr>
      <w:r w:rsidRPr="00D4304D">
        <w:rPr>
          <w:rFonts w:ascii="Times New Roman" w:eastAsiaTheme="minorHAnsi" w:hAnsi="Times New Roman"/>
          <w:b/>
          <w:sz w:val="24"/>
          <w:lang w:val="en-MY"/>
        </w:rPr>
        <w:t>In principle, the budget process is determined by the revised 2015 Budget Law, which prescribes the procedures and the calendar to be followed in preparing the budget for submission to the NA</w:t>
      </w:r>
      <w:r w:rsidRPr="00F8790B">
        <w:rPr>
          <w:rFonts w:ascii="Times New Roman" w:eastAsiaTheme="minorHAnsi" w:hAnsi="Times New Roman"/>
          <w:sz w:val="24"/>
          <w:lang w:val="en-MY"/>
        </w:rPr>
        <w:t xml:space="preserve">. The law envisages the issue of a MoF circular early each (calendar) year with instructions on the rules to be applied by ministries, provinces, and districts in preparing the following year’s budget. </w:t>
      </w:r>
      <w:r>
        <w:rPr>
          <w:rFonts w:ascii="Times New Roman" w:eastAsiaTheme="minorHAnsi" w:hAnsi="Times New Roman"/>
          <w:sz w:val="24"/>
          <w:lang w:val="en-MY"/>
        </w:rPr>
        <w:t xml:space="preserve"> </w:t>
      </w:r>
      <w:r w:rsidRPr="00F8790B">
        <w:rPr>
          <w:rFonts w:ascii="Times New Roman" w:eastAsiaTheme="minorHAnsi" w:hAnsi="Times New Roman"/>
          <w:sz w:val="24"/>
          <w:lang w:val="en-MY"/>
        </w:rPr>
        <w:t>Dissemination of the circular should be followed by consultations with members of the NA and other stakeholders before submissions are made to MoF in March</w:t>
      </w:r>
      <w:r>
        <w:rPr>
          <w:rFonts w:ascii="Times New Roman" w:eastAsiaTheme="minorHAnsi" w:hAnsi="Times New Roman"/>
          <w:sz w:val="24"/>
          <w:lang w:val="en-MY"/>
        </w:rPr>
        <w:t>. MoF then consolidates</w:t>
      </w:r>
      <w:r w:rsidRPr="00F8790B">
        <w:rPr>
          <w:rFonts w:ascii="Times New Roman" w:eastAsiaTheme="minorHAnsi" w:hAnsi="Times New Roman"/>
          <w:sz w:val="24"/>
          <w:lang w:val="en-MY"/>
        </w:rPr>
        <w:t xml:space="preserve"> submissions into a draft budget to be submitted to the GOL in April. Once approved collectively by ministers, the budget should be submitted to the NA 15 days before the opening of its June/July session. </w:t>
      </w:r>
    </w:p>
    <w:p w14:paraId="38C6A3CE" w14:textId="77777777" w:rsidR="007E2FD4" w:rsidRPr="00F8790B" w:rsidRDefault="007E2FD4" w:rsidP="008037D9">
      <w:pPr>
        <w:pStyle w:val="ListParagraph"/>
        <w:numPr>
          <w:ilvl w:val="0"/>
          <w:numId w:val="32"/>
        </w:numPr>
        <w:spacing w:after="240"/>
        <w:ind w:left="0" w:firstLine="0"/>
        <w:contextualSpacing w:val="0"/>
        <w:rPr>
          <w:rFonts w:ascii="Times New Roman" w:hAnsi="Times New Roman"/>
          <w:color w:val="000000"/>
          <w:sz w:val="24"/>
          <w:lang w:val="en-GB"/>
        </w:rPr>
      </w:pPr>
      <w:r w:rsidRPr="00F8790B">
        <w:rPr>
          <w:rFonts w:ascii="Times New Roman" w:eastAsiaTheme="minorHAnsi" w:hAnsi="Times New Roman"/>
          <w:b/>
          <w:sz w:val="24"/>
          <w:lang w:val="en-MY"/>
        </w:rPr>
        <w:t>Actual PFM practice often diverges from the requirements stated in the law.</w:t>
      </w:r>
      <w:r w:rsidRPr="00F8790B">
        <w:rPr>
          <w:rFonts w:ascii="Times New Roman" w:eastAsiaTheme="minorHAnsi" w:hAnsi="Times New Roman"/>
          <w:sz w:val="24"/>
          <w:lang w:val="en-MY"/>
        </w:rPr>
        <w:t xml:space="preserve"> From the initial consultation and bottom-up formulation process, although there are multiple consultations between MoF, line ministries, and provinces on the overall level of the state budget and there are clear instructions on the allocation for staff an</w:t>
      </w:r>
      <w:r w:rsidR="00177ADB">
        <w:rPr>
          <w:rFonts w:ascii="Times New Roman" w:eastAsiaTheme="minorHAnsi" w:hAnsi="Times New Roman"/>
          <w:sz w:val="24"/>
          <w:lang w:val="en-MY"/>
        </w:rPr>
        <w:t>d</w:t>
      </w:r>
      <w:r w:rsidRPr="00F8790B">
        <w:rPr>
          <w:rFonts w:ascii="Times New Roman" w:eastAsiaTheme="minorHAnsi" w:hAnsi="Times New Roman"/>
          <w:sz w:val="24"/>
          <w:lang w:val="en-MY"/>
        </w:rPr>
        <w:t xml:space="preserve"> capital expenditures, there are no fixed ceilings issued by MoF to guide line ministries in the preparation of their budget proposal. </w:t>
      </w:r>
    </w:p>
    <w:p w14:paraId="3786EF3A" w14:textId="77777777" w:rsidR="007E2FD4" w:rsidRPr="00784AD7" w:rsidRDefault="007E2FD4" w:rsidP="00784AD7">
      <w:pPr>
        <w:pStyle w:val="ListParagraph"/>
        <w:numPr>
          <w:ilvl w:val="0"/>
          <w:numId w:val="32"/>
        </w:numPr>
        <w:spacing w:after="240"/>
        <w:ind w:left="0" w:firstLine="0"/>
        <w:contextualSpacing w:val="0"/>
        <w:textAlignment w:val="baseline"/>
        <w:rPr>
          <w:rFonts w:ascii="Times New Roman" w:hAnsi="Times New Roman"/>
          <w:color w:val="000000"/>
          <w:sz w:val="24"/>
          <w:lang w:val="en-GB"/>
        </w:rPr>
      </w:pPr>
      <w:r w:rsidRPr="00F8790B">
        <w:rPr>
          <w:rFonts w:ascii="Times New Roman" w:hAnsi="Times New Roman"/>
          <w:b/>
          <w:color w:val="000000"/>
          <w:spacing w:val="-4"/>
          <w:sz w:val="24"/>
          <w:lang w:val="en-GB"/>
        </w:rPr>
        <w:lastRenderedPageBreak/>
        <w:t>Various channels are in place for bottom up participatory process in governance and budget oversight through forums for people’s participation.</w:t>
      </w:r>
      <w:r w:rsidRPr="00F8790B">
        <w:rPr>
          <w:rFonts w:ascii="Times New Roman" w:hAnsi="Times New Roman"/>
          <w:color w:val="000000"/>
          <w:spacing w:val="-4"/>
          <w:sz w:val="24"/>
          <w:lang w:val="en-GB"/>
        </w:rPr>
        <w:t xml:space="preserve"> These range from indirect participation through representative institutions such as the National Assembly (NA), to the approved Party mass organisations (Lao Youth Union (LYU) and Lao Women’s Union (LWU)) and formal business associations (LFTU: Lao Federation of Trade Unions). Over the past five years, the NA has provided oversight of public services and aspired to increase people’s participation in the decision-making process. A constitutional amendment adopted at the Ordinary Session in December 2015 paves the way for establishing Peoples’ Provincial Assemblies and changing the political landscape at the local level. The 2009 Decree 115 on Associations also marks an important step in the formal recognition of Non-Profit Associations (NPA) as partners in development. These organisations are primarily engaged in community development activities rather than advocacy, and they are still working to establish their operational space and to engage in meaningful policy dialogue at the sub-national and national levels; NPA’s participation in the Governance Sector Working Group (GSWG) and Round Table Meetings is seen as movement in a positive direction</w:t>
      </w:r>
      <w:r w:rsidRPr="00C001AC">
        <w:rPr>
          <w:rStyle w:val="FootnoteReference"/>
          <w:rFonts w:ascii="Times New Roman" w:hAnsi="Times New Roman"/>
          <w:color w:val="000000"/>
          <w:spacing w:val="-4"/>
          <w:sz w:val="24"/>
          <w:lang w:val="en-GB"/>
        </w:rPr>
        <w:footnoteReference w:id="20"/>
      </w:r>
      <w:r w:rsidRPr="00F8790B">
        <w:rPr>
          <w:rFonts w:ascii="Times New Roman" w:hAnsi="Times New Roman"/>
          <w:color w:val="000000"/>
          <w:spacing w:val="-4"/>
          <w:sz w:val="24"/>
          <w:lang w:val="en-GB"/>
        </w:rPr>
        <w:t xml:space="preserve">. </w:t>
      </w:r>
    </w:p>
    <w:p w14:paraId="4E94524B" w14:textId="4F6B46EA" w:rsidR="00784AD7" w:rsidRPr="00784AD7" w:rsidRDefault="00784AD7" w:rsidP="00784AD7">
      <w:pPr>
        <w:pStyle w:val="NormalWeb"/>
        <w:numPr>
          <w:ilvl w:val="0"/>
          <w:numId w:val="32"/>
        </w:numPr>
        <w:shd w:val="clear" w:color="auto" w:fill="FFFFFF"/>
        <w:spacing w:before="240" w:beforeAutospacing="0" w:after="240" w:afterAutospacing="0"/>
        <w:ind w:left="0" w:firstLine="0"/>
        <w:textAlignment w:val="baseline"/>
        <w:rPr>
          <w:rFonts w:eastAsiaTheme="minorHAnsi"/>
          <w:lang w:val="en-MY"/>
        </w:rPr>
      </w:pPr>
      <w:r w:rsidRPr="00784AD7">
        <w:rPr>
          <w:rFonts w:eastAsiaTheme="minorHAnsi"/>
          <w:b/>
          <w:lang w:val="en-MY"/>
        </w:rPr>
        <w:t>The National Social Security Fund is governed by the Social Security Law (No. 34/NA dated 26 July 2013) and managed by the Ministry of Labour and Social Welfare.</w:t>
      </w:r>
      <w:r w:rsidRPr="00784AD7">
        <w:rPr>
          <w:rFonts w:eastAsiaTheme="minorHAnsi"/>
          <w:lang w:val="en-MY"/>
        </w:rPr>
        <w:t xml:space="preserve">  Articles 55 and 56 of the Act requires all employers to contribute 6% of an employee’s monthly salary to the NSSF, with a further 5.5% to be contributed by insured employees which is deducted from salaries and be paid by the employer to the NSSF. Benefits under the NSSF include the provision of funds for health care during child birth, workplace injuries and illnesses, old age pensions, funeral grants, surviving family benefits, and unemployment benefits. Decision No. 1740/MOLSW dated 25 April 2016, adjusts and raises the maximum ceiling of insurable earning established at five times the minimum wage set by the Government of Lao PDR, from </w:t>
      </w:r>
      <w:r w:rsidR="006C28B8">
        <w:rPr>
          <w:rFonts w:eastAsiaTheme="minorHAnsi"/>
          <w:lang w:val="en-MY"/>
        </w:rPr>
        <w:t>Kip</w:t>
      </w:r>
      <w:r w:rsidR="009D64BB">
        <w:rPr>
          <w:rFonts w:eastAsiaTheme="minorHAnsi"/>
          <w:lang w:val="en-MY"/>
        </w:rPr>
        <w:t xml:space="preserve">2 million to </w:t>
      </w:r>
      <w:r w:rsidR="006C28B8">
        <w:rPr>
          <w:rFonts w:eastAsiaTheme="minorHAnsi"/>
          <w:lang w:val="en-MY"/>
        </w:rPr>
        <w:t>Kip</w:t>
      </w:r>
      <w:r w:rsidR="009D64BB">
        <w:rPr>
          <w:rFonts w:eastAsiaTheme="minorHAnsi"/>
          <w:lang w:val="en-MY"/>
        </w:rPr>
        <w:t>4.5 million</w:t>
      </w:r>
      <w:r w:rsidRPr="00784AD7">
        <w:rPr>
          <w:rFonts w:eastAsiaTheme="minorHAnsi"/>
          <w:lang w:val="en-MY"/>
        </w:rPr>
        <w:t xml:space="preserve"> as of 1 January 2017. The Decision also sets the minimum level of insurable earnings on which NSSF contributions are to be made by employers on behalf of individual</w:t>
      </w:r>
      <w:r w:rsidR="009D64BB">
        <w:rPr>
          <w:rFonts w:eastAsiaTheme="minorHAnsi"/>
          <w:lang w:val="en-MY"/>
        </w:rPr>
        <w:t xml:space="preserve"> employees, at not less than 50 percent</w:t>
      </w:r>
      <w:r w:rsidRPr="00784AD7">
        <w:rPr>
          <w:rFonts w:eastAsiaTheme="minorHAnsi"/>
          <w:lang w:val="en-MY"/>
        </w:rPr>
        <w:t xml:space="preserve"> of the current monthly minimum wage (</w:t>
      </w:r>
      <w:r w:rsidR="006C28B8">
        <w:rPr>
          <w:rFonts w:eastAsiaTheme="minorHAnsi"/>
          <w:lang w:val="en-MY"/>
        </w:rPr>
        <w:t>Kip</w:t>
      </w:r>
      <w:r w:rsidRPr="00784AD7">
        <w:rPr>
          <w:rFonts w:eastAsiaTheme="minorHAnsi"/>
          <w:lang w:val="en-MY"/>
        </w:rPr>
        <w:t xml:space="preserve">900,000) i.e. </w:t>
      </w:r>
      <w:r w:rsidR="006C28B8">
        <w:rPr>
          <w:rFonts w:eastAsiaTheme="minorHAnsi"/>
          <w:lang w:val="en-MY"/>
        </w:rPr>
        <w:t>Kip</w:t>
      </w:r>
      <w:r w:rsidRPr="00784AD7">
        <w:rPr>
          <w:rFonts w:eastAsiaTheme="minorHAnsi"/>
          <w:lang w:val="en-MY"/>
        </w:rPr>
        <w:t>450,000.</w:t>
      </w:r>
    </w:p>
    <w:p w14:paraId="2B25F95D" w14:textId="77777777" w:rsidR="00784AD7" w:rsidRPr="00D1361D" w:rsidRDefault="00784AD7" w:rsidP="00784AD7">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84AD7">
        <w:rPr>
          <w:rFonts w:ascii="Times New Roman" w:hAnsi="Times New Roman"/>
          <w:b/>
          <w:sz w:val="24"/>
        </w:rPr>
        <w:t xml:space="preserve">The Nam </w:t>
      </w:r>
      <w:proofErr w:type="spellStart"/>
      <w:r w:rsidRPr="00784AD7">
        <w:rPr>
          <w:rFonts w:ascii="Times New Roman" w:hAnsi="Times New Roman"/>
          <w:b/>
          <w:sz w:val="24"/>
        </w:rPr>
        <w:t>Theun</w:t>
      </w:r>
      <w:proofErr w:type="spellEnd"/>
      <w:r w:rsidRPr="00784AD7">
        <w:rPr>
          <w:rFonts w:ascii="Times New Roman" w:hAnsi="Times New Roman"/>
          <w:b/>
          <w:sz w:val="24"/>
        </w:rPr>
        <w:t xml:space="preserve"> 2 Hydropower Project (NT2) in operation since 2010 introduced key international good PFM practices and played an important role in strengthening the country’s overall PFM framework, paving the way for broader PFM reforms</w:t>
      </w:r>
      <w:r w:rsidRPr="00784AD7">
        <w:rPr>
          <w:rFonts w:ascii="Times New Roman" w:hAnsi="Times New Roman"/>
          <w:sz w:val="24"/>
        </w:rPr>
        <w:t>.</w:t>
      </w:r>
      <w:r w:rsidRPr="00784AD7">
        <w:rPr>
          <w:rStyle w:val="FootnoteReference"/>
          <w:rFonts w:ascii="Times New Roman" w:hAnsi="Times New Roman"/>
          <w:sz w:val="24"/>
        </w:rPr>
        <w:footnoteReference w:id="21"/>
      </w:r>
      <w:r w:rsidRPr="00784AD7">
        <w:rPr>
          <w:rFonts w:ascii="Times New Roman" w:hAnsi="Times New Roman"/>
          <w:sz w:val="24"/>
        </w:rPr>
        <w:t xml:space="preserve">  In particular, the Revenue Management Program (RMP) associated to its operations was set to assist the Government of Lao PDR to implement priority poverty reduction and environmental programs using revenues from the Nam </w:t>
      </w:r>
      <w:proofErr w:type="spellStart"/>
      <w:r w:rsidRPr="00784AD7">
        <w:rPr>
          <w:rFonts w:ascii="Times New Roman" w:hAnsi="Times New Roman"/>
          <w:sz w:val="24"/>
        </w:rPr>
        <w:t>Theun</w:t>
      </w:r>
      <w:proofErr w:type="spellEnd"/>
      <w:r w:rsidRPr="00784AD7">
        <w:rPr>
          <w:rFonts w:ascii="Times New Roman" w:hAnsi="Times New Roman"/>
          <w:sz w:val="24"/>
        </w:rPr>
        <w:t xml:space="preserve"> 2 Hydroelectric Power facility. Net revenues from royalties, dividends, profit taxes, and dividend taxes serve to finance eligible programs and projects selected by the government based on RMP criteria (poverty alleviation or environmental management) and implemented through the state budget. The eligible projects are public investment projects selected by the Ministry of Planning and Investment and implemented by sector specific ministries, such as Education, Health, and Energy and Mining. Examples include reforestation, school and dormitory construction, supply of medical equipment to health centers, and rural access road construction, among others. Eligible programs include poverty programs such as School Block Grants, Free Maternal and Child Health Scheme, Poverty Reduction Fund, and Health Equity Fund, which are under the </w:t>
      </w:r>
      <w:r w:rsidRPr="00784AD7">
        <w:rPr>
          <w:rFonts w:ascii="Times New Roman" w:hAnsi="Times New Roman"/>
          <w:sz w:val="24"/>
        </w:rPr>
        <w:lastRenderedPageBreak/>
        <w:t xml:space="preserve">oversight of the Ministry of Finance, Ministry of Health, and Ministry of Education and Sports. RMP seeks to </w:t>
      </w:r>
      <w:r w:rsidRPr="00D1361D">
        <w:rPr>
          <w:rFonts w:ascii="Times New Roman" w:hAnsi="Times New Roman"/>
          <w:spacing w:val="-2"/>
          <w:sz w:val="24"/>
        </w:rPr>
        <w:t>ensure and monitor compliance of this requirement by tracking revenue sources and the allocation and disbursement to eligible projects and programs, including audits. As of the end of December 2016, the Government has received over $153 million in net revenues from the project since the start of commercial operations in 2010. Net revenues of around $28 million are estimated in 2017. On average, NT2 revenues have accounted for about 1% of the national budget during this period. The RMP arrangements have also introduced good budget transparency practices as the government</w:t>
      </w:r>
      <w:r w:rsidRPr="00D1361D">
        <w:rPr>
          <w:rFonts w:ascii="Times New Roman" w:hAnsi="Times New Roman"/>
          <w:sz w:val="24"/>
        </w:rPr>
        <w:t xml:space="preserve"> published the SAO Audit Reports on the implementation of selected eligible programs from FY2009/10 to FY2014/15. In September 2017, the SAO published the audit reports on the NT2 revenues on its website, among the first reports made publicly available by the institution. </w:t>
      </w:r>
    </w:p>
    <w:p w14:paraId="6ADC30C3" w14:textId="77777777" w:rsidR="00D4304D" w:rsidRDefault="00D4304D">
      <w:pPr>
        <w:spacing w:after="240" w:line="276" w:lineRule="auto"/>
        <w:rPr>
          <w:rFonts w:ascii="Times New Roman" w:hAnsi="Times New Roman"/>
          <w:sz w:val="24"/>
        </w:rPr>
      </w:pPr>
      <w:r>
        <w:rPr>
          <w:rFonts w:ascii="Times New Roman" w:hAnsi="Times New Roman"/>
          <w:sz w:val="24"/>
        </w:rPr>
        <w:br w:type="page"/>
      </w:r>
    </w:p>
    <w:p w14:paraId="1C4789BA" w14:textId="77777777" w:rsidR="007518E4" w:rsidRPr="008D3EF5" w:rsidRDefault="007518E4" w:rsidP="00C66FE9">
      <w:pPr>
        <w:pStyle w:val="Headinglevel2PEFA"/>
        <w:numPr>
          <w:ilvl w:val="0"/>
          <w:numId w:val="93"/>
        </w:numPr>
        <w:jc w:val="center"/>
        <w:rPr>
          <w:rFonts w:ascii="Times New Roman" w:hAnsi="Times New Roman"/>
          <w:sz w:val="44"/>
          <w:szCs w:val="44"/>
        </w:rPr>
      </w:pPr>
      <w:bookmarkStart w:id="27" w:name="_Toc518901780"/>
      <w:r w:rsidRPr="008D3EF5">
        <w:rPr>
          <w:rFonts w:ascii="Times New Roman" w:hAnsi="Times New Roman"/>
          <w:sz w:val="44"/>
          <w:szCs w:val="44"/>
        </w:rPr>
        <w:lastRenderedPageBreak/>
        <w:t>Assessment of PFM Performance</w:t>
      </w:r>
      <w:bookmarkEnd w:id="27"/>
    </w:p>
    <w:p w14:paraId="7F7B52CC" w14:textId="77777777" w:rsidR="007518E4" w:rsidRPr="00200DE4" w:rsidRDefault="007518E4" w:rsidP="00200DE4">
      <w:pPr>
        <w:pStyle w:val="Heading1"/>
        <w:ind w:left="0"/>
        <w:jc w:val="both"/>
        <w:rPr>
          <w:rFonts w:ascii="Times New Roman" w:eastAsia="Calibri" w:hAnsi="Times New Roman"/>
          <w:b/>
          <w:szCs w:val="40"/>
        </w:rPr>
      </w:pPr>
      <w:bookmarkStart w:id="28" w:name="_Toc464528027"/>
      <w:bookmarkStart w:id="29" w:name="_Toc518901781"/>
      <w:bookmarkStart w:id="30" w:name="_Toc4148977"/>
      <w:r w:rsidRPr="00200DE4">
        <w:rPr>
          <w:rFonts w:ascii="Times New Roman" w:eastAsia="Calibri" w:hAnsi="Times New Roman"/>
          <w:b/>
          <w:szCs w:val="40"/>
        </w:rPr>
        <w:t>PILLAR ONE: Budget Reliability</w:t>
      </w:r>
      <w:bookmarkEnd w:id="28"/>
      <w:bookmarkEnd w:id="29"/>
      <w:bookmarkEnd w:id="30"/>
    </w:p>
    <w:p w14:paraId="39245F16" w14:textId="77777777" w:rsidR="007518E4" w:rsidRDefault="007518E4" w:rsidP="008D3EF5">
      <w:pPr>
        <w:pStyle w:val="Heading3"/>
        <w:ind w:left="0"/>
        <w:rPr>
          <w:rFonts w:ascii="Times New Roman" w:eastAsia="Calibri" w:hAnsi="Times New Roman"/>
          <w:b w:val="0"/>
          <w:bCs w:val="0"/>
          <w:color w:val="559AB3"/>
          <w:spacing w:val="-1"/>
          <w:szCs w:val="28"/>
        </w:rPr>
      </w:pPr>
      <w:bookmarkStart w:id="31" w:name="_Toc518901782"/>
      <w:bookmarkStart w:id="32" w:name="_Toc4148978"/>
      <w:r w:rsidRPr="00FE6ED4">
        <w:rPr>
          <w:rFonts w:ascii="Times New Roman" w:eastAsia="Calibri" w:hAnsi="Times New Roman"/>
          <w:color w:val="559AB3"/>
          <w:spacing w:val="-1"/>
          <w:szCs w:val="28"/>
        </w:rPr>
        <w:t xml:space="preserve">PI-1. </w:t>
      </w:r>
      <w:r w:rsidRPr="008D65E9">
        <w:rPr>
          <w:rFonts w:ascii="Times New Roman" w:eastAsia="Calibri" w:hAnsi="Times New Roman"/>
          <w:color w:val="559AB3"/>
          <w:spacing w:val="-1"/>
          <w:szCs w:val="28"/>
        </w:rPr>
        <w:t>Aggregate</w:t>
      </w:r>
      <w:r w:rsidRPr="00FE6ED4">
        <w:rPr>
          <w:rFonts w:ascii="Times New Roman" w:eastAsia="Calibri" w:hAnsi="Times New Roman"/>
          <w:color w:val="559AB3"/>
          <w:spacing w:val="-1"/>
          <w:szCs w:val="28"/>
        </w:rPr>
        <w:t xml:space="preserve"> </w:t>
      </w:r>
      <w:r>
        <w:rPr>
          <w:rFonts w:ascii="Times New Roman" w:eastAsia="Calibri" w:hAnsi="Times New Roman"/>
          <w:color w:val="559AB3"/>
          <w:spacing w:val="-1"/>
          <w:szCs w:val="28"/>
        </w:rPr>
        <w:t>e</w:t>
      </w:r>
      <w:r w:rsidRPr="00FE6ED4">
        <w:rPr>
          <w:rFonts w:ascii="Times New Roman" w:eastAsia="Calibri" w:hAnsi="Times New Roman"/>
          <w:color w:val="559AB3"/>
          <w:spacing w:val="-1"/>
          <w:szCs w:val="28"/>
        </w:rPr>
        <w:t xml:space="preserve">xpenditure </w:t>
      </w:r>
      <w:r>
        <w:rPr>
          <w:rFonts w:ascii="Times New Roman" w:eastAsia="Calibri" w:hAnsi="Times New Roman"/>
          <w:color w:val="559AB3"/>
          <w:spacing w:val="-1"/>
          <w:szCs w:val="28"/>
        </w:rPr>
        <w:t>o</w:t>
      </w:r>
      <w:r w:rsidRPr="00FE6ED4">
        <w:rPr>
          <w:rFonts w:ascii="Times New Roman" w:eastAsia="Calibri" w:hAnsi="Times New Roman"/>
          <w:color w:val="559AB3"/>
          <w:spacing w:val="-1"/>
          <w:szCs w:val="28"/>
        </w:rPr>
        <w:t>utturn</w:t>
      </w:r>
      <w:bookmarkEnd w:id="31"/>
      <w:bookmarkEnd w:id="32"/>
    </w:p>
    <w:p w14:paraId="436095F3" w14:textId="77777777" w:rsidR="007518E4" w:rsidRPr="00E778F7"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color w:val="000000"/>
          <w:sz w:val="24"/>
        </w:rPr>
      </w:pPr>
      <w:r w:rsidRPr="008D3EF5">
        <w:rPr>
          <w:rFonts w:ascii="Times New Roman" w:hAnsi="Times New Roman"/>
          <w:b/>
          <w:color w:val="000000"/>
          <w:sz w:val="24"/>
        </w:rPr>
        <w:t>This indicator assesses the credibility of the budget by calculating the extent to which actual aggregate expenditure deviates from the original budget for the last three years of available data.</w:t>
      </w:r>
      <w:r w:rsidRPr="00265A82">
        <w:rPr>
          <w:rFonts w:ascii="Times New Roman" w:hAnsi="Times New Roman"/>
          <w:color w:val="000000"/>
          <w:sz w:val="24"/>
        </w:rPr>
        <w:t xml:space="preserve"> Coverage is Budgetary Central Government. T</w:t>
      </w:r>
      <w:r w:rsidRPr="001F39FB">
        <w:rPr>
          <w:rFonts w:ascii="Times New Roman" w:hAnsi="Times New Roman"/>
          <w:color w:val="000000"/>
          <w:sz w:val="24"/>
        </w:rPr>
        <w:t xml:space="preserve">he assessment is </w:t>
      </w:r>
      <w:r w:rsidRPr="009D64BB">
        <w:rPr>
          <w:rFonts w:ascii="Times New Roman" w:hAnsi="Times New Roman"/>
          <w:color w:val="000000"/>
          <w:spacing w:val="-2"/>
          <w:sz w:val="24"/>
        </w:rPr>
        <w:t>based on the budget and actual expenditure for the fiscal years 2013/14, 2014/15 and 2015/16</w:t>
      </w:r>
      <w:r w:rsidRPr="001F39FB">
        <w:rPr>
          <w:rFonts w:ascii="Times New Roman" w:hAnsi="Times New Roman"/>
          <w:color w:val="00000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5"/>
        <w:gridCol w:w="1776"/>
        <w:gridCol w:w="3875"/>
      </w:tblGrid>
      <w:tr w:rsidR="007518E4" w:rsidRPr="00930334" w14:paraId="7CFAB679" w14:textId="77777777" w:rsidTr="007518E4">
        <w:trPr>
          <w:trHeight w:val="397"/>
          <w:jc w:val="center"/>
        </w:trPr>
        <w:tc>
          <w:tcPr>
            <w:tcW w:w="18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6565A3" w14:textId="77777777" w:rsidR="007518E4" w:rsidRPr="00171424" w:rsidRDefault="007518E4" w:rsidP="008D3EF5">
            <w:pPr>
              <w:spacing w:before="0"/>
              <w:ind w:left="0"/>
              <w:jc w:val="left"/>
              <w:rPr>
                <w:rFonts w:ascii="Times New Roman" w:hAnsi="Times New Roman"/>
                <w:sz w:val="20"/>
              </w:rPr>
            </w:pPr>
            <w:r w:rsidRPr="00171424">
              <w:rPr>
                <w:rFonts w:ascii="Times New Roman" w:hAnsi="Times New Roman"/>
                <w:sz w:val="20"/>
              </w:rPr>
              <w:t>Indicator/Dimension</w:t>
            </w:r>
          </w:p>
        </w:tc>
        <w:tc>
          <w:tcPr>
            <w:tcW w:w="9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F920AB" w14:textId="77777777" w:rsidR="007518E4" w:rsidRPr="00171424" w:rsidRDefault="007518E4" w:rsidP="008D3EF5">
            <w:pPr>
              <w:spacing w:before="0"/>
              <w:ind w:left="0"/>
              <w:jc w:val="center"/>
              <w:rPr>
                <w:rFonts w:ascii="Times New Roman" w:hAnsi="Times New Roman"/>
                <w:sz w:val="20"/>
              </w:rPr>
            </w:pPr>
            <w:r w:rsidRPr="00171424">
              <w:rPr>
                <w:rFonts w:ascii="Times New Roman" w:hAnsi="Times New Roman"/>
                <w:sz w:val="20"/>
              </w:rPr>
              <w:t>Score</w:t>
            </w:r>
          </w:p>
        </w:tc>
        <w:tc>
          <w:tcPr>
            <w:tcW w:w="21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66FCBE" w14:textId="77777777" w:rsidR="007518E4" w:rsidRPr="00171424" w:rsidRDefault="007518E4" w:rsidP="008D3EF5">
            <w:pPr>
              <w:spacing w:before="0"/>
              <w:ind w:left="0"/>
              <w:jc w:val="left"/>
              <w:rPr>
                <w:rFonts w:ascii="Times New Roman" w:hAnsi="Times New Roman"/>
                <w:sz w:val="20"/>
              </w:rPr>
            </w:pPr>
            <w:r w:rsidRPr="00171424">
              <w:rPr>
                <w:rFonts w:ascii="Times New Roman" w:hAnsi="Times New Roman"/>
                <w:sz w:val="20"/>
              </w:rPr>
              <w:t>Brief Explanation</w:t>
            </w:r>
          </w:p>
        </w:tc>
      </w:tr>
      <w:tr w:rsidR="007518E4" w:rsidRPr="00930334" w14:paraId="14902221" w14:textId="77777777" w:rsidTr="007518E4">
        <w:trPr>
          <w:trHeight w:val="611"/>
          <w:jc w:val="center"/>
        </w:trPr>
        <w:tc>
          <w:tcPr>
            <w:tcW w:w="1866" w:type="pct"/>
            <w:tcBorders>
              <w:top w:val="single" w:sz="4" w:space="0" w:color="auto"/>
              <w:left w:val="single" w:sz="4" w:space="0" w:color="auto"/>
              <w:bottom w:val="single" w:sz="4" w:space="0" w:color="auto"/>
              <w:right w:val="single" w:sz="4" w:space="0" w:color="auto"/>
            </w:tcBorders>
            <w:vAlign w:val="center"/>
            <w:hideMark/>
          </w:tcPr>
          <w:p w14:paraId="39373BAA" w14:textId="77777777" w:rsidR="007518E4" w:rsidRPr="00171424" w:rsidRDefault="007518E4" w:rsidP="008D3EF5">
            <w:pPr>
              <w:spacing w:before="0"/>
              <w:ind w:left="0"/>
              <w:jc w:val="left"/>
              <w:rPr>
                <w:rFonts w:ascii="Times New Roman" w:hAnsi="Times New Roman"/>
                <w:sz w:val="20"/>
              </w:rPr>
            </w:pPr>
            <w:r w:rsidRPr="00171424">
              <w:rPr>
                <w:rFonts w:ascii="Times New Roman" w:hAnsi="Times New Roman"/>
                <w:sz w:val="20"/>
              </w:rPr>
              <w:t>PI-1 Aggregate expenditure outturn</w:t>
            </w:r>
          </w:p>
        </w:tc>
        <w:tc>
          <w:tcPr>
            <w:tcW w:w="985" w:type="pct"/>
            <w:tcBorders>
              <w:top w:val="single" w:sz="4" w:space="0" w:color="auto"/>
              <w:left w:val="single" w:sz="4" w:space="0" w:color="auto"/>
              <w:bottom w:val="single" w:sz="4" w:space="0" w:color="auto"/>
              <w:right w:val="single" w:sz="4" w:space="0" w:color="auto"/>
            </w:tcBorders>
            <w:vAlign w:val="center"/>
          </w:tcPr>
          <w:p w14:paraId="16F8BE67" w14:textId="77777777" w:rsidR="007518E4" w:rsidRPr="00171424" w:rsidRDefault="007518E4" w:rsidP="008D3EF5">
            <w:pPr>
              <w:spacing w:before="0"/>
              <w:ind w:left="0"/>
              <w:jc w:val="center"/>
              <w:rPr>
                <w:rFonts w:ascii="Times New Roman" w:hAnsi="Times New Roman"/>
                <w:sz w:val="20"/>
              </w:rPr>
            </w:pPr>
            <w:r w:rsidRPr="00171424">
              <w:rPr>
                <w:rFonts w:ascii="Times New Roman" w:hAnsi="Times New Roman"/>
                <w:sz w:val="20"/>
              </w:rPr>
              <w:t>A</w:t>
            </w:r>
          </w:p>
        </w:tc>
        <w:tc>
          <w:tcPr>
            <w:tcW w:w="2149" w:type="pct"/>
            <w:tcBorders>
              <w:top w:val="single" w:sz="4" w:space="0" w:color="auto"/>
              <w:left w:val="single" w:sz="4" w:space="0" w:color="auto"/>
              <w:bottom w:val="single" w:sz="4" w:space="0" w:color="auto"/>
              <w:right w:val="single" w:sz="4" w:space="0" w:color="auto"/>
            </w:tcBorders>
            <w:vAlign w:val="center"/>
          </w:tcPr>
          <w:p w14:paraId="5FAD407F" w14:textId="618C6F2C" w:rsidR="007518E4" w:rsidRPr="00171424" w:rsidRDefault="007518E4" w:rsidP="00443332">
            <w:pPr>
              <w:autoSpaceDE w:val="0"/>
              <w:autoSpaceDN w:val="0"/>
              <w:adjustRightInd w:val="0"/>
              <w:spacing w:before="0"/>
              <w:ind w:left="0"/>
              <w:jc w:val="left"/>
              <w:rPr>
                <w:rFonts w:ascii="Times New Roman" w:hAnsi="Times New Roman"/>
                <w:color w:val="000000"/>
                <w:sz w:val="20"/>
                <w:szCs w:val="20"/>
              </w:rPr>
            </w:pPr>
            <w:r w:rsidRPr="00171424">
              <w:rPr>
                <w:rFonts w:ascii="Times New Roman" w:hAnsi="Times New Roman"/>
                <w:color w:val="000000"/>
                <w:sz w:val="20"/>
                <w:szCs w:val="20"/>
              </w:rPr>
              <w:t xml:space="preserve">At </w:t>
            </w:r>
            <w:r>
              <w:rPr>
                <w:rFonts w:ascii="Times New Roman" w:hAnsi="Times New Roman"/>
                <w:color w:val="000000"/>
                <w:sz w:val="20"/>
                <w:szCs w:val="20"/>
              </w:rPr>
              <w:t>102.0</w:t>
            </w:r>
            <w:r w:rsidRPr="00171424">
              <w:rPr>
                <w:rFonts w:ascii="Times New Roman" w:hAnsi="Times New Roman"/>
                <w:color w:val="000000"/>
                <w:sz w:val="20"/>
                <w:szCs w:val="20"/>
              </w:rPr>
              <w:t>% for 2014/15</w:t>
            </w:r>
            <w:r w:rsidR="00AE0D69">
              <w:rPr>
                <w:rFonts w:ascii="Times New Roman" w:hAnsi="Times New Roman"/>
                <w:color w:val="000000"/>
                <w:sz w:val="20"/>
                <w:szCs w:val="20"/>
              </w:rPr>
              <w:t xml:space="preserve">, </w:t>
            </w:r>
            <w:r w:rsidRPr="00171424">
              <w:rPr>
                <w:rFonts w:ascii="Times New Roman" w:hAnsi="Times New Roman"/>
                <w:color w:val="000000"/>
                <w:sz w:val="20"/>
                <w:szCs w:val="20"/>
              </w:rPr>
              <w:t>95.</w:t>
            </w:r>
            <w:r>
              <w:rPr>
                <w:rFonts w:ascii="Times New Roman" w:hAnsi="Times New Roman"/>
                <w:color w:val="000000"/>
                <w:sz w:val="20"/>
                <w:szCs w:val="20"/>
              </w:rPr>
              <w:t>7</w:t>
            </w:r>
            <w:r w:rsidRPr="00171424">
              <w:rPr>
                <w:rFonts w:ascii="Times New Roman" w:hAnsi="Times New Roman"/>
                <w:color w:val="000000"/>
                <w:sz w:val="20"/>
                <w:szCs w:val="20"/>
              </w:rPr>
              <w:t>% for 2015/16</w:t>
            </w:r>
            <w:r w:rsidR="00AE0D69">
              <w:rPr>
                <w:rFonts w:ascii="Times New Roman" w:hAnsi="Times New Roman"/>
                <w:color w:val="000000"/>
                <w:sz w:val="20"/>
                <w:szCs w:val="20"/>
              </w:rPr>
              <w:t xml:space="preserve"> and 100</w:t>
            </w:r>
            <w:r w:rsidR="00443332">
              <w:rPr>
                <w:rFonts w:ascii="Times New Roman" w:hAnsi="Times New Roman"/>
                <w:color w:val="000000"/>
                <w:sz w:val="20"/>
                <w:szCs w:val="20"/>
              </w:rPr>
              <w:t>.1</w:t>
            </w:r>
            <w:proofErr w:type="gramStart"/>
            <w:r w:rsidR="00AE0D69">
              <w:rPr>
                <w:rFonts w:ascii="Times New Roman" w:hAnsi="Times New Roman"/>
                <w:color w:val="000000"/>
                <w:sz w:val="20"/>
                <w:szCs w:val="20"/>
              </w:rPr>
              <w:t xml:space="preserve">% </w:t>
            </w:r>
            <w:r w:rsidR="00443332">
              <w:rPr>
                <w:rFonts w:ascii="Times New Roman" w:hAnsi="Times New Roman"/>
                <w:color w:val="000000"/>
                <w:sz w:val="20"/>
                <w:szCs w:val="20"/>
              </w:rPr>
              <w:t xml:space="preserve"> for</w:t>
            </w:r>
            <w:proofErr w:type="gramEnd"/>
            <w:r w:rsidR="00443332">
              <w:rPr>
                <w:rFonts w:ascii="Times New Roman" w:hAnsi="Times New Roman"/>
                <w:color w:val="000000"/>
                <w:sz w:val="20"/>
                <w:szCs w:val="20"/>
              </w:rPr>
              <w:t xml:space="preserve"> 2017 </w:t>
            </w:r>
            <w:r w:rsidRPr="00171424">
              <w:rPr>
                <w:rFonts w:ascii="Times New Roman" w:hAnsi="Times New Roman"/>
                <w:color w:val="000000"/>
                <w:sz w:val="20"/>
                <w:szCs w:val="20"/>
              </w:rPr>
              <w:t xml:space="preserve">respectively, aggregate expenditure outturn deviated less than 5% from the approved budget in </w:t>
            </w:r>
            <w:r>
              <w:rPr>
                <w:rFonts w:ascii="Times New Roman" w:hAnsi="Times New Roman"/>
                <w:color w:val="000000"/>
                <w:sz w:val="20"/>
                <w:szCs w:val="20"/>
              </w:rPr>
              <w:t>all</w:t>
            </w:r>
            <w:r w:rsidRPr="00171424">
              <w:rPr>
                <w:rFonts w:ascii="Times New Roman" w:hAnsi="Times New Roman"/>
                <w:color w:val="000000"/>
                <w:sz w:val="20"/>
                <w:szCs w:val="20"/>
              </w:rPr>
              <w:t xml:space="preserve"> of the three fiscal years. </w:t>
            </w:r>
          </w:p>
        </w:tc>
      </w:tr>
    </w:tbl>
    <w:p w14:paraId="787A053B" w14:textId="77777777" w:rsidR="007518E4" w:rsidRPr="00E136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iCs/>
          <w:color w:val="000000"/>
          <w:sz w:val="24"/>
        </w:rPr>
      </w:pPr>
      <w:r w:rsidRPr="008D3EF5">
        <w:rPr>
          <w:rFonts w:ascii="Times New Roman" w:hAnsi="Times New Roman"/>
          <w:b/>
          <w:color w:val="000000"/>
          <w:sz w:val="24"/>
        </w:rPr>
        <w:t>Table 3-1 presents</w:t>
      </w:r>
      <w:r w:rsidRPr="008D3EF5">
        <w:rPr>
          <w:rFonts w:ascii="Times New Roman" w:eastAsia="Calibri" w:hAnsi="Times New Roman"/>
          <w:b/>
          <w:color w:val="000000"/>
          <w:sz w:val="24"/>
        </w:rPr>
        <w:t xml:space="preserve"> aggregate outturn and approved budget.</w:t>
      </w:r>
      <w:r w:rsidR="009D64BB">
        <w:rPr>
          <w:rFonts w:ascii="Times New Roman" w:eastAsia="Calibri" w:hAnsi="Times New Roman"/>
          <w:color w:val="000000"/>
          <w:sz w:val="24"/>
        </w:rPr>
        <w:t xml:space="preserve"> </w:t>
      </w:r>
      <w:r w:rsidRPr="00E13630">
        <w:rPr>
          <w:rFonts w:ascii="Times New Roman" w:eastAsia="Calibri" w:hAnsi="Times New Roman"/>
          <w:color w:val="000000"/>
          <w:sz w:val="24"/>
        </w:rPr>
        <w:t>Outturn relative to the budget was</w:t>
      </w:r>
      <w:r w:rsidR="00AE0D69">
        <w:rPr>
          <w:rFonts w:ascii="Times New Roman" w:eastAsia="Calibri" w:hAnsi="Times New Roman"/>
          <w:color w:val="000000"/>
          <w:sz w:val="24"/>
        </w:rPr>
        <w:t xml:space="preserve"> </w:t>
      </w:r>
      <w:r>
        <w:rPr>
          <w:rFonts w:ascii="Times New Roman" w:eastAsia="Calibri" w:hAnsi="Times New Roman"/>
          <w:color w:val="000000"/>
          <w:sz w:val="24"/>
        </w:rPr>
        <w:t>102.0</w:t>
      </w:r>
      <w:r w:rsidRPr="00E13630">
        <w:rPr>
          <w:rFonts w:ascii="Times New Roman" w:eastAsia="Calibri" w:hAnsi="Times New Roman"/>
          <w:color w:val="000000"/>
          <w:sz w:val="24"/>
        </w:rPr>
        <w:t>% in</w:t>
      </w:r>
      <w:r>
        <w:rPr>
          <w:rFonts w:ascii="Times New Roman" w:eastAsia="Calibri" w:hAnsi="Times New Roman"/>
          <w:color w:val="000000"/>
          <w:sz w:val="24"/>
        </w:rPr>
        <w:t xml:space="preserve"> 2014/15</w:t>
      </w:r>
      <w:r w:rsidR="00AE0D69">
        <w:rPr>
          <w:rFonts w:ascii="Times New Roman" w:eastAsia="Calibri" w:hAnsi="Times New Roman"/>
          <w:color w:val="000000"/>
          <w:sz w:val="24"/>
        </w:rPr>
        <w:t xml:space="preserve">, </w:t>
      </w:r>
      <w:r>
        <w:rPr>
          <w:rFonts w:ascii="Times New Roman" w:eastAsia="Calibri" w:hAnsi="Times New Roman"/>
          <w:color w:val="000000"/>
          <w:sz w:val="24"/>
        </w:rPr>
        <w:t>95.7</w:t>
      </w:r>
      <w:r w:rsidRPr="00E13630">
        <w:rPr>
          <w:rFonts w:ascii="Times New Roman" w:eastAsia="Calibri" w:hAnsi="Times New Roman"/>
          <w:color w:val="000000"/>
          <w:sz w:val="24"/>
        </w:rPr>
        <w:t>% in 2015/16</w:t>
      </w:r>
      <w:r w:rsidR="00AE0D69">
        <w:rPr>
          <w:rFonts w:ascii="Times New Roman" w:eastAsia="Calibri" w:hAnsi="Times New Roman"/>
          <w:color w:val="000000"/>
          <w:sz w:val="24"/>
        </w:rPr>
        <w:t xml:space="preserve"> and 100.1% in 2017</w:t>
      </w:r>
      <w:r w:rsidRPr="00E13630">
        <w:rPr>
          <w:rFonts w:ascii="Times New Roman" w:eastAsia="Calibri" w:hAnsi="Times New Roman"/>
          <w:color w:val="000000"/>
          <w:sz w:val="24"/>
        </w:rPr>
        <w:t xml:space="preserve">. </w:t>
      </w:r>
      <w:r w:rsidRPr="00E13630">
        <w:rPr>
          <w:rFonts w:ascii="Times New Roman" w:hAnsi="Times New Roman"/>
          <w:sz w:val="24"/>
        </w:rPr>
        <w:t xml:space="preserve">Outturn data for last completed FY 2017 budget </w:t>
      </w:r>
      <w:r w:rsidR="00AE0D69">
        <w:rPr>
          <w:rFonts w:ascii="Times New Roman" w:hAnsi="Times New Roman"/>
          <w:sz w:val="24"/>
        </w:rPr>
        <w:t>has been estimated by MoF</w:t>
      </w:r>
      <w:r w:rsidR="006E0A09">
        <w:rPr>
          <w:rFonts w:ascii="Times New Roman" w:hAnsi="Times New Roman"/>
          <w:sz w:val="24"/>
        </w:rPr>
        <w:t xml:space="preserve"> </w:t>
      </w:r>
      <w:r w:rsidRPr="00E13630">
        <w:rPr>
          <w:rFonts w:ascii="Times New Roman" w:hAnsi="Times New Roman"/>
          <w:sz w:val="24"/>
        </w:rPr>
        <w:t>at the time of the assessment</w:t>
      </w:r>
      <w:r w:rsidR="00AE0D69">
        <w:rPr>
          <w:rFonts w:ascii="Times New Roman" w:hAnsi="Times New Roman"/>
          <w:sz w:val="24"/>
        </w:rPr>
        <w:t xml:space="preserve"> and is not official data</w:t>
      </w:r>
      <w:r w:rsidRPr="00E13630">
        <w:rPr>
          <w:rFonts w:ascii="Times New Roman" w:hAnsi="Times New Roman"/>
          <w:sz w:val="24"/>
        </w:rPr>
        <w:t>.</w:t>
      </w:r>
      <w:r w:rsidRPr="00E13630">
        <w:rPr>
          <w:rFonts w:ascii="Times New Roman" w:eastAsia="Calibri" w:hAnsi="Times New Roman"/>
          <w:color w:val="000000"/>
          <w:sz w:val="24"/>
        </w:rPr>
        <w:t xml:space="preserve"> </w:t>
      </w:r>
    </w:p>
    <w:p w14:paraId="7C279FF1" w14:textId="77777777" w:rsidR="007518E4" w:rsidRPr="008D3EF5" w:rsidRDefault="007518E4" w:rsidP="007518E4">
      <w:pPr>
        <w:rPr>
          <w:rFonts w:ascii="Times New Roman" w:hAnsi="Times New Roman"/>
          <w:b/>
          <w:color w:val="000000" w:themeColor="text1"/>
        </w:rPr>
      </w:pPr>
      <w:bookmarkStart w:id="33" w:name="_Toc473816589"/>
      <w:bookmarkStart w:id="34" w:name="_Toc465083478"/>
      <w:r w:rsidRPr="008D3EF5">
        <w:rPr>
          <w:rFonts w:ascii="Times New Roman" w:hAnsi="Times New Roman"/>
          <w:b/>
          <w:color w:val="000000" w:themeColor="text1"/>
        </w:rPr>
        <w:t>Table 3-1: Aggregate Expenditure Outturn and Approved Budget</w:t>
      </w:r>
      <w:bookmarkEnd w:id="33"/>
      <w:bookmarkEnd w:id="34"/>
      <w:r w:rsidRPr="008D3EF5">
        <w:rPr>
          <w:rStyle w:val="FootnoteReference"/>
          <w:rFonts w:ascii="Times New Roman" w:hAnsi="Times New Roman"/>
          <w:b/>
          <w:bCs/>
          <w:color w:val="000000" w:themeColor="text1"/>
        </w:rPr>
        <w:footnoteReference w:id="22"/>
      </w:r>
    </w:p>
    <w:tbl>
      <w:tblPr>
        <w:tblStyle w:val="TableGrid"/>
        <w:tblW w:w="5000" w:type="pct"/>
        <w:jc w:val="center"/>
        <w:tblLook w:val="04A0" w:firstRow="1" w:lastRow="0" w:firstColumn="1" w:lastColumn="0" w:noHBand="0" w:noVBand="1"/>
      </w:tblPr>
      <w:tblGrid>
        <w:gridCol w:w="1542"/>
        <w:gridCol w:w="2578"/>
        <w:gridCol w:w="2788"/>
        <w:gridCol w:w="2108"/>
      </w:tblGrid>
      <w:tr w:rsidR="007518E4" w:rsidRPr="00930334" w14:paraId="731BF7C1" w14:textId="77777777" w:rsidTr="00AE0D69">
        <w:trPr>
          <w:trHeight w:val="728"/>
          <w:tblHeader/>
          <w:jc w:val="center"/>
        </w:trPr>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FD5F7" w14:textId="77777777" w:rsidR="007518E4" w:rsidRPr="00E13630" w:rsidRDefault="007518E4" w:rsidP="007518E4">
            <w:pPr>
              <w:spacing w:before="0"/>
              <w:jc w:val="center"/>
            </w:pPr>
            <w:r w:rsidRPr="00E13630">
              <w:t>Fiscal Year</w:t>
            </w:r>
          </w:p>
        </w:tc>
        <w:tc>
          <w:tcPr>
            <w:tcW w:w="1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0307C" w14:textId="77777777" w:rsidR="007518E4" w:rsidRPr="00E13630" w:rsidRDefault="007518E4" w:rsidP="007518E4">
            <w:pPr>
              <w:spacing w:before="0"/>
              <w:jc w:val="center"/>
            </w:pPr>
            <w:r w:rsidRPr="00E13630">
              <w:t>Original Approved Budget</w:t>
            </w:r>
          </w:p>
          <w:p w14:paraId="50C0D106" w14:textId="77777777" w:rsidR="007518E4" w:rsidRPr="00E13630" w:rsidRDefault="007518E4" w:rsidP="007518E4">
            <w:pPr>
              <w:spacing w:before="0"/>
              <w:jc w:val="center"/>
              <w:rPr>
                <w:bCs/>
                <w:color w:val="404040"/>
              </w:rPr>
            </w:pPr>
            <w:r w:rsidRPr="00E13630">
              <w:t>(Kip million)</w:t>
            </w:r>
          </w:p>
        </w:tc>
        <w:tc>
          <w:tcPr>
            <w:tcW w:w="1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FB411" w14:textId="77777777" w:rsidR="007518E4" w:rsidRPr="00E13630" w:rsidRDefault="007518E4" w:rsidP="007518E4">
            <w:pPr>
              <w:spacing w:before="0"/>
              <w:jc w:val="center"/>
            </w:pPr>
            <w:r w:rsidRPr="00E13630">
              <w:t>Aggregate Expenditure Outturn</w:t>
            </w:r>
          </w:p>
          <w:p w14:paraId="2B4B9E55" w14:textId="77777777" w:rsidR="007518E4" w:rsidRPr="00E13630" w:rsidRDefault="007518E4" w:rsidP="007518E4">
            <w:pPr>
              <w:spacing w:before="0"/>
              <w:jc w:val="center"/>
              <w:rPr>
                <w:bCs/>
                <w:color w:val="404040"/>
              </w:rPr>
            </w:pPr>
            <w:r w:rsidRPr="00E13630">
              <w:t>(Kip million)</w:t>
            </w:r>
          </w:p>
        </w:tc>
        <w:tc>
          <w:tcPr>
            <w:tcW w:w="11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5F886" w14:textId="77777777" w:rsidR="007518E4" w:rsidRPr="00E13630" w:rsidRDefault="007518E4" w:rsidP="007518E4">
            <w:pPr>
              <w:spacing w:before="0"/>
              <w:jc w:val="center"/>
            </w:pPr>
            <w:r w:rsidRPr="00E13630">
              <w:t>Outturn as a % of Budget</w:t>
            </w:r>
          </w:p>
        </w:tc>
      </w:tr>
      <w:tr w:rsidR="007518E4" w:rsidRPr="00930334" w14:paraId="031894C4" w14:textId="77777777" w:rsidTr="00AE0D69">
        <w:trPr>
          <w:jc w:val="center"/>
        </w:trPr>
        <w:tc>
          <w:tcPr>
            <w:tcW w:w="855" w:type="pct"/>
            <w:tcBorders>
              <w:top w:val="single" w:sz="4" w:space="0" w:color="auto"/>
              <w:left w:val="single" w:sz="4" w:space="0" w:color="auto"/>
              <w:bottom w:val="single" w:sz="4" w:space="0" w:color="auto"/>
              <w:right w:val="single" w:sz="4" w:space="0" w:color="auto"/>
            </w:tcBorders>
          </w:tcPr>
          <w:p w14:paraId="12FCA778" w14:textId="77777777" w:rsidR="007518E4" w:rsidRPr="00E13630" w:rsidRDefault="007518E4" w:rsidP="007518E4">
            <w:pPr>
              <w:spacing w:before="0"/>
              <w:jc w:val="center"/>
            </w:pPr>
            <w:r w:rsidRPr="00E13630">
              <w:t>2014/15</w:t>
            </w:r>
          </w:p>
        </w:tc>
        <w:tc>
          <w:tcPr>
            <w:tcW w:w="1430" w:type="pct"/>
            <w:tcBorders>
              <w:top w:val="single" w:sz="4" w:space="0" w:color="auto"/>
              <w:left w:val="single" w:sz="4" w:space="0" w:color="auto"/>
              <w:bottom w:val="single" w:sz="4" w:space="0" w:color="auto"/>
              <w:right w:val="single" w:sz="4" w:space="0" w:color="auto"/>
            </w:tcBorders>
            <w:vAlign w:val="bottom"/>
          </w:tcPr>
          <w:p w14:paraId="01B15FEB" w14:textId="77777777" w:rsidR="007518E4" w:rsidRPr="00E13630" w:rsidRDefault="007518E4" w:rsidP="007518E4">
            <w:pPr>
              <w:spacing w:before="0"/>
              <w:jc w:val="center"/>
            </w:pPr>
            <w:r w:rsidRPr="00E13630">
              <w:t>31,000,000</w:t>
            </w:r>
          </w:p>
        </w:tc>
        <w:tc>
          <w:tcPr>
            <w:tcW w:w="1546" w:type="pct"/>
            <w:tcBorders>
              <w:top w:val="single" w:sz="4" w:space="0" w:color="auto"/>
              <w:left w:val="single" w:sz="4" w:space="0" w:color="auto"/>
              <w:bottom w:val="single" w:sz="4" w:space="0" w:color="auto"/>
              <w:right w:val="single" w:sz="4" w:space="0" w:color="auto"/>
            </w:tcBorders>
            <w:vAlign w:val="bottom"/>
          </w:tcPr>
          <w:p w14:paraId="0CB96C20" w14:textId="77777777" w:rsidR="007518E4" w:rsidRPr="00E13630" w:rsidRDefault="007518E4" w:rsidP="007518E4">
            <w:pPr>
              <w:spacing w:before="0"/>
              <w:jc w:val="center"/>
            </w:pPr>
            <w:r>
              <w:t>31,605,370</w:t>
            </w:r>
          </w:p>
        </w:tc>
        <w:tc>
          <w:tcPr>
            <w:tcW w:w="1169" w:type="pct"/>
            <w:tcBorders>
              <w:top w:val="single" w:sz="4" w:space="0" w:color="auto"/>
              <w:left w:val="single" w:sz="4" w:space="0" w:color="auto"/>
              <w:bottom w:val="single" w:sz="4" w:space="0" w:color="auto"/>
              <w:right w:val="single" w:sz="4" w:space="0" w:color="auto"/>
            </w:tcBorders>
            <w:vAlign w:val="bottom"/>
          </w:tcPr>
          <w:p w14:paraId="4075D27B" w14:textId="77777777" w:rsidR="007518E4" w:rsidRPr="00024B8B" w:rsidRDefault="007518E4" w:rsidP="007518E4">
            <w:pPr>
              <w:spacing w:before="0"/>
              <w:jc w:val="center"/>
              <w:rPr>
                <w:color w:val="000000"/>
                <w:highlight w:val="yellow"/>
              </w:rPr>
            </w:pPr>
            <w:r w:rsidRPr="001E59DE">
              <w:rPr>
                <w:color w:val="000000"/>
              </w:rPr>
              <w:t>102.0%</w:t>
            </w:r>
          </w:p>
        </w:tc>
      </w:tr>
      <w:tr w:rsidR="007518E4" w:rsidRPr="00930334" w14:paraId="52ADBD8F" w14:textId="77777777" w:rsidTr="00AE0D69">
        <w:trPr>
          <w:jc w:val="center"/>
        </w:trPr>
        <w:tc>
          <w:tcPr>
            <w:tcW w:w="855" w:type="pct"/>
            <w:tcBorders>
              <w:top w:val="single" w:sz="4" w:space="0" w:color="auto"/>
              <w:left w:val="single" w:sz="4" w:space="0" w:color="auto"/>
              <w:bottom w:val="single" w:sz="4" w:space="0" w:color="auto"/>
              <w:right w:val="single" w:sz="4" w:space="0" w:color="auto"/>
            </w:tcBorders>
          </w:tcPr>
          <w:p w14:paraId="610FD075" w14:textId="77777777" w:rsidR="007518E4" w:rsidRPr="00E13630" w:rsidRDefault="007518E4" w:rsidP="007518E4">
            <w:pPr>
              <w:spacing w:before="0"/>
              <w:jc w:val="center"/>
            </w:pPr>
            <w:r w:rsidRPr="00E13630">
              <w:t>2015/16</w:t>
            </w:r>
          </w:p>
        </w:tc>
        <w:tc>
          <w:tcPr>
            <w:tcW w:w="1430" w:type="pct"/>
            <w:tcBorders>
              <w:top w:val="single" w:sz="4" w:space="0" w:color="auto"/>
              <w:left w:val="single" w:sz="4" w:space="0" w:color="auto"/>
              <w:bottom w:val="single" w:sz="4" w:space="0" w:color="auto"/>
              <w:right w:val="single" w:sz="4" w:space="0" w:color="auto"/>
            </w:tcBorders>
            <w:vAlign w:val="bottom"/>
          </w:tcPr>
          <w:p w14:paraId="36BD0D9F" w14:textId="77777777" w:rsidR="007518E4" w:rsidRPr="00E13630" w:rsidRDefault="007518E4" w:rsidP="007518E4">
            <w:pPr>
              <w:spacing w:before="0"/>
              <w:jc w:val="center"/>
            </w:pPr>
            <w:r w:rsidRPr="00E13630">
              <w:t>33,</w:t>
            </w:r>
            <w:r>
              <w:t>405</w:t>
            </w:r>
            <w:r w:rsidRPr="00E13630">
              <w:t>,000</w:t>
            </w:r>
          </w:p>
        </w:tc>
        <w:tc>
          <w:tcPr>
            <w:tcW w:w="1546" w:type="pct"/>
            <w:tcBorders>
              <w:top w:val="single" w:sz="4" w:space="0" w:color="auto"/>
              <w:left w:val="single" w:sz="4" w:space="0" w:color="auto"/>
              <w:bottom w:val="single" w:sz="4" w:space="0" w:color="auto"/>
              <w:right w:val="single" w:sz="4" w:space="0" w:color="auto"/>
            </w:tcBorders>
            <w:vAlign w:val="bottom"/>
          </w:tcPr>
          <w:p w14:paraId="0DC05393" w14:textId="77777777" w:rsidR="007518E4" w:rsidRPr="00E13630" w:rsidRDefault="007518E4" w:rsidP="007518E4">
            <w:pPr>
              <w:spacing w:before="0"/>
              <w:jc w:val="center"/>
            </w:pPr>
            <w:r w:rsidRPr="00E13630">
              <w:t>31,</w:t>
            </w:r>
            <w:r>
              <w:t>984,206</w:t>
            </w:r>
          </w:p>
        </w:tc>
        <w:tc>
          <w:tcPr>
            <w:tcW w:w="1169" w:type="pct"/>
            <w:tcBorders>
              <w:top w:val="single" w:sz="4" w:space="0" w:color="auto"/>
              <w:left w:val="single" w:sz="4" w:space="0" w:color="auto"/>
              <w:bottom w:val="single" w:sz="4" w:space="0" w:color="auto"/>
              <w:right w:val="single" w:sz="4" w:space="0" w:color="auto"/>
            </w:tcBorders>
            <w:vAlign w:val="bottom"/>
          </w:tcPr>
          <w:p w14:paraId="2652D478" w14:textId="77777777" w:rsidR="007518E4" w:rsidRPr="00024B8B" w:rsidRDefault="007518E4" w:rsidP="007518E4">
            <w:pPr>
              <w:spacing w:before="0"/>
              <w:jc w:val="center"/>
              <w:rPr>
                <w:color w:val="000000"/>
                <w:highlight w:val="yellow"/>
              </w:rPr>
            </w:pPr>
            <w:r>
              <w:rPr>
                <w:color w:val="000000"/>
              </w:rPr>
              <w:t>95</w:t>
            </w:r>
            <w:r w:rsidRPr="001E59DE">
              <w:rPr>
                <w:color w:val="000000"/>
              </w:rPr>
              <w:t>.7%</w:t>
            </w:r>
          </w:p>
        </w:tc>
      </w:tr>
      <w:tr w:rsidR="00884FB2" w:rsidRPr="00930334" w14:paraId="461AF576" w14:textId="77777777" w:rsidTr="00AE0D69">
        <w:trPr>
          <w:jc w:val="center"/>
        </w:trPr>
        <w:tc>
          <w:tcPr>
            <w:tcW w:w="855" w:type="pct"/>
            <w:tcBorders>
              <w:top w:val="single" w:sz="4" w:space="0" w:color="auto"/>
              <w:left w:val="single" w:sz="4" w:space="0" w:color="auto"/>
              <w:bottom w:val="single" w:sz="4" w:space="0" w:color="auto"/>
              <w:right w:val="single" w:sz="4" w:space="0" w:color="auto"/>
            </w:tcBorders>
          </w:tcPr>
          <w:p w14:paraId="6E4DF91A" w14:textId="77777777" w:rsidR="00884FB2" w:rsidRPr="00E13630" w:rsidRDefault="00884FB2" w:rsidP="007518E4">
            <w:pPr>
              <w:spacing w:before="0"/>
              <w:jc w:val="center"/>
            </w:pPr>
            <w:r>
              <w:t>2017</w:t>
            </w:r>
          </w:p>
        </w:tc>
        <w:tc>
          <w:tcPr>
            <w:tcW w:w="1430" w:type="pct"/>
            <w:tcBorders>
              <w:top w:val="single" w:sz="4" w:space="0" w:color="auto"/>
              <w:left w:val="single" w:sz="4" w:space="0" w:color="auto"/>
              <w:bottom w:val="single" w:sz="4" w:space="0" w:color="auto"/>
              <w:right w:val="single" w:sz="4" w:space="0" w:color="auto"/>
            </w:tcBorders>
            <w:vAlign w:val="bottom"/>
          </w:tcPr>
          <w:p w14:paraId="405A58B3" w14:textId="77777777" w:rsidR="00884FB2" w:rsidRPr="00E13630" w:rsidRDefault="00AE0D69" w:rsidP="007518E4">
            <w:pPr>
              <w:spacing w:before="0"/>
              <w:jc w:val="center"/>
            </w:pPr>
            <w:r>
              <w:t>33,830,973</w:t>
            </w:r>
          </w:p>
        </w:tc>
        <w:tc>
          <w:tcPr>
            <w:tcW w:w="1546" w:type="pct"/>
            <w:tcBorders>
              <w:top w:val="single" w:sz="4" w:space="0" w:color="auto"/>
              <w:left w:val="single" w:sz="4" w:space="0" w:color="auto"/>
              <w:bottom w:val="single" w:sz="4" w:space="0" w:color="auto"/>
              <w:right w:val="single" w:sz="4" w:space="0" w:color="auto"/>
            </w:tcBorders>
            <w:vAlign w:val="bottom"/>
          </w:tcPr>
          <w:p w14:paraId="6509A769" w14:textId="77777777" w:rsidR="00884FB2" w:rsidRPr="00E13630" w:rsidRDefault="00AE0D69" w:rsidP="007518E4">
            <w:pPr>
              <w:spacing w:before="0"/>
              <w:jc w:val="center"/>
            </w:pPr>
            <w:r>
              <w:t>33,833,324</w:t>
            </w:r>
          </w:p>
        </w:tc>
        <w:tc>
          <w:tcPr>
            <w:tcW w:w="1169" w:type="pct"/>
            <w:tcBorders>
              <w:top w:val="single" w:sz="4" w:space="0" w:color="auto"/>
              <w:left w:val="single" w:sz="4" w:space="0" w:color="auto"/>
              <w:bottom w:val="single" w:sz="4" w:space="0" w:color="auto"/>
              <w:right w:val="single" w:sz="4" w:space="0" w:color="auto"/>
            </w:tcBorders>
            <w:vAlign w:val="bottom"/>
          </w:tcPr>
          <w:p w14:paraId="3E6865EC" w14:textId="77777777" w:rsidR="00884FB2" w:rsidRDefault="00AE0D69" w:rsidP="007518E4">
            <w:pPr>
              <w:spacing w:before="0"/>
              <w:jc w:val="center"/>
              <w:rPr>
                <w:color w:val="000000"/>
              </w:rPr>
            </w:pPr>
            <w:r>
              <w:rPr>
                <w:color w:val="000000"/>
              </w:rPr>
              <w:t>100.1%</w:t>
            </w:r>
          </w:p>
        </w:tc>
      </w:tr>
    </w:tbl>
    <w:p w14:paraId="13478AD5" w14:textId="77777777" w:rsidR="007518E4" w:rsidRPr="008D3EF5" w:rsidRDefault="007518E4" w:rsidP="007518E4">
      <w:pPr>
        <w:pStyle w:val="ListParagraph"/>
        <w:spacing w:before="0"/>
        <w:ind w:left="0"/>
        <w:contextualSpacing w:val="0"/>
        <w:rPr>
          <w:rFonts w:ascii="Times New Roman" w:hAnsi="Times New Roman"/>
          <w:sz w:val="20"/>
          <w:szCs w:val="18"/>
          <w:lang w:val="en-MY"/>
        </w:rPr>
      </w:pPr>
      <w:r w:rsidRPr="008D3EF5">
        <w:rPr>
          <w:rFonts w:ascii="Times New Roman" w:hAnsi="Times New Roman"/>
          <w:sz w:val="20"/>
          <w:szCs w:val="18"/>
          <w:lang w:val="en-MY"/>
        </w:rPr>
        <w:t>Source: MoF published Official Gazette and Fiscal Policy Department data</w:t>
      </w:r>
      <w:r w:rsidR="00AE0D69">
        <w:rPr>
          <w:rFonts w:ascii="Times New Roman" w:hAnsi="Times New Roman"/>
          <w:sz w:val="20"/>
          <w:szCs w:val="18"/>
          <w:lang w:val="en-MY"/>
        </w:rPr>
        <w:t xml:space="preserve"> estimates for 2017</w:t>
      </w:r>
    </w:p>
    <w:p w14:paraId="3AA5D47D" w14:textId="77777777" w:rsidR="007518E4" w:rsidRPr="00842DA5"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8D3EF5">
        <w:rPr>
          <w:rFonts w:ascii="Times New Roman" w:eastAsia="Calibri" w:hAnsi="Times New Roman"/>
          <w:b/>
          <w:color w:val="000000"/>
          <w:sz w:val="24"/>
        </w:rPr>
        <w:t>As aggregate expenditu</w:t>
      </w:r>
      <w:r w:rsidR="009D64BB">
        <w:rPr>
          <w:rFonts w:ascii="Times New Roman" w:eastAsia="Calibri" w:hAnsi="Times New Roman"/>
          <w:b/>
          <w:color w:val="000000"/>
          <w:sz w:val="24"/>
        </w:rPr>
        <w:t>re outturn deviated less than 5 percent</w:t>
      </w:r>
      <w:r w:rsidRPr="008D3EF5">
        <w:rPr>
          <w:rFonts w:ascii="Times New Roman" w:eastAsia="Calibri" w:hAnsi="Times New Roman"/>
          <w:b/>
          <w:color w:val="000000"/>
          <w:sz w:val="24"/>
        </w:rPr>
        <w:t xml:space="preserve"> from the approved budget in all the three fiscal years, the score is an A</w:t>
      </w:r>
      <w:r w:rsidRPr="00E13630">
        <w:rPr>
          <w:rFonts w:ascii="Times New Roman" w:eastAsia="Calibri" w:hAnsi="Times New Roman"/>
          <w:color w:val="000000"/>
          <w:sz w:val="24"/>
        </w:rPr>
        <w:t>.</w:t>
      </w:r>
    </w:p>
    <w:p w14:paraId="06D5815A" w14:textId="77777777" w:rsidR="007518E4" w:rsidRPr="00FE6ED4" w:rsidRDefault="007518E4" w:rsidP="008D3EF5">
      <w:pPr>
        <w:pStyle w:val="Heading3"/>
        <w:spacing w:before="0"/>
        <w:ind w:left="0"/>
        <w:rPr>
          <w:rFonts w:ascii="Times New Roman" w:eastAsia="Calibri" w:hAnsi="Times New Roman"/>
          <w:b w:val="0"/>
          <w:bCs w:val="0"/>
          <w:color w:val="559AB3"/>
          <w:spacing w:val="-1"/>
          <w:szCs w:val="28"/>
        </w:rPr>
      </w:pPr>
      <w:bookmarkStart w:id="35" w:name="_Toc518901783"/>
      <w:bookmarkStart w:id="36" w:name="_Toc4148979"/>
      <w:r w:rsidRPr="00FE6ED4">
        <w:rPr>
          <w:rFonts w:ascii="Times New Roman" w:eastAsia="Calibri" w:hAnsi="Times New Roman"/>
          <w:color w:val="559AB3"/>
          <w:spacing w:val="-1"/>
          <w:szCs w:val="28"/>
        </w:rPr>
        <w:t xml:space="preserve">PI-2. Expenditure </w:t>
      </w:r>
      <w:r>
        <w:rPr>
          <w:rFonts w:ascii="Times New Roman" w:eastAsia="Calibri" w:hAnsi="Times New Roman"/>
          <w:color w:val="559AB3"/>
          <w:spacing w:val="-1"/>
          <w:szCs w:val="28"/>
        </w:rPr>
        <w:t>c</w:t>
      </w:r>
      <w:r w:rsidRPr="00FE6ED4">
        <w:rPr>
          <w:rFonts w:ascii="Times New Roman" w:eastAsia="Calibri" w:hAnsi="Times New Roman"/>
          <w:color w:val="559AB3"/>
          <w:spacing w:val="-1"/>
          <w:szCs w:val="28"/>
        </w:rPr>
        <w:t xml:space="preserve">omposition </w:t>
      </w:r>
      <w:r>
        <w:rPr>
          <w:rFonts w:ascii="Times New Roman" w:eastAsia="Calibri" w:hAnsi="Times New Roman"/>
          <w:color w:val="559AB3"/>
          <w:spacing w:val="-1"/>
          <w:szCs w:val="28"/>
        </w:rPr>
        <w:t>o</w:t>
      </w:r>
      <w:r w:rsidRPr="00FE6ED4">
        <w:rPr>
          <w:rFonts w:ascii="Times New Roman" w:eastAsia="Calibri" w:hAnsi="Times New Roman"/>
          <w:color w:val="559AB3"/>
          <w:spacing w:val="-1"/>
          <w:szCs w:val="28"/>
        </w:rPr>
        <w:t>utturn</w:t>
      </w:r>
      <w:bookmarkEnd w:id="35"/>
      <w:bookmarkEnd w:id="36"/>
    </w:p>
    <w:p w14:paraId="47D0072D" w14:textId="77777777" w:rsidR="007518E4" w:rsidRPr="00AF34C3"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8D3EF5">
        <w:rPr>
          <w:rFonts w:ascii="Times New Roman" w:hAnsi="Times New Roman"/>
          <w:b/>
          <w:color w:val="000000"/>
          <w:sz w:val="24"/>
        </w:rPr>
        <w:t>This indicator measures the extent to which reallocations between budget heads during execution have contributed to variance in expenditure composition.</w:t>
      </w:r>
      <w:r w:rsidR="009D64BB">
        <w:rPr>
          <w:rFonts w:ascii="Times New Roman" w:hAnsi="Times New Roman"/>
          <w:color w:val="000000"/>
          <w:sz w:val="24"/>
        </w:rPr>
        <w:t xml:space="preserve"> </w:t>
      </w:r>
      <w:r w:rsidRPr="00842DA5">
        <w:rPr>
          <w:rFonts w:ascii="Times New Roman" w:hAnsi="Times New Roman"/>
          <w:color w:val="000000"/>
          <w:sz w:val="24"/>
        </w:rPr>
        <w:t xml:space="preserve">The assessment is based on the budget and actual expenditure for the fiscal years </w:t>
      </w:r>
      <w:r>
        <w:rPr>
          <w:rFonts w:ascii="Times New Roman" w:hAnsi="Times New Roman"/>
          <w:color w:val="000000"/>
          <w:sz w:val="24"/>
        </w:rPr>
        <w:t>2014/15</w:t>
      </w:r>
      <w:r w:rsidR="00F42810">
        <w:rPr>
          <w:rFonts w:ascii="Times New Roman" w:hAnsi="Times New Roman"/>
          <w:color w:val="000000"/>
          <w:sz w:val="24"/>
        </w:rPr>
        <w:t xml:space="preserve">, </w:t>
      </w:r>
      <w:r>
        <w:rPr>
          <w:rFonts w:ascii="Times New Roman" w:hAnsi="Times New Roman"/>
          <w:color w:val="000000"/>
          <w:sz w:val="24"/>
        </w:rPr>
        <w:t>2015/16</w:t>
      </w:r>
      <w:r w:rsidR="00F42810">
        <w:rPr>
          <w:rFonts w:ascii="Times New Roman" w:hAnsi="Times New Roman"/>
          <w:color w:val="000000"/>
          <w:sz w:val="24"/>
        </w:rPr>
        <w:t xml:space="preserve"> and 2017</w:t>
      </w:r>
      <w:r w:rsidRPr="00842DA5">
        <w:rPr>
          <w:rFonts w:ascii="Times New Roman" w:hAnsi="Times New Roman"/>
          <w:color w:val="000000"/>
          <w:sz w:val="24"/>
        </w:rPr>
        <w:t xml:space="preserve">.  </w:t>
      </w:r>
      <w:r w:rsidRPr="00842DA5">
        <w:rPr>
          <w:rFonts w:ascii="Times New Roman" w:hAnsi="Times New Roman"/>
          <w:sz w:val="24"/>
        </w:rPr>
        <w:t>Coverage is Budgetary Central Government.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1271"/>
        <w:gridCol w:w="4847"/>
      </w:tblGrid>
      <w:tr w:rsidR="007518E4" w:rsidRPr="00930334" w14:paraId="3FB8761A" w14:textId="77777777" w:rsidTr="007518E4">
        <w:trPr>
          <w:trHeight w:val="397"/>
          <w:jc w:val="center"/>
        </w:trPr>
        <w:tc>
          <w:tcPr>
            <w:tcW w:w="16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B02D01" w14:textId="77777777" w:rsidR="007518E4" w:rsidRPr="00AF34C3" w:rsidRDefault="007518E4" w:rsidP="007518E4">
            <w:pPr>
              <w:spacing w:before="0"/>
              <w:jc w:val="center"/>
              <w:rPr>
                <w:rFonts w:ascii="Times New Roman" w:hAnsi="Times New Roman"/>
                <w:sz w:val="20"/>
                <w:szCs w:val="20"/>
              </w:rPr>
            </w:pPr>
            <w:r w:rsidRPr="00AF34C3">
              <w:rPr>
                <w:rFonts w:ascii="Times New Roman" w:hAnsi="Times New Roman"/>
                <w:sz w:val="20"/>
                <w:szCs w:val="20"/>
              </w:rPr>
              <w:lastRenderedPageBreak/>
              <w:t>Indicator/Dimension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BB492C" w14:textId="77777777" w:rsidR="007518E4" w:rsidRPr="00AF34C3" w:rsidRDefault="007518E4" w:rsidP="008D3EF5">
            <w:pPr>
              <w:spacing w:before="0"/>
              <w:ind w:left="0"/>
              <w:jc w:val="center"/>
              <w:rPr>
                <w:rFonts w:ascii="Times New Roman" w:hAnsi="Times New Roman"/>
                <w:sz w:val="20"/>
                <w:szCs w:val="20"/>
              </w:rPr>
            </w:pPr>
            <w:r w:rsidRPr="00AF34C3">
              <w:rPr>
                <w:rFonts w:ascii="Times New Roman" w:hAnsi="Times New Roman"/>
                <w:sz w:val="20"/>
                <w:szCs w:val="20"/>
              </w:rPr>
              <w:t>Score</w:t>
            </w:r>
          </w:p>
        </w:tc>
        <w:tc>
          <w:tcPr>
            <w:tcW w:w="26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F2CD3D" w14:textId="77777777" w:rsidR="007518E4" w:rsidRPr="00AF34C3" w:rsidRDefault="007518E4" w:rsidP="007518E4">
            <w:pPr>
              <w:spacing w:before="0"/>
              <w:jc w:val="center"/>
              <w:rPr>
                <w:rFonts w:ascii="Times New Roman" w:hAnsi="Times New Roman"/>
                <w:sz w:val="20"/>
                <w:szCs w:val="20"/>
              </w:rPr>
            </w:pPr>
            <w:r w:rsidRPr="00AF34C3">
              <w:rPr>
                <w:rFonts w:ascii="Times New Roman" w:hAnsi="Times New Roman"/>
                <w:sz w:val="20"/>
                <w:szCs w:val="20"/>
              </w:rPr>
              <w:t>Brief Explanation</w:t>
            </w:r>
          </w:p>
        </w:tc>
      </w:tr>
      <w:tr w:rsidR="007518E4" w:rsidRPr="00930334" w14:paraId="6E445D44" w14:textId="77777777" w:rsidTr="007518E4">
        <w:trPr>
          <w:trHeight w:val="659"/>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22978E3A" w14:textId="77777777" w:rsidR="007518E4" w:rsidRPr="00AF34C3" w:rsidRDefault="007518E4" w:rsidP="008D3EF5">
            <w:pPr>
              <w:spacing w:before="0"/>
              <w:ind w:left="0"/>
              <w:jc w:val="left"/>
              <w:rPr>
                <w:rFonts w:ascii="Times New Roman" w:hAnsi="Times New Roman"/>
                <w:sz w:val="20"/>
                <w:szCs w:val="20"/>
              </w:rPr>
            </w:pPr>
            <w:r w:rsidRPr="00AF34C3">
              <w:rPr>
                <w:rFonts w:ascii="Times New Roman" w:hAnsi="Times New Roman"/>
                <w:bCs/>
                <w:sz w:val="20"/>
                <w:szCs w:val="20"/>
              </w:rPr>
              <w:t xml:space="preserve">PI-2 Expenditure composition outturn </w:t>
            </w:r>
          </w:p>
        </w:tc>
        <w:tc>
          <w:tcPr>
            <w:tcW w:w="705" w:type="pct"/>
            <w:tcBorders>
              <w:top w:val="single" w:sz="4" w:space="0" w:color="auto"/>
              <w:left w:val="single" w:sz="4" w:space="0" w:color="auto"/>
              <w:bottom w:val="single" w:sz="4" w:space="0" w:color="auto"/>
              <w:right w:val="single" w:sz="4" w:space="0" w:color="auto"/>
            </w:tcBorders>
            <w:vAlign w:val="center"/>
          </w:tcPr>
          <w:p w14:paraId="2B380530" w14:textId="77777777" w:rsidR="007518E4" w:rsidRPr="00AF34C3" w:rsidRDefault="007518E4" w:rsidP="008D3EF5">
            <w:pPr>
              <w:spacing w:before="0"/>
              <w:ind w:left="0"/>
              <w:jc w:val="center"/>
              <w:rPr>
                <w:rFonts w:ascii="Times New Roman" w:hAnsi="Times New Roman"/>
                <w:sz w:val="20"/>
                <w:szCs w:val="20"/>
              </w:rPr>
            </w:pPr>
            <w:r w:rsidRPr="00AF34C3">
              <w:rPr>
                <w:rFonts w:ascii="Times New Roman" w:hAnsi="Times New Roman"/>
                <w:sz w:val="20"/>
                <w:szCs w:val="20"/>
              </w:rPr>
              <w:t>D+</w:t>
            </w:r>
          </w:p>
        </w:tc>
        <w:tc>
          <w:tcPr>
            <w:tcW w:w="2688" w:type="pct"/>
            <w:tcBorders>
              <w:top w:val="single" w:sz="4" w:space="0" w:color="auto"/>
              <w:left w:val="single" w:sz="4" w:space="0" w:color="auto"/>
              <w:bottom w:val="single" w:sz="4" w:space="0" w:color="auto"/>
              <w:right w:val="single" w:sz="4" w:space="0" w:color="auto"/>
            </w:tcBorders>
            <w:vAlign w:val="center"/>
            <w:hideMark/>
          </w:tcPr>
          <w:p w14:paraId="1F2BCC2B" w14:textId="77777777" w:rsidR="007518E4" w:rsidRPr="00AF34C3" w:rsidRDefault="007518E4" w:rsidP="008D3EF5">
            <w:pPr>
              <w:spacing w:before="0"/>
              <w:ind w:left="0"/>
              <w:jc w:val="left"/>
              <w:rPr>
                <w:rFonts w:ascii="Times New Roman" w:hAnsi="Times New Roman"/>
                <w:sz w:val="20"/>
                <w:szCs w:val="20"/>
              </w:rPr>
            </w:pPr>
            <w:r w:rsidRPr="00AF34C3">
              <w:rPr>
                <w:rFonts w:ascii="Times New Roman" w:eastAsia="Calibri" w:hAnsi="Times New Roman"/>
                <w:sz w:val="20"/>
                <w:szCs w:val="20"/>
              </w:rPr>
              <w:t>Dimension scores combined by Method M1 (weakest link)</w:t>
            </w:r>
          </w:p>
        </w:tc>
      </w:tr>
      <w:tr w:rsidR="007518E4" w:rsidRPr="00930334" w14:paraId="3CA7A9A2" w14:textId="77777777" w:rsidTr="007518E4">
        <w:trPr>
          <w:trHeight w:val="53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4FBAFD20" w14:textId="77777777" w:rsidR="007518E4" w:rsidRPr="00AF34C3" w:rsidRDefault="007518E4" w:rsidP="008D3EF5">
            <w:pPr>
              <w:spacing w:before="0"/>
              <w:ind w:left="0"/>
              <w:jc w:val="left"/>
              <w:rPr>
                <w:rFonts w:ascii="Times New Roman" w:hAnsi="Times New Roman"/>
                <w:sz w:val="20"/>
                <w:szCs w:val="20"/>
              </w:rPr>
            </w:pPr>
            <w:r w:rsidRPr="00AF34C3">
              <w:rPr>
                <w:rFonts w:ascii="Times New Roman" w:hAnsi="Times New Roman"/>
                <w:sz w:val="20"/>
                <w:szCs w:val="20"/>
              </w:rPr>
              <w:t xml:space="preserve">2.1 </w:t>
            </w:r>
            <w:r w:rsidRPr="00AF34C3">
              <w:rPr>
                <w:rFonts w:ascii="Times New Roman" w:hAnsi="Times New Roman"/>
                <w:bCs/>
                <w:color w:val="000000"/>
                <w:sz w:val="20"/>
                <w:szCs w:val="20"/>
              </w:rPr>
              <w:t>Expenditure composition outturn by function</w:t>
            </w:r>
          </w:p>
        </w:tc>
        <w:tc>
          <w:tcPr>
            <w:tcW w:w="705" w:type="pct"/>
            <w:tcBorders>
              <w:top w:val="single" w:sz="4" w:space="0" w:color="auto"/>
              <w:left w:val="single" w:sz="4" w:space="0" w:color="auto"/>
              <w:bottom w:val="single" w:sz="4" w:space="0" w:color="auto"/>
              <w:right w:val="single" w:sz="4" w:space="0" w:color="auto"/>
            </w:tcBorders>
            <w:vAlign w:val="center"/>
          </w:tcPr>
          <w:p w14:paraId="538DA58B" w14:textId="77777777" w:rsidR="007518E4" w:rsidRPr="00AF34C3" w:rsidRDefault="007518E4" w:rsidP="008D3EF5">
            <w:pPr>
              <w:spacing w:before="0"/>
              <w:ind w:left="0"/>
              <w:jc w:val="center"/>
              <w:rPr>
                <w:rFonts w:ascii="Times New Roman" w:hAnsi="Times New Roman"/>
                <w:sz w:val="20"/>
                <w:szCs w:val="20"/>
              </w:rPr>
            </w:pPr>
            <w:r w:rsidRPr="00AF34C3">
              <w:rPr>
                <w:rFonts w:ascii="Times New Roman" w:hAnsi="Times New Roman"/>
                <w:sz w:val="20"/>
                <w:szCs w:val="20"/>
              </w:rPr>
              <w:t>D</w:t>
            </w:r>
            <w:r w:rsidR="00AE0D69">
              <w:rPr>
                <w:rFonts w:ascii="Times New Roman" w:hAnsi="Times New Roman"/>
                <w:sz w:val="20"/>
                <w:szCs w:val="20"/>
              </w:rPr>
              <w:t>*</w:t>
            </w:r>
          </w:p>
        </w:tc>
        <w:tc>
          <w:tcPr>
            <w:tcW w:w="2688" w:type="pct"/>
            <w:tcBorders>
              <w:top w:val="single" w:sz="4" w:space="0" w:color="auto"/>
              <w:left w:val="single" w:sz="4" w:space="0" w:color="auto"/>
              <w:bottom w:val="single" w:sz="4" w:space="0" w:color="auto"/>
              <w:right w:val="single" w:sz="4" w:space="0" w:color="auto"/>
            </w:tcBorders>
            <w:vAlign w:val="center"/>
          </w:tcPr>
          <w:p w14:paraId="7C149511" w14:textId="6391E7F7" w:rsidR="007518E4" w:rsidRPr="00AF34C3" w:rsidRDefault="007518E4" w:rsidP="008D3EF5">
            <w:pPr>
              <w:spacing w:before="0"/>
              <w:ind w:left="0"/>
              <w:jc w:val="left"/>
              <w:rPr>
                <w:rFonts w:ascii="Times New Roman" w:hAnsi="Times New Roman"/>
                <w:sz w:val="20"/>
                <w:szCs w:val="20"/>
              </w:rPr>
            </w:pPr>
            <w:r w:rsidRPr="00AF34C3">
              <w:rPr>
                <w:rFonts w:ascii="Times New Roman" w:hAnsi="Times New Roman"/>
                <w:sz w:val="20"/>
                <w:szCs w:val="20"/>
              </w:rPr>
              <w:t>Variance in expenditure composition by administrative classification was 4.8%</w:t>
            </w:r>
            <w:r w:rsidR="00AE0D69">
              <w:rPr>
                <w:rFonts w:ascii="Times New Roman" w:hAnsi="Times New Roman"/>
                <w:sz w:val="20"/>
                <w:szCs w:val="20"/>
              </w:rPr>
              <w:t xml:space="preserve">, </w:t>
            </w:r>
            <w:r w:rsidRPr="00AF34C3">
              <w:rPr>
                <w:rFonts w:ascii="Times New Roman" w:hAnsi="Times New Roman"/>
                <w:sz w:val="20"/>
                <w:szCs w:val="20"/>
              </w:rPr>
              <w:t xml:space="preserve">24.2% </w:t>
            </w:r>
            <w:r w:rsidR="00AE0D69">
              <w:rPr>
                <w:rFonts w:ascii="Times New Roman" w:hAnsi="Times New Roman"/>
                <w:sz w:val="20"/>
                <w:szCs w:val="20"/>
              </w:rPr>
              <w:t xml:space="preserve">and 14.6% </w:t>
            </w:r>
            <w:r w:rsidRPr="00AF34C3">
              <w:rPr>
                <w:rFonts w:ascii="Times New Roman" w:hAnsi="Times New Roman"/>
                <w:sz w:val="20"/>
                <w:szCs w:val="20"/>
              </w:rPr>
              <w:t>for the fiscal years 2014/15</w:t>
            </w:r>
            <w:r w:rsidR="00AE0D69">
              <w:rPr>
                <w:rFonts w:ascii="Times New Roman" w:hAnsi="Times New Roman"/>
                <w:sz w:val="20"/>
                <w:szCs w:val="20"/>
              </w:rPr>
              <w:t xml:space="preserve">, </w:t>
            </w:r>
            <w:r w:rsidRPr="00AF34C3">
              <w:rPr>
                <w:rFonts w:ascii="Times New Roman" w:hAnsi="Times New Roman"/>
                <w:sz w:val="20"/>
                <w:szCs w:val="20"/>
              </w:rPr>
              <w:t>2015/16</w:t>
            </w:r>
            <w:r w:rsidR="00AE0D69">
              <w:rPr>
                <w:rFonts w:ascii="Times New Roman" w:hAnsi="Times New Roman"/>
                <w:sz w:val="20"/>
                <w:szCs w:val="20"/>
              </w:rPr>
              <w:t xml:space="preserve"> and 2017</w:t>
            </w:r>
            <w:r w:rsidRPr="00AF34C3">
              <w:rPr>
                <w:rFonts w:ascii="Times New Roman" w:hAnsi="Times New Roman"/>
                <w:sz w:val="20"/>
                <w:szCs w:val="20"/>
              </w:rPr>
              <w:t xml:space="preserve"> respectively</w:t>
            </w:r>
            <w:r w:rsidR="001B060C">
              <w:rPr>
                <w:rFonts w:ascii="Times New Roman" w:hAnsi="Times New Roman"/>
                <w:sz w:val="20"/>
                <w:szCs w:val="20"/>
              </w:rPr>
              <w:t>, which would justify a C</w:t>
            </w:r>
            <w:r w:rsidR="009D64BB">
              <w:rPr>
                <w:rFonts w:ascii="Times New Roman" w:hAnsi="Times New Roman"/>
                <w:sz w:val="20"/>
                <w:szCs w:val="20"/>
              </w:rPr>
              <w:t xml:space="preserve">. </w:t>
            </w:r>
            <w:r>
              <w:rPr>
                <w:rFonts w:ascii="Times New Roman" w:hAnsi="Times New Roman"/>
                <w:sz w:val="20"/>
                <w:szCs w:val="20"/>
              </w:rPr>
              <w:t>However</w:t>
            </w:r>
            <w:r w:rsidR="009D64BB">
              <w:rPr>
                <w:rFonts w:ascii="Times New Roman" w:hAnsi="Times New Roman"/>
                <w:sz w:val="20"/>
                <w:szCs w:val="20"/>
              </w:rPr>
              <w:t>,</w:t>
            </w:r>
            <w:r>
              <w:rPr>
                <w:rFonts w:ascii="Times New Roman" w:hAnsi="Times New Roman"/>
                <w:sz w:val="20"/>
                <w:szCs w:val="20"/>
              </w:rPr>
              <w:t xml:space="preserve"> </w:t>
            </w:r>
            <w:r w:rsidR="001B060C">
              <w:rPr>
                <w:rFonts w:ascii="Times New Roman" w:hAnsi="Times New Roman"/>
                <w:sz w:val="20"/>
                <w:szCs w:val="20"/>
              </w:rPr>
              <w:t xml:space="preserve">due to </w:t>
            </w:r>
            <w:r>
              <w:rPr>
                <w:rFonts w:ascii="Times New Roman" w:hAnsi="Times New Roman"/>
                <w:sz w:val="20"/>
                <w:szCs w:val="20"/>
              </w:rPr>
              <w:t>the</w:t>
            </w:r>
            <w:r w:rsidR="001B060C">
              <w:rPr>
                <w:rFonts w:ascii="Times New Roman" w:hAnsi="Times New Roman"/>
                <w:sz w:val="20"/>
                <w:szCs w:val="20"/>
              </w:rPr>
              <w:t xml:space="preserve"> lack of consistency in the presentation of budget data and the magnitude of aggregated budget under categories “others” and “other institutions” does not allow to score </w:t>
            </w:r>
            <w:proofErr w:type="gramStart"/>
            <w:r w:rsidR="001B060C">
              <w:rPr>
                <w:rFonts w:ascii="Times New Roman" w:hAnsi="Times New Roman"/>
                <w:sz w:val="20"/>
                <w:szCs w:val="20"/>
              </w:rPr>
              <w:t>adequately</w:t>
            </w:r>
            <w:proofErr w:type="gramEnd"/>
            <w:r w:rsidR="001B060C">
              <w:rPr>
                <w:rFonts w:ascii="Times New Roman" w:hAnsi="Times New Roman"/>
                <w:sz w:val="20"/>
                <w:szCs w:val="20"/>
              </w:rPr>
              <w:t xml:space="preserve"> and score is D* for lack of information.</w:t>
            </w:r>
          </w:p>
        </w:tc>
      </w:tr>
      <w:tr w:rsidR="007518E4" w:rsidRPr="00930334" w14:paraId="487D21B8" w14:textId="77777777" w:rsidTr="007518E4">
        <w:trPr>
          <w:trHeight w:val="80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07237A75" w14:textId="77777777" w:rsidR="007518E4" w:rsidRPr="00AF34C3" w:rsidRDefault="007518E4" w:rsidP="008D3EF5">
            <w:pPr>
              <w:spacing w:before="0"/>
              <w:ind w:left="0"/>
              <w:jc w:val="left"/>
              <w:rPr>
                <w:rFonts w:ascii="Times New Roman" w:hAnsi="Times New Roman"/>
                <w:sz w:val="20"/>
                <w:szCs w:val="20"/>
              </w:rPr>
            </w:pPr>
            <w:r w:rsidRPr="00AF34C3">
              <w:rPr>
                <w:rFonts w:ascii="Times New Roman" w:hAnsi="Times New Roman"/>
                <w:sz w:val="20"/>
                <w:szCs w:val="20"/>
              </w:rPr>
              <w:t xml:space="preserve">2.2 </w:t>
            </w:r>
            <w:r w:rsidRPr="00AF34C3">
              <w:rPr>
                <w:rFonts w:ascii="Times New Roman" w:hAnsi="Times New Roman"/>
                <w:bCs/>
                <w:color w:val="000000"/>
                <w:sz w:val="20"/>
                <w:szCs w:val="20"/>
              </w:rPr>
              <w:t>Expenditure composition outturn by economic type</w:t>
            </w:r>
          </w:p>
        </w:tc>
        <w:tc>
          <w:tcPr>
            <w:tcW w:w="705" w:type="pct"/>
            <w:tcBorders>
              <w:top w:val="single" w:sz="4" w:space="0" w:color="auto"/>
              <w:left w:val="single" w:sz="4" w:space="0" w:color="auto"/>
              <w:bottom w:val="single" w:sz="4" w:space="0" w:color="auto"/>
              <w:right w:val="single" w:sz="4" w:space="0" w:color="auto"/>
            </w:tcBorders>
            <w:vAlign w:val="center"/>
          </w:tcPr>
          <w:p w14:paraId="771D7C5E" w14:textId="77777777" w:rsidR="007518E4" w:rsidRPr="00AF34C3" w:rsidRDefault="007518E4" w:rsidP="008D3EF5">
            <w:pPr>
              <w:spacing w:before="0"/>
              <w:ind w:left="0"/>
              <w:jc w:val="center"/>
              <w:rPr>
                <w:rFonts w:ascii="Times New Roman" w:hAnsi="Times New Roman"/>
                <w:sz w:val="20"/>
                <w:szCs w:val="20"/>
              </w:rPr>
            </w:pPr>
            <w:r>
              <w:rPr>
                <w:rFonts w:ascii="Times New Roman" w:hAnsi="Times New Roman"/>
                <w:sz w:val="20"/>
                <w:szCs w:val="20"/>
              </w:rPr>
              <w:t>C</w:t>
            </w:r>
          </w:p>
        </w:tc>
        <w:tc>
          <w:tcPr>
            <w:tcW w:w="2688" w:type="pct"/>
            <w:tcBorders>
              <w:top w:val="single" w:sz="4" w:space="0" w:color="auto"/>
              <w:left w:val="single" w:sz="4" w:space="0" w:color="auto"/>
              <w:bottom w:val="single" w:sz="4" w:space="0" w:color="auto"/>
              <w:right w:val="single" w:sz="4" w:space="0" w:color="auto"/>
            </w:tcBorders>
            <w:vAlign w:val="center"/>
          </w:tcPr>
          <w:p w14:paraId="4139263F" w14:textId="6F7CC7AB" w:rsidR="007518E4" w:rsidRPr="00AF34C3" w:rsidRDefault="007518E4" w:rsidP="008D3EF5">
            <w:pPr>
              <w:spacing w:before="0"/>
              <w:ind w:left="0"/>
              <w:jc w:val="left"/>
              <w:rPr>
                <w:rFonts w:ascii="Times New Roman" w:hAnsi="Times New Roman"/>
                <w:sz w:val="20"/>
                <w:szCs w:val="20"/>
              </w:rPr>
            </w:pPr>
            <w:r w:rsidRPr="00AF34C3">
              <w:rPr>
                <w:rFonts w:ascii="Times New Roman" w:hAnsi="Times New Roman"/>
                <w:sz w:val="20"/>
                <w:szCs w:val="20"/>
              </w:rPr>
              <w:t>Variance in expenditure composition b</w:t>
            </w:r>
            <w:r>
              <w:rPr>
                <w:rFonts w:ascii="Times New Roman" w:hAnsi="Times New Roman"/>
                <w:sz w:val="20"/>
                <w:szCs w:val="20"/>
              </w:rPr>
              <w:t>y economic classification was 13.7%</w:t>
            </w:r>
            <w:r w:rsidR="001B060C">
              <w:rPr>
                <w:rFonts w:ascii="Times New Roman" w:hAnsi="Times New Roman"/>
                <w:sz w:val="20"/>
                <w:szCs w:val="20"/>
              </w:rPr>
              <w:t xml:space="preserve">, </w:t>
            </w:r>
            <w:r>
              <w:rPr>
                <w:rFonts w:ascii="Times New Roman" w:hAnsi="Times New Roman"/>
                <w:sz w:val="20"/>
                <w:szCs w:val="20"/>
              </w:rPr>
              <w:t>12.1</w:t>
            </w:r>
            <w:r w:rsidRPr="00AF34C3">
              <w:rPr>
                <w:rFonts w:ascii="Times New Roman" w:hAnsi="Times New Roman"/>
                <w:sz w:val="20"/>
                <w:szCs w:val="20"/>
              </w:rPr>
              <w:t>%</w:t>
            </w:r>
            <w:r w:rsidR="00F42810">
              <w:rPr>
                <w:rFonts w:ascii="Times New Roman" w:hAnsi="Times New Roman"/>
                <w:sz w:val="20"/>
                <w:szCs w:val="20"/>
              </w:rPr>
              <w:t xml:space="preserve"> and </w:t>
            </w:r>
            <w:r w:rsidR="001D4740">
              <w:rPr>
                <w:rFonts w:ascii="Times New Roman" w:hAnsi="Times New Roman"/>
                <w:sz w:val="20"/>
                <w:szCs w:val="20"/>
              </w:rPr>
              <w:t>2.1</w:t>
            </w:r>
            <w:r w:rsidR="001D4740">
              <w:rPr>
                <w:rStyle w:val="FootnoteReference"/>
                <w:rFonts w:ascii="Times New Roman" w:hAnsi="Times New Roman"/>
                <w:sz w:val="20"/>
                <w:szCs w:val="20"/>
              </w:rPr>
              <w:footnoteReference w:id="23"/>
            </w:r>
            <w:r w:rsidR="00F42810">
              <w:rPr>
                <w:rFonts w:ascii="Times New Roman" w:hAnsi="Times New Roman"/>
                <w:sz w:val="20"/>
                <w:szCs w:val="20"/>
              </w:rPr>
              <w:t>%</w:t>
            </w:r>
            <w:r w:rsidRPr="00AF34C3">
              <w:rPr>
                <w:rFonts w:ascii="Times New Roman" w:hAnsi="Times New Roman"/>
                <w:sz w:val="20"/>
                <w:szCs w:val="20"/>
              </w:rPr>
              <w:t xml:space="preserve"> respectively in the three years under consideration </w:t>
            </w:r>
            <w:r>
              <w:rPr>
                <w:rFonts w:ascii="Times New Roman" w:hAnsi="Times New Roman"/>
                <w:sz w:val="20"/>
                <w:szCs w:val="20"/>
              </w:rPr>
              <w:t>and less that 15% in two of the three years.</w:t>
            </w:r>
          </w:p>
        </w:tc>
      </w:tr>
      <w:tr w:rsidR="007518E4" w:rsidRPr="00930334" w14:paraId="230D48D5" w14:textId="77777777" w:rsidTr="007518E4">
        <w:trPr>
          <w:trHeight w:val="667"/>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038359BA" w14:textId="77777777" w:rsidR="007518E4" w:rsidRPr="00AF34C3" w:rsidRDefault="007518E4" w:rsidP="008D3EF5">
            <w:pPr>
              <w:spacing w:before="0"/>
              <w:ind w:left="0"/>
              <w:jc w:val="left"/>
              <w:rPr>
                <w:rFonts w:ascii="Times New Roman" w:hAnsi="Times New Roman"/>
                <w:sz w:val="20"/>
                <w:szCs w:val="20"/>
              </w:rPr>
            </w:pPr>
            <w:r w:rsidRPr="00AF34C3">
              <w:rPr>
                <w:rFonts w:ascii="Times New Roman" w:hAnsi="Times New Roman"/>
                <w:sz w:val="20"/>
                <w:szCs w:val="20"/>
              </w:rPr>
              <w:t>2.3 Expenditure from contingency reserves</w:t>
            </w:r>
          </w:p>
        </w:tc>
        <w:tc>
          <w:tcPr>
            <w:tcW w:w="705" w:type="pct"/>
            <w:tcBorders>
              <w:top w:val="single" w:sz="4" w:space="0" w:color="auto"/>
              <w:left w:val="single" w:sz="4" w:space="0" w:color="auto"/>
              <w:bottom w:val="single" w:sz="4" w:space="0" w:color="auto"/>
              <w:right w:val="single" w:sz="4" w:space="0" w:color="auto"/>
            </w:tcBorders>
            <w:vAlign w:val="center"/>
          </w:tcPr>
          <w:p w14:paraId="6115EBCA" w14:textId="77777777" w:rsidR="007518E4" w:rsidRPr="00AF34C3" w:rsidRDefault="007518E4" w:rsidP="008D3EF5">
            <w:pPr>
              <w:spacing w:before="0"/>
              <w:ind w:left="0"/>
              <w:jc w:val="center"/>
              <w:rPr>
                <w:rFonts w:ascii="Times New Roman" w:hAnsi="Times New Roman"/>
                <w:sz w:val="20"/>
                <w:szCs w:val="20"/>
              </w:rPr>
            </w:pPr>
            <w:r w:rsidRPr="00AF34C3">
              <w:rPr>
                <w:rFonts w:ascii="Times New Roman" w:hAnsi="Times New Roman"/>
                <w:sz w:val="20"/>
                <w:szCs w:val="20"/>
              </w:rPr>
              <w:t>A</w:t>
            </w:r>
          </w:p>
        </w:tc>
        <w:tc>
          <w:tcPr>
            <w:tcW w:w="2688" w:type="pct"/>
            <w:tcBorders>
              <w:top w:val="single" w:sz="4" w:space="0" w:color="auto"/>
              <w:left w:val="single" w:sz="4" w:space="0" w:color="auto"/>
              <w:bottom w:val="single" w:sz="4" w:space="0" w:color="auto"/>
              <w:right w:val="single" w:sz="4" w:space="0" w:color="auto"/>
            </w:tcBorders>
            <w:vAlign w:val="center"/>
          </w:tcPr>
          <w:p w14:paraId="21039F91" w14:textId="77777777" w:rsidR="007518E4" w:rsidRPr="00AF34C3" w:rsidRDefault="007518E4" w:rsidP="008D3EF5">
            <w:pPr>
              <w:spacing w:before="0"/>
              <w:ind w:left="0"/>
              <w:jc w:val="left"/>
              <w:rPr>
                <w:rFonts w:ascii="Times New Roman" w:hAnsi="Times New Roman"/>
                <w:color w:val="000000"/>
                <w:sz w:val="20"/>
                <w:szCs w:val="20"/>
              </w:rPr>
            </w:pPr>
            <w:r w:rsidRPr="00AF34C3">
              <w:rPr>
                <w:rFonts w:ascii="Times New Roman" w:hAnsi="Times New Roman"/>
                <w:color w:val="000000"/>
                <w:sz w:val="20"/>
                <w:szCs w:val="20"/>
              </w:rPr>
              <w:t>Actual expenditure charged to the contingency vote was less than 1% in each year</w:t>
            </w:r>
          </w:p>
        </w:tc>
      </w:tr>
    </w:tbl>
    <w:p w14:paraId="4FAFCDF9" w14:textId="77777777" w:rsidR="007518E4" w:rsidRPr="008D65E9" w:rsidRDefault="007518E4" w:rsidP="007518E4">
      <w:pPr>
        <w:pStyle w:val="ListParagraph"/>
        <w:ind w:left="0"/>
        <w:contextualSpacing w:val="0"/>
        <w:rPr>
          <w:rFonts w:ascii="Times New Roman" w:hAnsi="Times New Roman"/>
          <w:b/>
          <w:color w:val="559AB3"/>
          <w:sz w:val="24"/>
        </w:rPr>
      </w:pPr>
      <w:r w:rsidRPr="008D65E9">
        <w:rPr>
          <w:rFonts w:ascii="Times New Roman" w:hAnsi="Times New Roman"/>
          <w:b/>
          <w:color w:val="559AB3"/>
          <w:sz w:val="24"/>
        </w:rPr>
        <w:t xml:space="preserve">2.1 Expenditure </w:t>
      </w:r>
      <w:r w:rsidRPr="00B209AD">
        <w:rPr>
          <w:rFonts w:ascii="Times New Roman" w:hAnsi="Times New Roman"/>
          <w:b/>
          <w:color w:val="548DD4" w:themeColor="text2" w:themeTint="99"/>
          <w:sz w:val="24"/>
        </w:rPr>
        <w:t>composition</w:t>
      </w:r>
      <w:r>
        <w:rPr>
          <w:rFonts w:ascii="Times New Roman" w:hAnsi="Times New Roman"/>
          <w:b/>
          <w:color w:val="559AB3"/>
          <w:sz w:val="24"/>
        </w:rPr>
        <w:t xml:space="preserve"> outt</w:t>
      </w:r>
      <w:r w:rsidRPr="008D65E9">
        <w:rPr>
          <w:rFonts w:ascii="Times New Roman" w:hAnsi="Times New Roman"/>
          <w:b/>
          <w:color w:val="559AB3"/>
          <w:sz w:val="24"/>
        </w:rPr>
        <w:t>urn</w:t>
      </w:r>
    </w:p>
    <w:p w14:paraId="267DA4F2" w14:textId="77777777" w:rsidR="007518E4" w:rsidRPr="00F866BD" w:rsidRDefault="00CF622C"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F622C">
        <w:rPr>
          <w:rFonts w:ascii="Times New Roman" w:hAnsi="Times New Roman"/>
          <w:b/>
          <w:sz w:val="24"/>
        </w:rPr>
        <w:t>Due to lack of consistency in the presentation of the sector/functional classification in the published State budget reports, the variance in expenditure composition could not be calculated fully by functional classification.</w:t>
      </w:r>
      <w:r w:rsidR="009D64BB">
        <w:rPr>
          <w:rFonts w:ascii="Times New Roman" w:hAnsi="Times New Roman"/>
          <w:sz w:val="24"/>
        </w:rPr>
        <w:t xml:space="preserve"> </w:t>
      </w:r>
      <w:r w:rsidRPr="00CF622C">
        <w:rPr>
          <w:rFonts w:ascii="Times New Roman" w:hAnsi="Times New Roman"/>
          <w:sz w:val="24"/>
        </w:rPr>
        <w:t xml:space="preserve">Moreover, the lack of consistent data on the functional/sectoral breakdown at the provincial level and the aggregation of categories such as “others” and “Other institutions” distort the calculation and the assessment even if they are partially aligned to the administrative classification.  </w:t>
      </w:r>
    </w:p>
    <w:p w14:paraId="3D2DA970" w14:textId="77777777" w:rsidR="007518E4" w:rsidRPr="00F866BD" w:rsidRDefault="00CF622C"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F622C">
        <w:rPr>
          <w:rFonts w:ascii="Times New Roman" w:hAnsi="Times New Roman"/>
          <w:b/>
          <w:sz w:val="24"/>
        </w:rPr>
        <w:t>The variance calculated on this basis is presented in Table 3-2.1</w:t>
      </w:r>
      <w:r w:rsidR="009D64BB">
        <w:rPr>
          <w:rFonts w:ascii="Times New Roman" w:hAnsi="Times New Roman"/>
          <w:sz w:val="24"/>
        </w:rPr>
        <w:t xml:space="preserve">. </w:t>
      </w:r>
      <w:r w:rsidRPr="00CF622C">
        <w:rPr>
          <w:rFonts w:ascii="Times New Roman" w:hAnsi="Times New Roman"/>
          <w:sz w:val="24"/>
        </w:rPr>
        <w:t xml:space="preserve">This assumes that the figures for original budget and budget out-turn are comparable using the line ministries and aggregated categories “Others” and “Other institutions”, with details of the calculations shown in Annex 4.  </w:t>
      </w:r>
    </w:p>
    <w:p w14:paraId="1BC9F925" w14:textId="77777777" w:rsidR="007518E4" w:rsidRPr="00DF0A6B" w:rsidRDefault="007518E4" w:rsidP="007518E4">
      <w:pPr>
        <w:rPr>
          <w:rFonts w:ascii="Times New Roman" w:hAnsi="Times New Roman"/>
          <w:b/>
          <w:color w:val="000000" w:themeColor="text1"/>
        </w:rPr>
      </w:pPr>
      <w:r w:rsidRPr="00DF0A6B">
        <w:rPr>
          <w:rFonts w:ascii="Times New Roman" w:hAnsi="Times New Roman"/>
          <w:b/>
          <w:color w:val="000000" w:themeColor="text1"/>
        </w:rPr>
        <w:t>Table 3-2.1: Calculation of Variance by administrative/sectoral classification</w:t>
      </w:r>
    </w:p>
    <w:tbl>
      <w:tblPr>
        <w:tblStyle w:val="TableGrid"/>
        <w:tblW w:w="0" w:type="auto"/>
        <w:tblInd w:w="1440" w:type="dxa"/>
        <w:tblLook w:val="04A0" w:firstRow="1" w:lastRow="0" w:firstColumn="1" w:lastColumn="0" w:noHBand="0" w:noVBand="1"/>
      </w:tblPr>
      <w:tblGrid>
        <w:gridCol w:w="1576"/>
        <w:gridCol w:w="3953"/>
      </w:tblGrid>
      <w:tr w:rsidR="007518E4" w:rsidRPr="00AF34C3" w14:paraId="7D0A3E10" w14:textId="77777777" w:rsidTr="00DF0A6B">
        <w:tc>
          <w:tcPr>
            <w:tcW w:w="1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7B08C" w14:textId="77777777" w:rsidR="007518E4" w:rsidRPr="00AF34C3" w:rsidRDefault="007518E4" w:rsidP="007518E4">
            <w:pPr>
              <w:spacing w:before="0"/>
              <w:rPr>
                <w:rFonts w:eastAsia="Calibri"/>
                <w:b/>
                <w:sz w:val="20"/>
                <w:szCs w:val="20"/>
              </w:rPr>
            </w:pPr>
            <w:r w:rsidRPr="00AF34C3">
              <w:rPr>
                <w:rFonts w:eastAsia="Calibri"/>
                <w:b/>
                <w:sz w:val="20"/>
                <w:szCs w:val="20"/>
              </w:rPr>
              <w:t>Year</w:t>
            </w:r>
          </w:p>
        </w:tc>
        <w:tc>
          <w:tcPr>
            <w:tcW w:w="3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CB5DC" w14:textId="77777777" w:rsidR="007518E4" w:rsidRPr="00AF34C3" w:rsidRDefault="007518E4" w:rsidP="007518E4">
            <w:pPr>
              <w:spacing w:before="0"/>
              <w:rPr>
                <w:rFonts w:eastAsia="Calibri"/>
                <w:b/>
                <w:sz w:val="20"/>
                <w:szCs w:val="20"/>
              </w:rPr>
            </w:pPr>
            <w:r w:rsidRPr="00AF34C3">
              <w:rPr>
                <w:rFonts w:eastAsia="Calibri"/>
                <w:b/>
                <w:sz w:val="20"/>
                <w:szCs w:val="20"/>
              </w:rPr>
              <w:t xml:space="preserve">Composition variance by </w:t>
            </w:r>
          </w:p>
          <w:p w14:paraId="4609B24E" w14:textId="77777777" w:rsidR="007518E4" w:rsidRPr="00AF34C3" w:rsidRDefault="007518E4" w:rsidP="007518E4">
            <w:pPr>
              <w:spacing w:before="0"/>
              <w:rPr>
                <w:rFonts w:eastAsia="Calibri"/>
                <w:b/>
                <w:sz w:val="20"/>
                <w:szCs w:val="20"/>
              </w:rPr>
            </w:pPr>
            <w:r>
              <w:rPr>
                <w:rFonts w:eastAsia="Calibri"/>
                <w:b/>
                <w:sz w:val="20"/>
                <w:szCs w:val="20"/>
              </w:rPr>
              <w:t xml:space="preserve">Administrative </w:t>
            </w:r>
            <w:r w:rsidRPr="00AF34C3">
              <w:rPr>
                <w:rFonts w:eastAsia="Calibri"/>
                <w:b/>
                <w:sz w:val="20"/>
                <w:szCs w:val="20"/>
              </w:rPr>
              <w:t>classification</w:t>
            </w:r>
          </w:p>
        </w:tc>
      </w:tr>
      <w:tr w:rsidR="007518E4" w:rsidRPr="00AF34C3" w14:paraId="109982FD" w14:textId="77777777" w:rsidTr="00DF0A6B">
        <w:tc>
          <w:tcPr>
            <w:tcW w:w="1576" w:type="dxa"/>
            <w:tcBorders>
              <w:top w:val="single" w:sz="4" w:space="0" w:color="auto"/>
              <w:left w:val="single" w:sz="4" w:space="0" w:color="auto"/>
              <w:bottom w:val="single" w:sz="4" w:space="0" w:color="auto"/>
              <w:right w:val="single" w:sz="4" w:space="0" w:color="auto"/>
            </w:tcBorders>
            <w:vAlign w:val="bottom"/>
          </w:tcPr>
          <w:p w14:paraId="0CFBE2F4" w14:textId="77777777" w:rsidR="007518E4" w:rsidRPr="00AF34C3" w:rsidRDefault="007518E4" w:rsidP="007518E4">
            <w:pPr>
              <w:spacing w:before="0"/>
              <w:rPr>
                <w:rFonts w:eastAsia="Calibri"/>
                <w:sz w:val="20"/>
                <w:szCs w:val="20"/>
              </w:rPr>
            </w:pPr>
            <w:r w:rsidRPr="00AF34C3">
              <w:rPr>
                <w:sz w:val="20"/>
                <w:szCs w:val="20"/>
              </w:rPr>
              <w:t>2014/15</w:t>
            </w:r>
          </w:p>
        </w:tc>
        <w:tc>
          <w:tcPr>
            <w:tcW w:w="3953" w:type="dxa"/>
            <w:tcBorders>
              <w:top w:val="single" w:sz="4" w:space="0" w:color="auto"/>
              <w:left w:val="single" w:sz="4" w:space="0" w:color="auto"/>
              <w:bottom w:val="single" w:sz="4" w:space="0" w:color="auto"/>
              <w:right w:val="single" w:sz="4" w:space="0" w:color="auto"/>
            </w:tcBorders>
            <w:vAlign w:val="center"/>
          </w:tcPr>
          <w:p w14:paraId="363E56ED" w14:textId="77777777" w:rsidR="007518E4" w:rsidRPr="00AF34C3" w:rsidRDefault="007518E4" w:rsidP="007518E4">
            <w:pPr>
              <w:spacing w:before="0"/>
              <w:jc w:val="center"/>
              <w:rPr>
                <w:rFonts w:eastAsia="Calibri"/>
                <w:sz w:val="20"/>
                <w:szCs w:val="20"/>
              </w:rPr>
            </w:pPr>
            <w:r w:rsidRPr="00AF34C3">
              <w:rPr>
                <w:sz w:val="20"/>
                <w:szCs w:val="20"/>
              </w:rPr>
              <w:t>4.8%</w:t>
            </w:r>
          </w:p>
        </w:tc>
      </w:tr>
      <w:tr w:rsidR="007518E4" w:rsidRPr="00AF34C3" w14:paraId="278C73C5" w14:textId="77777777" w:rsidTr="00DF0A6B">
        <w:tc>
          <w:tcPr>
            <w:tcW w:w="1576" w:type="dxa"/>
            <w:tcBorders>
              <w:top w:val="single" w:sz="4" w:space="0" w:color="auto"/>
              <w:left w:val="single" w:sz="4" w:space="0" w:color="auto"/>
              <w:bottom w:val="single" w:sz="4" w:space="0" w:color="auto"/>
              <w:right w:val="single" w:sz="4" w:space="0" w:color="auto"/>
            </w:tcBorders>
            <w:vAlign w:val="bottom"/>
          </w:tcPr>
          <w:p w14:paraId="6C42E2EC" w14:textId="77777777" w:rsidR="007518E4" w:rsidRPr="00AF34C3" w:rsidRDefault="007518E4" w:rsidP="007518E4">
            <w:pPr>
              <w:spacing w:before="0"/>
              <w:rPr>
                <w:rFonts w:eastAsia="Calibri"/>
                <w:sz w:val="20"/>
                <w:szCs w:val="20"/>
              </w:rPr>
            </w:pPr>
            <w:r w:rsidRPr="00AF34C3">
              <w:rPr>
                <w:sz w:val="20"/>
                <w:szCs w:val="20"/>
              </w:rPr>
              <w:t>2015/16</w:t>
            </w:r>
          </w:p>
        </w:tc>
        <w:tc>
          <w:tcPr>
            <w:tcW w:w="3953" w:type="dxa"/>
            <w:tcBorders>
              <w:top w:val="single" w:sz="4" w:space="0" w:color="auto"/>
              <w:left w:val="single" w:sz="4" w:space="0" w:color="auto"/>
              <w:bottom w:val="single" w:sz="4" w:space="0" w:color="auto"/>
              <w:right w:val="single" w:sz="4" w:space="0" w:color="auto"/>
            </w:tcBorders>
            <w:vAlign w:val="center"/>
          </w:tcPr>
          <w:p w14:paraId="5D086EB8" w14:textId="77777777" w:rsidR="007518E4" w:rsidRPr="00AF34C3" w:rsidRDefault="007518E4" w:rsidP="007518E4">
            <w:pPr>
              <w:spacing w:before="0"/>
              <w:jc w:val="center"/>
              <w:rPr>
                <w:rFonts w:eastAsia="Calibri"/>
                <w:sz w:val="20"/>
                <w:szCs w:val="20"/>
              </w:rPr>
            </w:pPr>
            <w:r w:rsidRPr="00AF34C3">
              <w:rPr>
                <w:sz w:val="20"/>
                <w:szCs w:val="20"/>
              </w:rPr>
              <w:t>24.2%</w:t>
            </w:r>
          </w:p>
        </w:tc>
      </w:tr>
      <w:tr w:rsidR="00884FB2" w:rsidRPr="00AF34C3" w14:paraId="43384F40" w14:textId="77777777" w:rsidTr="00DF0A6B">
        <w:tc>
          <w:tcPr>
            <w:tcW w:w="1576" w:type="dxa"/>
            <w:tcBorders>
              <w:top w:val="single" w:sz="4" w:space="0" w:color="auto"/>
              <w:left w:val="single" w:sz="4" w:space="0" w:color="auto"/>
              <w:bottom w:val="single" w:sz="4" w:space="0" w:color="auto"/>
              <w:right w:val="single" w:sz="4" w:space="0" w:color="auto"/>
            </w:tcBorders>
            <w:vAlign w:val="bottom"/>
          </w:tcPr>
          <w:p w14:paraId="524207C2" w14:textId="77777777" w:rsidR="00884FB2" w:rsidRPr="00AF34C3" w:rsidRDefault="00884FB2" w:rsidP="007518E4">
            <w:pPr>
              <w:spacing w:before="0"/>
              <w:rPr>
                <w:sz w:val="20"/>
                <w:szCs w:val="20"/>
              </w:rPr>
            </w:pPr>
            <w:r>
              <w:rPr>
                <w:sz w:val="20"/>
                <w:szCs w:val="20"/>
              </w:rPr>
              <w:t>2017</w:t>
            </w:r>
          </w:p>
        </w:tc>
        <w:tc>
          <w:tcPr>
            <w:tcW w:w="3953" w:type="dxa"/>
            <w:tcBorders>
              <w:top w:val="single" w:sz="4" w:space="0" w:color="auto"/>
              <w:left w:val="single" w:sz="4" w:space="0" w:color="auto"/>
              <w:bottom w:val="single" w:sz="4" w:space="0" w:color="auto"/>
              <w:right w:val="single" w:sz="4" w:space="0" w:color="auto"/>
            </w:tcBorders>
            <w:vAlign w:val="center"/>
          </w:tcPr>
          <w:p w14:paraId="4A308A59" w14:textId="77777777" w:rsidR="00884FB2" w:rsidRPr="00AF34C3" w:rsidRDefault="00F42810" w:rsidP="007518E4">
            <w:pPr>
              <w:spacing w:before="0"/>
              <w:jc w:val="center"/>
              <w:rPr>
                <w:sz w:val="20"/>
                <w:szCs w:val="20"/>
              </w:rPr>
            </w:pPr>
            <w:r>
              <w:rPr>
                <w:sz w:val="20"/>
                <w:szCs w:val="20"/>
              </w:rPr>
              <w:t>14.6%</w:t>
            </w:r>
          </w:p>
        </w:tc>
      </w:tr>
    </w:tbl>
    <w:p w14:paraId="624518B3" w14:textId="77777777" w:rsidR="007518E4" w:rsidRPr="00DF0A6B" w:rsidRDefault="007518E4" w:rsidP="00DF0A6B">
      <w:pPr>
        <w:spacing w:before="0"/>
        <w:ind w:left="1440"/>
        <w:rPr>
          <w:rFonts w:ascii="Times New Roman" w:hAnsi="Times New Roman"/>
          <w:sz w:val="20"/>
          <w:szCs w:val="20"/>
        </w:rPr>
      </w:pPr>
      <w:r w:rsidRPr="00DF0A6B">
        <w:rPr>
          <w:rFonts w:ascii="Times New Roman" w:hAnsi="Times New Roman"/>
          <w:sz w:val="20"/>
          <w:szCs w:val="20"/>
        </w:rPr>
        <w:t>Source: MoF published Official Gazette and Fiscal Policy department data</w:t>
      </w:r>
      <w:r w:rsidR="00F42810">
        <w:rPr>
          <w:rFonts w:ascii="Times New Roman" w:hAnsi="Times New Roman"/>
          <w:sz w:val="20"/>
          <w:szCs w:val="20"/>
        </w:rPr>
        <w:t xml:space="preserve"> estimates for 2017</w:t>
      </w:r>
    </w:p>
    <w:p w14:paraId="0FD16BB0" w14:textId="2104DC44" w:rsidR="007518E4" w:rsidRPr="00D628A2" w:rsidRDefault="00CF622C"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F622C">
        <w:rPr>
          <w:rFonts w:ascii="Times New Roman" w:hAnsi="Times New Roman"/>
          <w:b/>
          <w:sz w:val="24"/>
        </w:rPr>
        <w:t>Based on these assumptions, the composition deviations amount to 4.8% and 24.2% for the fiscal years 2014/15 and 2015/16</w:t>
      </w:r>
      <w:r w:rsidR="00F42810">
        <w:rPr>
          <w:rFonts w:ascii="Times New Roman" w:hAnsi="Times New Roman"/>
          <w:b/>
          <w:sz w:val="24"/>
        </w:rPr>
        <w:t xml:space="preserve"> but the breakdown </w:t>
      </w:r>
      <w:r w:rsidRPr="00CF622C">
        <w:rPr>
          <w:rFonts w:ascii="Times New Roman" w:hAnsi="Times New Roman"/>
          <w:b/>
          <w:sz w:val="24"/>
        </w:rPr>
        <w:t>respectively i.e. less than 1</w:t>
      </w:r>
      <w:r w:rsidR="00F42810">
        <w:rPr>
          <w:rFonts w:ascii="Times New Roman" w:hAnsi="Times New Roman"/>
          <w:b/>
          <w:sz w:val="24"/>
        </w:rPr>
        <w:t>5</w:t>
      </w:r>
      <w:r w:rsidRPr="00CF622C">
        <w:rPr>
          <w:rFonts w:ascii="Times New Roman" w:hAnsi="Times New Roman"/>
          <w:b/>
          <w:sz w:val="24"/>
        </w:rPr>
        <w:t xml:space="preserve">% in two of the three years. </w:t>
      </w:r>
      <w:r w:rsidRPr="00CF622C">
        <w:rPr>
          <w:rFonts w:ascii="Times New Roman" w:hAnsi="Times New Roman"/>
          <w:sz w:val="24"/>
        </w:rPr>
        <w:t>This w</w:t>
      </w:r>
      <w:r w:rsidR="009D64BB">
        <w:rPr>
          <w:rFonts w:ascii="Times New Roman" w:hAnsi="Times New Roman"/>
          <w:sz w:val="24"/>
        </w:rPr>
        <w:t xml:space="preserve">ould correspond to a </w:t>
      </w:r>
      <w:r w:rsidR="00F42810">
        <w:rPr>
          <w:rFonts w:ascii="Times New Roman" w:hAnsi="Times New Roman"/>
          <w:sz w:val="24"/>
        </w:rPr>
        <w:t>C</w:t>
      </w:r>
      <w:r w:rsidR="009D64BB">
        <w:rPr>
          <w:rFonts w:ascii="Times New Roman" w:hAnsi="Times New Roman"/>
          <w:sz w:val="24"/>
        </w:rPr>
        <w:t xml:space="preserve"> score. </w:t>
      </w:r>
      <w:r w:rsidRPr="00CF622C">
        <w:rPr>
          <w:rFonts w:ascii="Times New Roman" w:hAnsi="Times New Roman"/>
          <w:sz w:val="24"/>
        </w:rPr>
        <w:t>However</w:t>
      </w:r>
      <w:r w:rsidR="009D64BB">
        <w:rPr>
          <w:rFonts w:ascii="Times New Roman" w:hAnsi="Times New Roman"/>
          <w:sz w:val="24"/>
        </w:rPr>
        <w:t>,</w:t>
      </w:r>
      <w:r w:rsidRPr="00CF622C">
        <w:rPr>
          <w:rFonts w:ascii="Times New Roman" w:hAnsi="Times New Roman"/>
          <w:sz w:val="24"/>
        </w:rPr>
        <w:t xml:space="preserve"> as the presentation of the budget allocations and outturn at the provincial level is not consistently available for the three years </w:t>
      </w:r>
      <w:proofErr w:type="gramStart"/>
      <w:r w:rsidRPr="00CF622C">
        <w:rPr>
          <w:rFonts w:ascii="Times New Roman" w:hAnsi="Times New Roman"/>
          <w:sz w:val="24"/>
        </w:rPr>
        <w:t>and also</w:t>
      </w:r>
      <w:proofErr w:type="gramEnd"/>
      <w:r w:rsidRPr="00CF622C">
        <w:rPr>
          <w:rFonts w:ascii="Times New Roman" w:hAnsi="Times New Roman"/>
          <w:sz w:val="24"/>
        </w:rPr>
        <w:t xml:space="preserve"> due to the absence of a proper functional classification and the lack of consistency in the presentation of the budget data, the score is a D</w:t>
      </w:r>
      <w:r w:rsidR="00F42810">
        <w:rPr>
          <w:rFonts w:ascii="Times New Roman" w:hAnsi="Times New Roman"/>
          <w:sz w:val="24"/>
        </w:rPr>
        <w:t>*</w:t>
      </w:r>
      <w:r w:rsidRPr="00CF622C">
        <w:rPr>
          <w:rFonts w:ascii="Times New Roman" w:hAnsi="Times New Roman"/>
          <w:sz w:val="24"/>
        </w:rPr>
        <w:t xml:space="preserve"> which reflects the </w:t>
      </w:r>
      <w:r w:rsidR="00F42810">
        <w:rPr>
          <w:rFonts w:ascii="Times New Roman" w:hAnsi="Times New Roman"/>
          <w:sz w:val="24"/>
        </w:rPr>
        <w:t xml:space="preserve">lack of availability of consistent </w:t>
      </w:r>
      <w:r w:rsidRPr="00CF622C">
        <w:rPr>
          <w:rFonts w:ascii="Times New Roman" w:hAnsi="Times New Roman"/>
          <w:sz w:val="24"/>
        </w:rPr>
        <w:t>data.</w:t>
      </w:r>
    </w:p>
    <w:p w14:paraId="701CFE8D" w14:textId="77777777" w:rsidR="007518E4" w:rsidRPr="007E584D" w:rsidRDefault="007518E4" w:rsidP="00DF0A6B">
      <w:pPr>
        <w:spacing w:after="240"/>
        <w:ind w:left="0"/>
        <w:rPr>
          <w:rFonts w:ascii="Times New Roman" w:hAnsi="Times New Roman"/>
          <w:b/>
          <w:color w:val="559AB3"/>
          <w:sz w:val="24"/>
        </w:rPr>
      </w:pPr>
      <w:r w:rsidRPr="00D628A2">
        <w:rPr>
          <w:rFonts w:ascii="Times New Roman" w:hAnsi="Times New Roman"/>
          <w:b/>
          <w:color w:val="559AB3"/>
          <w:sz w:val="24"/>
        </w:rPr>
        <w:lastRenderedPageBreak/>
        <w:t>2.2 Expenditure composition outturn by e</w:t>
      </w:r>
      <w:r w:rsidRPr="008E722C">
        <w:rPr>
          <w:rFonts w:ascii="Times New Roman" w:hAnsi="Times New Roman"/>
          <w:b/>
          <w:color w:val="559AB3"/>
          <w:sz w:val="24"/>
        </w:rPr>
        <w:t>conomic t</w:t>
      </w:r>
      <w:r w:rsidRPr="007E584D">
        <w:rPr>
          <w:rFonts w:ascii="Times New Roman" w:hAnsi="Times New Roman"/>
          <w:b/>
          <w:color w:val="559AB3"/>
          <w:sz w:val="24"/>
        </w:rPr>
        <w:t>ype</w:t>
      </w:r>
    </w:p>
    <w:p w14:paraId="235E493B" w14:textId="77777777" w:rsidR="007518E4" w:rsidRPr="00D628A2"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D628A2">
        <w:rPr>
          <w:rFonts w:ascii="Times New Roman" w:hAnsi="Times New Roman"/>
          <w:b/>
          <w:sz w:val="24"/>
        </w:rPr>
        <w:t>The difference in composition between the originally approved budget and outturn by economic classification, including interest on debt but excluding contingency items is summarized in Table 3.2.2</w:t>
      </w:r>
      <w:r w:rsidR="009D64BB">
        <w:rPr>
          <w:rFonts w:ascii="Times New Roman" w:hAnsi="Times New Roman"/>
          <w:sz w:val="24"/>
        </w:rPr>
        <w:t xml:space="preserve">. </w:t>
      </w:r>
      <w:r w:rsidR="00DF0A6B" w:rsidRPr="00D628A2">
        <w:rPr>
          <w:rFonts w:ascii="Times New Roman" w:hAnsi="Times New Roman"/>
          <w:sz w:val="24"/>
        </w:rPr>
        <w:t>D</w:t>
      </w:r>
      <w:r w:rsidRPr="00D628A2">
        <w:rPr>
          <w:rFonts w:ascii="Times New Roman" w:hAnsi="Times New Roman"/>
          <w:sz w:val="24"/>
        </w:rPr>
        <w:t xml:space="preserve">etailed data </w:t>
      </w:r>
      <w:r w:rsidR="00DF0A6B" w:rsidRPr="00D628A2">
        <w:rPr>
          <w:rFonts w:ascii="Times New Roman" w:hAnsi="Times New Roman"/>
          <w:sz w:val="24"/>
        </w:rPr>
        <w:t xml:space="preserve">are presented </w:t>
      </w:r>
      <w:r w:rsidRPr="00D628A2">
        <w:rPr>
          <w:rFonts w:ascii="Times New Roman" w:hAnsi="Times New Roman"/>
          <w:sz w:val="24"/>
        </w:rPr>
        <w:t>in Annex 4.</w:t>
      </w:r>
    </w:p>
    <w:p w14:paraId="732C2663" w14:textId="77777777" w:rsidR="007518E4" w:rsidRPr="00DF0A6B" w:rsidRDefault="007518E4" w:rsidP="007518E4">
      <w:pPr>
        <w:spacing w:before="0"/>
        <w:rPr>
          <w:rFonts w:ascii="Times New Roman" w:hAnsi="Times New Roman"/>
          <w:b/>
          <w:color w:val="000000" w:themeColor="text1"/>
        </w:rPr>
      </w:pPr>
      <w:r w:rsidRPr="00DF0A6B">
        <w:rPr>
          <w:rFonts w:ascii="Times New Roman" w:hAnsi="Times New Roman"/>
          <w:b/>
          <w:color w:val="000000" w:themeColor="text1"/>
        </w:rPr>
        <w:t>Table 3-2.2: Calculation of Variance by Economic Classification</w:t>
      </w:r>
    </w:p>
    <w:tbl>
      <w:tblPr>
        <w:tblStyle w:val="TableGrid"/>
        <w:tblW w:w="0" w:type="auto"/>
        <w:tblInd w:w="720" w:type="dxa"/>
        <w:tblLook w:val="04A0" w:firstRow="1" w:lastRow="0" w:firstColumn="1" w:lastColumn="0" w:noHBand="0" w:noVBand="1"/>
      </w:tblPr>
      <w:tblGrid>
        <w:gridCol w:w="1576"/>
        <w:gridCol w:w="4701"/>
      </w:tblGrid>
      <w:tr w:rsidR="007518E4" w:rsidRPr="00DB0421" w14:paraId="68F64FCC" w14:textId="77777777" w:rsidTr="00DF0A6B">
        <w:tc>
          <w:tcPr>
            <w:tcW w:w="1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C98884" w14:textId="77777777" w:rsidR="007518E4" w:rsidRPr="00DB0421" w:rsidRDefault="007518E4" w:rsidP="007518E4">
            <w:pPr>
              <w:spacing w:before="0"/>
              <w:rPr>
                <w:rFonts w:eastAsia="Calibri"/>
                <w:sz w:val="20"/>
                <w:szCs w:val="20"/>
              </w:rPr>
            </w:pPr>
            <w:r w:rsidRPr="00DB0421">
              <w:rPr>
                <w:rFonts w:eastAsia="Calibri"/>
                <w:sz w:val="20"/>
                <w:szCs w:val="20"/>
              </w:rPr>
              <w:t>Year</w:t>
            </w:r>
          </w:p>
        </w:tc>
        <w:tc>
          <w:tcPr>
            <w:tcW w:w="4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872729" w14:textId="77777777" w:rsidR="007518E4" w:rsidRPr="00DB0421" w:rsidRDefault="007518E4" w:rsidP="007518E4">
            <w:pPr>
              <w:spacing w:before="0"/>
              <w:rPr>
                <w:rFonts w:eastAsia="Calibri"/>
                <w:sz w:val="20"/>
                <w:szCs w:val="20"/>
              </w:rPr>
            </w:pPr>
            <w:r w:rsidRPr="00DB0421">
              <w:rPr>
                <w:rFonts w:eastAsia="Calibri"/>
                <w:sz w:val="20"/>
                <w:szCs w:val="20"/>
              </w:rPr>
              <w:t>Composition variance by Economic classification</w:t>
            </w:r>
          </w:p>
        </w:tc>
      </w:tr>
      <w:tr w:rsidR="007518E4" w:rsidRPr="00DB0421" w14:paraId="63407D2B" w14:textId="77777777" w:rsidTr="00DF0A6B">
        <w:tc>
          <w:tcPr>
            <w:tcW w:w="1576" w:type="dxa"/>
            <w:tcBorders>
              <w:top w:val="single" w:sz="4" w:space="0" w:color="auto"/>
              <w:left w:val="single" w:sz="4" w:space="0" w:color="auto"/>
              <w:bottom w:val="single" w:sz="4" w:space="0" w:color="auto"/>
              <w:right w:val="single" w:sz="4" w:space="0" w:color="auto"/>
            </w:tcBorders>
            <w:vAlign w:val="bottom"/>
          </w:tcPr>
          <w:p w14:paraId="4C602158" w14:textId="77777777" w:rsidR="007518E4" w:rsidRPr="00DB0421" w:rsidRDefault="007518E4" w:rsidP="007518E4">
            <w:pPr>
              <w:spacing w:before="0"/>
              <w:rPr>
                <w:rFonts w:eastAsia="Calibri"/>
                <w:sz w:val="20"/>
                <w:szCs w:val="20"/>
              </w:rPr>
            </w:pPr>
            <w:r w:rsidRPr="00DB0421">
              <w:rPr>
                <w:sz w:val="20"/>
                <w:szCs w:val="20"/>
              </w:rPr>
              <w:t>2014/15</w:t>
            </w:r>
          </w:p>
        </w:tc>
        <w:tc>
          <w:tcPr>
            <w:tcW w:w="4701" w:type="dxa"/>
            <w:tcBorders>
              <w:top w:val="single" w:sz="4" w:space="0" w:color="auto"/>
              <w:left w:val="single" w:sz="4" w:space="0" w:color="auto"/>
              <w:bottom w:val="single" w:sz="4" w:space="0" w:color="auto"/>
              <w:right w:val="single" w:sz="4" w:space="0" w:color="auto"/>
            </w:tcBorders>
            <w:vAlign w:val="center"/>
          </w:tcPr>
          <w:p w14:paraId="1EEC1DD0" w14:textId="77777777" w:rsidR="007518E4" w:rsidRPr="00DB0421" w:rsidRDefault="007518E4" w:rsidP="007518E4">
            <w:pPr>
              <w:spacing w:before="0"/>
              <w:jc w:val="center"/>
              <w:rPr>
                <w:rFonts w:eastAsia="Calibri"/>
                <w:sz w:val="20"/>
                <w:szCs w:val="20"/>
              </w:rPr>
            </w:pPr>
            <w:r>
              <w:rPr>
                <w:sz w:val="20"/>
                <w:szCs w:val="20"/>
              </w:rPr>
              <w:t>13.7</w:t>
            </w:r>
            <w:r w:rsidRPr="00DB0421">
              <w:rPr>
                <w:sz w:val="20"/>
                <w:szCs w:val="20"/>
              </w:rPr>
              <w:t>%</w:t>
            </w:r>
          </w:p>
        </w:tc>
      </w:tr>
      <w:tr w:rsidR="007518E4" w:rsidRPr="00DB0421" w14:paraId="72056CF9" w14:textId="77777777" w:rsidTr="00DF0A6B">
        <w:tc>
          <w:tcPr>
            <w:tcW w:w="1576" w:type="dxa"/>
            <w:tcBorders>
              <w:top w:val="single" w:sz="4" w:space="0" w:color="auto"/>
              <w:left w:val="single" w:sz="4" w:space="0" w:color="auto"/>
              <w:bottom w:val="single" w:sz="4" w:space="0" w:color="auto"/>
              <w:right w:val="single" w:sz="4" w:space="0" w:color="auto"/>
            </w:tcBorders>
            <w:vAlign w:val="bottom"/>
          </w:tcPr>
          <w:p w14:paraId="3C0EB4D6" w14:textId="77777777" w:rsidR="007518E4" w:rsidRPr="00DB0421" w:rsidRDefault="007518E4" w:rsidP="007518E4">
            <w:pPr>
              <w:spacing w:before="0"/>
              <w:rPr>
                <w:rFonts w:eastAsia="Calibri"/>
                <w:sz w:val="20"/>
                <w:szCs w:val="20"/>
              </w:rPr>
            </w:pPr>
            <w:r w:rsidRPr="00DB0421">
              <w:rPr>
                <w:sz w:val="20"/>
                <w:szCs w:val="20"/>
              </w:rPr>
              <w:t>2015/16</w:t>
            </w:r>
          </w:p>
        </w:tc>
        <w:tc>
          <w:tcPr>
            <w:tcW w:w="4701" w:type="dxa"/>
            <w:tcBorders>
              <w:top w:val="single" w:sz="4" w:space="0" w:color="auto"/>
              <w:left w:val="single" w:sz="4" w:space="0" w:color="auto"/>
              <w:bottom w:val="single" w:sz="4" w:space="0" w:color="auto"/>
              <w:right w:val="single" w:sz="4" w:space="0" w:color="auto"/>
            </w:tcBorders>
            <w:vAlign w:val="center"/>
          </w:tcPr>
          <w:p w14:paraId="1B3C43E5" w14:textId="77777777" w:rsidR="007518E4" w:rsidRPr="00DB0421" w:rsidRDefault="007518E4" w:rsidP="007518E4">
            <w:pPr>
              <w:spacing w:before="0"/>
              <w:jc w:val="center"/>
              <w:rPr>
                <w:rFonts w:eastAsia="Calibri"/>
                <w:sz w:val="20"/>
                <w:szCs w:val="20"/>
              </w:rPr>
            </w:pPr>
            <w:r>
              <w:rPr>
                <w:sz w:val="20"/>
                <w:szCs w:val="20"/>
              </w:rPr>
              <w:t>12.1</w:t>
            </w:r>
            <w:r w:rsidRPr="00DB0421">
              <w:rPr>
                <w:sz w:val="20"/>
                <w:szCs w:val="20"/>
              </w:rPr>
              <w:t>%</w:t>
            </w:r>
          </w:p>
        </w:tc>
      </w:tr>
      <w:tr w:rsidR="00884FB2" w:rsidRPr="00DB0421" w14:paraId="4BB5DCA6" w14:textId="77777777" w:rsidTr="00DF0A6B">
        <w:tc>
          <w:tcPr>
            <w:tcW w:w="1576" w:type="dxa"/>
            <w:tcBorders>
              <w:top w:val="single" w:sz="4" w:space="0" w:color="auto"/>
              <w:left w:val="single" w:sz="4" w:space="0" w:color="auto"/>
              <w:bottom w:val="single" w:sz="4" w:space="0" w:color="auto"/>
              <w:right w:val="single" w:sz="4" w:space="0" w:color="auto"/>
            </w:tcBorders>
            <w:vAlign w:val="bottom"/>
          </w:tcPr>
          <w:p w14:paraId="553282EB" w14:textId="77777777" w:rsidR="00884FB2" w:rsidRPr="00DB0421" w:rsidRDefault="00884FB2" w:rsidP="007518E4">
            <w:pPr>
              <w:spacing w:before="0"/>
              <w:rPr>
                <w:sz w:val="20"/>
                <w:szCs w:val="20"/>
              </w:rPr>
            </w:pPr>
            <w:r>
              <w:rPr>
                <w:sz w:val="20"/>
                <w:szCs w:val="20"/>
              </w:rPr>
              <w:t>2017</w:t>
            </w:r>
          </w:p>
        </w:tc>
        <w:tc>
          <w:tcPr>
            <w:tcW w:w="4701" w:type="dxa"/>
            <w:tcBorders>
              <w:top w:val="single" w:sz="4" w:space="0" w:color="auto"/>
              <w:left w:val="single" w:sz="4" w:space="0" w:color="auto"/>
              <w:bottom w:val="single" w:sz="4" w:space="0" w:color="auto"/>
              <w:right w:val="single" w:sz="4" w:space="0" w:color="auto"/>
            </w:tcBorders>
            <w:vAlign w:val="center"/>
          </w:tcPr>
          <w:p w14:paraId="0DD551F5" w14:textId="77777777" w:rsidR="00884FB2" w:rsidRDefault="00743BA7" w:rsidP="007518E4">
            <w:pPr>
              <w:spacing w:before="0"/>
              <w:jc w:val="center"/>
              <w:rPr>
                <w:sz w:val="20"/>
                <w:szCs w:val="20"/>
              </w:rPr>
            </w:pPr>
            <w:r>
              <w:rPr>
                <w:sz w:val="20"/>
                <w:szCs w:val="20"/>
              </w:rPr>
              <w:t>2.1</w:t>
            </w:r>
            <w:r w:rsidR="00BD4F91">
              <w:rPr>
                <w:sz w:val="20"/>
                <w:szCs w:val="20"/>
              </w:rPr>
              <w:t>%</w:t>
            </w:r>
          </w:p>
        </w:tc>
      </w:tr>
    </w:tbl>
    <w:p w14:paraId="1ADEB26F" w14:textId="77777777" w:rsidR="007518E4" w:rsidRPr="00DF0A6B" w:rsidRDefault="007518E4" w:rsidP="007518E4">
      <w:pPr>
        <w:spacing w:before="0"/>
        <w:rPr>
          <w:rFonts w:ascii="Times New Roman" w:hAnsi="Times New Roman"/>
          <w:sz w:val="20"/>
          <w:szCs w:val="20"/>
        </w:rPr>
      </w:pPr>
      <w:r w:rsidRPr="00DF0A6B">
        <w:rPr>
          <w:rFonts w:ascii="Times New Roman" w:hAnsi="Times New Roman"/>
          <w:sz w:val="20"/>
          <w:szCs w:val="20"/>
        </w:rPr>
        <w:t>Source: MoF published Official Gazette and Fiscal Policy department data</w:t>
      </w:r>
    </w:p>
    <w:p w14:paraId="6C7015E7" w14:textId="77777777" w:rsidR="007518E4" w:rsidRPr="001D6777"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i/>
          <w:sz w:val="24"/>
        </w:rPr>
      </w:pPr>
      <w:r w:rsidRPr="00DF0A6B">
        <w:rPr>
          <w:rFonts w:ascii="Times New Roman" w:hAnsi="Times New Roman"/>
          <w:b/>
          <w:sz w:val="24"/>
        </w:rPr>
        <w:t>The data for each economic category shows some consistency from one year to another.</w:t>
      </w:r>
      <w:r w:rsidRPr="001D6777">
        <w:rPr>
          <w:rFonts w:ascii="Times New Roman" w:hAnsi="Times New Roman"/>
          <w:sz w:val="24"/>
        </w:rPr>
        <w:t xml:space="preserve"> The main expenditure category “Salaries and allowances” is under</w:t>
      </w:r>
      <w:r w:rsidR="00DF0A6B">
        <w:rPr>
          <w:rFonts w:ascii="Times New Roman" w:hAnsi="Times New Roman"/>
          <w:sz w:val="24"/>
        </w:rPr>
        <w:t>-</w:t>
      </w:r>
      <w:r w:rsidRPr="001D6777">
        <w:rPr>
          <w:rFonts w:ascii="Times New Roman" w:hAnsi="Times New Roman"/>
          <w:sz w:val="24"/>
        </w:rPr>
        <w:t>spent for the three years reflecting the policy to contain salaries and wages compared to previous years. The “Capital expenditure” category is systematically overspent over the three years as the external financing from donor loans and grants as the information on the realization of donors’ commitment is only partially available at th</w:t>
      </w:r>
      <w:r w:rsidR="009D64BB">
        <w:rPr>
          <w:rFonts w:ascii="Times New Roman" w:hAnsi="Times New Roman"/>
          <w:sz w:val="24"/>
        </w:rPr>
        <w:t xml:space="preserve">e time of the budget planning. </w:t>
      </w:r>
      <w:r w:rsidRPr="001D6777">
        <w:rPr>
          <w:rFonts w:ascii="Times New Roman" w:hAnsi="Times New Roman"/>
          <w:sz w:val="24"/>
        </w:rPr>
        <w:t xml:space="preserve">The classification by economic categories is not fully GFS compliant: there are recurrent expenditures included in capital expenditures funded externally.  </w:t>
      </w:r>
    </w:p>
    <w:p w14:paraId="230526FF" w14:textId="77777777" w:rsidR="007518E4" w:rsidRPr="001D6777"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i/>
          <w:sz w:val="24"/>
        </w:rPr>
      </w:pPr>
      <w:r w:rsidRPr="00FA07D6">
        <w:rPr>
          <w:rFonts w:ascii="Times New Roman" w:hAnsi="Times New Roman"/>
          <w:b/>
          <w:bCs/>
          <w:color w:val="000000"/>
          <w:sz w:val="24"/>
        </w:rPr>
        <w:t>Variance in expenditure composition by economic classific</w:t>
      </w:r>
      <w:r w:rsidR="009D64BB">
        <w:rPr>
          <w:rFonts w:ascii="Times New Roman" w:hAnsi="Times New Roman"/>
          <w:b/>
          <w:bCs/>
          <w:color w:val="000000"/>
          <w:sz w:val="24"/>
        </w:rPr>
        <w:t>ation was calculated at</w:t>
      </w:r>
      <w:r w:rsidRPr="00FA07D6">
        <w:rPr>
          <w:rFonts w:ascii="Times New Roman" w:hAnsi="Times New Roman"/>
          <w:b/>
          <w:bCs/>
          <w:color w:val="000000"/>
          <w:sz w:val="24"/>
        </w:rPr>
        <w:t>, 13.7</w:t>
      </w:r>
      <w:r w:rsidR="00BD4F91">
        <w:rPr>
          <w:rFonts w:ascii="Times New Roman" w:hAnsi="Times New Roman"/>
          <w:b/>
          <w:bCs/>
          <w:color w:val="000000"/>
          <w:sz w:val="24"/>
        </w:rPr>
        <w:t xml:space="preserve">%, </w:t>
      </w:r>
      <w:r w:rsidRPr="00FA07D6">
        <w:rPr>
          <w:rFonts w:ascii="Times New Roman" w:hAnsi="Times New Roman"/>
          <w:b/>
          <w:bCs/>
          <w:color w:val="000000"/>
          <w:sz w:val="24"/>
        </w:rPr>
        <w:t>12.1</w:t>
      </w:r>
      <w:r w:rsidR="00BD4F91">
        <w:rPr>
          <w:rFonts w:ascii="Times New Roman" w:hAnsi="Times New Roman"/>
          <w:b/>
          <w:bCs/>
          <w:color w:val="000000"/>
          <w:sz w:val="24"/>
        </w:rPr>
        <w:t xml:space="preserve">%and </w:t>
      </w:r>
      <w:r w:rsidR="00743BA7">
        <w:rPr>
          <w:rFonts w:ascii="Times New Roman" w:hAnsi="Times New Roman"/>
          <w:b/>
          <w:bCs/>
          <w:color w:val="000000"/>
          <w:sz w:val="24"/>
        </w:rPr>
        <w:t>2.1</w:t>
      </w:r>
      <w:r w:rsidR="00BD4F91">
        <w:rPr>
          <w:rFonts w:ascii="Times New Roman" w:hAnsi="Times New Roman"/>
          <w:b/>
          <w:bCs/>
          <w:color w:val="000000"/>
          <w:sz w:val="24"/>
        </w:rPr>
        <w:t>%</w:t>
      </w:r>
      <w:r w:rsidRPr="00FA07D6">
        <w:rPr>
          <w:rFonts w:ascii="Times New Roman" w:hAnsi="Times New Roman"/>
          <w:b/>
          <w:bCs/>
          <w:color w:val="000000"/>
          <w:sz w:val="24"/>
        </w:rPr>
        <w:t xml:space="preserve"> </w:t>
      </w:r>
      <w:r w:rsidR="00743BA7">
        <w:rPr>
          <w:rFonts w:ascii="Times New Roman" w:hAnsi="Times New Roman"/>
          <w:b/>
          <w:bCs/>
          <w:color w:val="000000"/>
          <w:sz w:val="24"/>
        </w:rPr>
        <w:t xml:space="preserve">(est.) </w:t>
      </w:r>
      <w:r w:rsidRPr="00FA07D6">
        <w:rPr>
          <w:rFonts w:ascii="Times New Roman" w:hAnsi="Times New Roman"/>
          <w:b/>
          <w:bCs/>
          <w:color w:val="000000"/>
          <w:sz w:val="24"/>
        </w:rPr>
        <w:t>respectively in the three years</w:t>
      </w:r>
      <w:r w:rsidR="009D64BB">
        <w:rPr>
          <w:rFonts w:ascii="Times New Roman" w:hAnsi="Times New Roman"/>
          <w:bCs/>
          <w:color w:val="000000"/>
          <w:sz w:val="24"/>
        </w:rPr>
        <w:t xml:space="preserve">. </w:t>
      </w:r>
      <w:r w:rsidR="00FA07D6">
        <w:rPr>
          <w:rFonts w:ascii="Times New Roman" w:hAnsi="Times New Roman"/>
          <w:bCs/>
          <w:color w:val="000000"/>
          <w:sz w:val="24"/>
        </w:rPr>
        <w:t xml:space="preserve">As this </w:t>
      </w:r>
      <w:r>
        <w:rPr>
          <w:rFonts w:ascii="Times New Roman" w:hAnsi="Times New Roman"/>
          <w:bCs/>
          <w:color w:val="000000"/>
          <w:sz w:val="24"/>
        </w:rPr>
        <w:t xml:space="preserve">is </w:t>
      </w:r>
      <w:r w:rsidR="009D64BB">
        <w:rPr>
          <w:rFonts w:ascii="Times New Roman" w:hAnsi="Times New Roman"/>
          <w:bCs/>
          <w:color w:val="000000"/>
          <w:sz w:val="24"/>
        </w:rPr>
        <w:t>less than 15 percent</w:t>
      </w:r>
      <w:r w:rsidRPr="001D6777">
        <w:rPr>
          <w:rFonts w:ascii="Times New Roman" w:hAnsi="Times New Roman"/>
          <w:bCs/>
          <w:color w:val="000000"/>
          <w:sz w:val="24"/>
        </w:rPr>
        <w:t xml:space="preserve"> in two of the three years</w:t>
      </w:r>
      <w:r>
        <w:rPr>
          <w:rFonts w:ascii="Times New Roman" w:hAnsi="Times New Roman"/>
          <w:bCs/>
          <w:color w:val="000000"/>
          <w:sz w:val="24"/>
        </w:rPr>
        <w:t xml:space="preserve"> </w:t>
      </w:r>
      <w:r w:rsidR="00FA07D6">
        <w:rPr>
          <w:rFonts w:ascii="Times New Roman" w:hAnsi="Times New Roman"/>
          <w:bCs/>
          <w:color w:val="000000"/>
          <w:sz w:val="24"/>
        </w:rPr>
        <w:t>the</w:t>
      </w:r>
      <w:r>
        <w:rPr>
          <w:rFonts w:ascii="Times New Roman" w:hAnsi="Times New Roman"/>
          <w:bCs/>
          <w:color w:val="000000"/>
          <w:sz w:val="24"/>
        </w:rPr>
        <w:t xml:space="preserve"> </w:t>
      </w:r>
      <w:r w:rsidR="00BD4F91">
        <w:rPr>
          <w:rFonts w:ascii="Times New Roman" w:hAnsi="Times New Roman"/>
          <w:bCs/>
          <w:color w:val="000000"/>
          <w:sz w:val="24"/>
        </w:rPr>
        <w:t>s</w:t>
      </w:r>
      <w:r w:rsidRPr="001D6777">
        <w:rPr>
          <w:rFonts w:ascii="Times New Roman" w:hAnsi="Times New Roman"/>
          <w:bCs/>
          <w:color w:val="000000"/>
          <w:sz w:val="24"/>
        </w:rPr>
        <w:t xml:space="preserve">core </w:t>
      </w:r>
      <w:r w:rsidR="00FA07D6">
        <w:rPr>
          <w:rFonts w:ascii="Times New Roman" w:hAnsi="Times New Roman"/>
          <w:bCs/>
          <w:color w:val="000000"/>
          <w:sz w:val="24"/>
        </w:rPr>
        <w:t xml:space="preserve">is </w:t>
      </w:r>
      <w:r w:rsidRPr="001D6777">
        <w:rPr>
          <w:rFonts w:ascii="Times New Roman" w:hAnsi="Times New Roman"/>
          <w:bCs/>
          <w:color w:val="000000"/>
          <w:sz w:val="24"/>
        </w:rPr>
        <w:t>C.</w:t>
      </w:r>
    </w:p>
    <w:p w14:paraId="17B5C3A7" w14:textId="77777777" w:rsidR="007518E4" w:rsidRPr="008D65E9" w:rsidRDefault="007518E4" w:rsidP="007518E4">
      <w:pPr>
        <w:pStyle w:val="ParagraphNumbering"/>
        <w:numPr>
          <w:ilvl w:val="0"/>
          <w:numId w:val="0"/>
        </w:numPr>
        <w:spacing w:after="0"/>
        <w:rPr>
          <w:rFonts w:ascii="Times New Roman" w:eastAsia="Times New Roman" w:hAnsi="Times New Roman"/>
          <w:b/>
          <w:color w:val="559AB3"/>
          <w:sz w:val="24"/>
        </w:rPr>
      </w:pPr>
      <w:r w:rsidRPr="007A1410">
        <w:rPr>
          <w:rFonts w:ascii="Times New Roman" w:eastAsia="Times New Roman" w:hAnsi="Times New Roman"/>
          <w:b/>
          <w:color w:val="559AB3"/>
          <w:sz w:val="24"/>
        </w:rPr>
        <w:t>2</w:t>
      </w:r>
      <w:r w:rsidRPr="008D65E9">
        <w:rPr>
          <w:rFonts w:ascii="Times New Roman" w:eastAsia="Times New Roman" w:hAnsi="Times New Roman"/>
          <w:b/>
          <w:color w:val="559AB3"/>
          <w:sz w:val="24"/>
        </w:rPr>
        <w:t xml:space="preserve">.3 </w:t>
      </w:r>
      <w:r w:rsidRPr="008D65E9">
        <w:rPr>
          <w:rFonts w:ascii="Times New Roman" w:hAnsi="Times New Roman"/>
          <w:b/>
          <w:color w:val="559AB3"/>
          <w:sz w:val="24"/>
        </w:rPr>
        <w:t>E</w:t>
      </w:r>
      <w:r w:rsidRPr="008D65E9">
        <w:rPr>
          <w:rFonts w:ascii="Times New Roman" w:hAnsi="Times New Roman"/>
          <w:b/>
          <w:color w:val="559AB3"/>
          <w:spacing w:val="-1"/>
          <w:sz w:val="24"/>
        </w:rPr>
        <w:t>xpenditure</w:t>
      </w:r>
      <w:r w:rsidRPr="008D65E9">
        <w:rPr>
          <w:rFonts w:ascii="Times New Roman" w:hAnsi="Times New Roman"/>
          <w:b/>
          <w:color w:val="559AB3"/>
          <w:spacing w:val="-4"/>
          <w:sz w:val="24"/>
        </w:rPr>
        <w:t xml:space="preserve"> from </w:t>
      </w:r>
      <w:r>
        <w:rPr>
          <w:rFonts w:ascii="Times New Roman" w:hAnsi="Times New Roman"/>
          <w:b/>
          <w:color w:val="559AB3"/>
          <w:spacing w:val="-4"/>
          <w:sz w:val="24"/>
        </w:rPr>
        <w:t>c</w:t>
      </w:r>
      <w:r w:rsidRPr="008D65E9">
        <w:rPr>
          <w:rFonts w:ascii="Times New Roman" w:hAnsi="Times New Roman"/>
          <w:b/>
          <w:color w:val="559AB3"/>
          <w:spacing w:val="-1"/>
          <w:sz w:val="24"/>
        </w:rPr>
        <w:t>ontingency</w:t>
      </w:r>
      <w:r w:rsidRPr="008D65E9">
        <w:rPr>
          <w:rFonts w:ascii="Times New Roman" w:hAnsi="Times New Roman"/>
          <w:b/>
          <w:color w:val="559AB3"/>
          <w:spacing w:val="-6"/>
          <w:sz w:val="24"/>
        </w:rPr>
        <w:t xml:space="preserve"> </w:t>
      </w:r>
      <w:r>
        <w:rPr>
          <w:rFonts w:ascii="Times New Roman" w:hAnsi="Times New Roman"/>
          <w:b/>
          <w:color w:val="559AB3"/>
          <w:spacing w:val="-6"/>
          <w:sz w:val="24"/>
        </w:rPr>
        <w:t>r</w:t>
      </w:r>
      <w:r w:rsidRPr="008D65E9">
        <w:rPr>
          <w:rFonts w:ascii="Times New Roman" w:hAnsi="Times New Roman"/>
          <w:b/>
          <w:color w:val="559AB3"/>
          <w:spacing w:val="-6"/>
          <w:sz w:val="24"/>
        </w:rPr>
        <w:t>eserves</w:t>
      </w:r>
    </w:p>
    <w:p w14:paraId="331FAE4B" w14:textId="5282DAF8" w:rsidR="007518E4" w:rsidRPr="00A36C9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bookmarkStart w:id="37" w:name="_Toc518901784"/>
      <w:r w:rsidRPr="00FA07D6">
        <w:rPr>
          <w:rFonts w:ascii="Times New Roman" w:hAnsi="Times New Roman"/>
          <w:b/>
          <w:bCs/>
          <w:sz w:val="24"/>
          <w:lang w:val="en-MY"/>
        </w:rPr>
        <w:t xml:space="preserve">Article 3: Government and Local Reserve Funds in the State Budget Law </w:t>
      </w:r>
      <w:r w:rsidRPr="00FA07D6">
        <w:rPr>
          <w:rFonts w:ascii="Times New Roman" w:hAnsi="Times New Roman"/>
          <w:b/>
          <w:sz w:val="24"/>
          <w:lang w:val="en-MY"/>
        </w:rPr>
        <w:t>refers to “allocations provided for in the annual budget expenditure plan to be used in meeting contingencies and urgent requirements</w:t>
      </w:r>
      <w:r w:rsidR="00FA07D6">
        <w:rPr>
          <w:rFonts w:ascii="Times New Roman" w:hAnsi="Times New Roman"/>
          <w:sz w:val="24"/>
          <w:lang w:val="en-MY"/>
        </w:rPr>
        <w:t>.”</w:t>
      </w:r>
      <w:r w:rsidRPr="00A36C98">
        <w:rPr>
          <w:rFonts w:ascii="Times New Roman" w:hAnsi="Times New Roman"/>
          <w:sz w:val="24"/>
          <w:lang w:val="en-MY"/>
        </w:rPr>
        <w:t xml:space="preserve"> </w:t>
      </w:r>
      <w:r w:rsidR="00FA07D6">
        <w:rPr>
          <w:rFonts w:ascii="Times New Roman" w:hAnsi="Times New Roman"/>
          <w:sz w:val="24"/>
          <w:lang w:val="en-MY"/>
        </w:rPr>
        <w:t xml:space="preserve">This covers items </w:t>
      </w:r>
      <w:r w:rsidRPr="00A36C98">
        <w:rPr>
          <w:rFonts w:ascii="Times New Roman" w:hAnsi="Times New Roman"/>
          <w:sz w:val="24"/>
          <w:lang w:val="en-MY"/>
        </w:rPr>
        <w:t>such as: defence, security, mitigation of n</w:t>
      </w:r>
      <w:r w:rsidR="00FA07D6">
        <w:rPr>
          <w:rFonts w:ascii="Times New Roman" w:hAnsi="Times New Roman"/>
          <w:sz w:val="24"/>
          <w:lang w:val="en-MY"/>
        </w:rPr>
        <w:t>atural calamities and epidemics</w:t>
      </w:r>
      <w:r w:rsidRPr="00A36C98">
        <w:rPr>
          <w:rFonts w:ascii="Times New Roman" w:hAnsi="Times New Roman"/>
          <w:sz w:val="24"/>
          <w:lang w:val="en-MY"/>
        </w:rPr>
        <w:t>.  The contingency</w:t>
      </w:r>
      <w:r w:rsidRPr="00A36C98">
        <w:rPr>
          <w:rFonts w:ascii="Times New Roman" w:hAnsi="Times New Roman"/>
          <w:color w:val="000000"/>
          <w:sz w:val="24"/>
          <w:lang w:eastAsia="en-IN"/>
        </w:rPr>
        <w:t xml:space="preserve"> share is included under the provision for “Other expenditures” in the economic classification and is composed of the State Accumulation Fund and the Government and Local Reserve Fund in the approved budget.  </w:t>
      </w:r>
      <w:r>
        <w:rPr>
          <w:rFonts w:ascii="Times New Roman" w:hAnsi="Times New Roman"/>
          <w:sz w:val="24"/>
        </w:rPr>
        <w:t>Table 3.2.3</w:t>
      </w:r>
      <w:r w:rsidRPr="00A36C98">
        <w:rPr>
          <w:rFonts w:ascii="Times New Roman" w:hAnsi="Times New Roman"/>
          <w:sz w:val="24"/>
        </w:rPr>
        <w:t xml:space="preserve"> </w:t>
      </w:r>
      <w:r>
        <w:rPr>
          <w:rFonts w:ascii="Times New Roman" w:hAnsi="Times New Roman"/>
          <w:sz w:val="24"/>
        </w:rPr>
        <w:t>presents the information for the amount allocated for contingency and its relative size</w:t>
      </w:r>
      <w:r w:rsidRPr="00A36C98">
        <w:rPr>
          <w:rFonts w:ascii="Times New Roman" w:hAnsi="Times New Roman"/>
          <w:sz w:val="24"/>
        </w:rPr>
        <w:t xml:space="preserve"> with detailed data provided in the tables in Annex </w:t>
      </w:r>
      <w:r>
        <w:rPr>
          <w:rFonts w:ascii="Times New Roman" w:hAnsi="Times New Roman"/>
          <w:sz w:val="24"/>
        </w:rPr>
        <w:t>4.</w:t>
      </w:r>
      <w:r w:rsidRPr="00A36C98">
        <w:rPr>
          <w:rFonts w:ascii="Times New Roman" w:hAnsi="Times New Roman"/>
          <w:sz w:val="24"/>
        </w:rPr>
        <w:t xml:space="preserve"> </w:t>
      </w:r>
    </w:p>
    <w:p w14:paraId="616E37CE" w14:textId="77777777" w:rsidR="007518E4" w:rsidRPr="0079576F" w:rsidRDefault="007518E4" w:rsidP="007518E4">
      <w:pPr>
        <w:autoSpaceDE w:val="0"/>
        <w:autoSpaceDN w:val="0"/>
        <w:adjustRightInd w:val="0"/>
        <w:spacing w:before="0"/>
        <w:ind w:left="1440"/>
        <w:rPr>
          <w:rFonts w:ascii="Times New Roman" w:hAnsi="Times New Roman"/>
          <w:b/>
          <w:color w:val="000000" w:themeColor="text1"/>
          <w:lang w:eastAsia="en-IN"/>
        </w:rPr>
      </w:pPr>
      <w:r w:rsidRPr="0079576F">
        <w:rPr>
          <w:rFonts w:ascii="Times New Roman" w:hAnsi="Times New Roman"/>
          <w:b/>
          <w:color w:val="000000" w:themeColor="text1"/>
          <w:lang w:eastAsia="en-IN"/>
        </w:rPr>
        <w:t xml:space="preserve">Table 3.2.3: </w:t>
      </w:r>
      <w:r w:rsidRPr="0079576F">
        <w:rPr>
          <w:rFonts w:ascii="Times New Roman" w:hAnsi="Times New Roman"/>
          <w:b/>
          <w:bCs/>
          <w:color w:val="000000" w:themeColor="text1"/>
        </w:rPr>
        <w:t>Calculation of Contingency Share</w:t>
      </w:r>
    </w:p>
    <w:tbl>
      <w:tblPr>
        <w:tblStyle w:val="TableGrid"/>
        <w:tblW w:w="0" w:type="auto"/>
        <w:tblInd w:w="1548" w:type="dxa"/>
        <w:tblLook w:val="04A0" w:firstRow="1" w:lastRow="0" w:firstColumn="1" w:lastColumn="0" w:noHBand="0" w:noVBand="1"/>
      </w:tblPr>
      <w:tblGrid>
        <w:gridCol w:w="2955"/>
        <w:gridCol w:w="2835"/>
      </w:tblGrid>
      <w:tr w:rsidR="007518E4" w:rsidRPr="001D6777" w14:paraId="5206F372" w14:textId="77777777" w:rsidTr="00850394">
        <w:tc>
          <w:tcPr>
            <w:tcW w:w="2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FBB64" w14:textId="77777777" w:rsidR="007518E4" w:rsidRPr="00850394" w:rsidRDefault="007518E4" w:rsidP="007518E4">
            <w:pPr>
              <w:spacing w:before="0"/>
              <w:rPr>
                <w:sz w:val="22"/>
                <w:szCs w:val="22"/>
              </w:rPr>
            </w:pPr>
            <w:r w:rsidRPr="00850394">
              <w:rPr>
                <w:sz w:val="22"/>
                <w:szCs w:val="22"/>
              </w:rPr>
              <w:t>Year</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4D833" w14:textId="77777777" w:rsidR="007518E4" w:rsidRPr="00850394" w:rsidRDefault="007518E4" w:rsidP="00850394">
            <w:pPr>
              <w:spacing w:before="0"/>
              <w:ind w:hanging="449"/>
              <w:rPr>
                <w:sz w:val="22"/>
                <w:szCs w:val="22"/>
              </w:rPr>
            </w:pPr>
            <w:r w:rsidRPr="00850394">
              <w:rPr>
                <w:sz w:val="22"/>
                <w:szCs w:val="22"/>
              </w:rPr>
              <w:t>% of the original budget</w:t>
            </w:r>
          </w:p>
        </w:tc>
      </w:tr>
      <w:tr w:rsidR="007518E4" w:rsidRPr="001D6777" w14:paraId="57A343AD" w14:textId="77777777" w:rsidTr="007604FD">
        <w:tc>
          <w:tcPr>
            <w:tcW w:w="2955" w:type="dxa"/>
            <w:tcBorders>
              <w:top w:val="single" w:sz="4" w:space="0" w:color="auto"/>
              <w:left w:val="single" w:sz="4" w:space="0" w:color="auto"/>
              <w:bottom w:val="single" w:sz="4" w:space="0" w:color="auto"/>
              <w:right w:val="single" w:sz="4" w:space="0" w:color="auto"/>
            </w:tcBorders>
            <w:shd w:val="clear" w:color="auto" w:fill="auto"/>
            <w:vAlign w:val="bottom"/>
          </w:tcPr>
          <w:p w14:paraId="6FB62ADD" w14:textId="77777777" w:rsidR="007518E4" w:rsidRPr="00850394" w:rsidRDefault="007518E4" w:rsidP="007604FD">
            <w:pPr>
              <w:spacing w:before="0"/>
              <w:ind w:left="0"/>
              <w:rPr>
                <w:sz w:val="22"/>
                <w:szCs w:val="22"/>
              </w:rPr>
            </w:pPr>
            <w:r w:rsidRPr="00850394">
              <w:rPr>
                <w:sz w:val="22"/>
                <w:szCs w:val="22"/>
              </w:rPr>
              <w:t>2014/15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9740F1" w14:textId="77777777" w:rsidR="007518E4" w:rsidRPr="00850394" w:rsidRDefault="007518E4" w:rsidP="007604FD">
            <w:pPr>
              <w:spacing w:before="0"/>
              <w:ind w:left="0"/>
              <w:jc w:val="center"/>
              <w:rPr>
                <w:sz w:val="22"/>
                <w:szCs w:val="22"/>
              </w:rPr>
            </w:pPr>
            <w:r w:rsidRPr="00850394">
              <w:rPr>
                <w:sz w:val="22"/>
                <w:szCs w:val="22"/>
              </w:rPr>
              <w:t>0.0%</w:t>
            </w:r>
          </w:p>
        </w:tc>
      </w:tr>
      <w:tr w:rsidR="007518E4" w:rsidRPr="001D6777" w14:paraId="03F2D1D0" w14:textId="77777777" w:rsidTr="007604FD">
        <w:tc>
          <w:tcPr>
            <w:tcW w:w="2955" w:type="dxa"/>
            <w:tcBorders>
              <w:top w:val="single" w:sz="4" w:space="0" w:color="auto"/>
              <w:left w:val="single" w:sz="4" w:space="0" w:color="auto"/>
              <w:bottom w:val="single" w:sz="4" w:space="0" w:color="auto"/>
              <w:right w:val="single" w:sz="4" w:space="0" w:color="auto"/>
            </w:tcBorders>
            <w:shd w:val="clear" w:color="auto" w:fill="auto"/>
            <w:vAlign w:val="bottom"/>
          </w:tcPr>
          <w:p w14:paraId="2D6833CB" w14:textId="77777777" w:rsidR="007518E4" w:rsidRPr="00850394" w:rsidRDefault="007518E4" w:rsidP="007604FD">
            <w:pPr>
              <w:spacing w:before="0"/>
              <w:ind w:left="0"/>
              <w:rPr>
                <w:sz w:val="22"/>
                <w:szCs w:val="22"/>
              </w:rPr>
            </w:pPr>
            <w:r w:rsidRPr="00850394">
              <w:rPr>
                <w:sz w:val="22"/>
                <w:szCs w:val="22"/>
              </w:rPr>
              <w:t>2015/16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97B476" w14:textId="77777777" w:rsidR="007518E4" w:rsidRPr="00850394" w:rsidRDefault="007518E4" w:rsidP="007604FD">
            <w:pPr>
              <w:spacing w:before="0"/>
              <w:ind w:left="0"/>
              <w:jc w:val="center"/>
              <w:rPr>
                <w:sz w:val="22"/>
                <w:szCs w:val="22"/>
              </w:rPr>
            </w:pPr>
            <w:r w:rsidRPr="00850394">
              <w:rPr>
                <w:sz w:val="22"/>
                <w:szCs w:val="22"/>
              </w:rPr>
              <w:t>0.2%</w:t>
            </w:r>
          </w:p>
        </w:tc>
      </w:tr>
      <w:tr w:rsidR="00884FB2" w:rsidRPr="001D6777" w14:paraId="2803CA58" w14:textId="77777777" w:rsidTr="007604FD">
        <w:tc>
          <w:tcPr>
            <w:tcW w:w="2955" w:type="dxa"/>
            <w:tcBorders>
              <w:top w:val="single" w:sz="4" w:space="0" w:color="auto"/>
              <w:left w:val="single" w:sz="4" w:space="0" w:color="auto"/>
              <w:bottom w:val="single" w:sz="4" w:space="0" w:color="auto"/>
              <w:right w:val="single" w:sz="4" w:space="0" w:color="auto"/>
            </w:tcBorders>
            <w:shd w:val="clear" w:color="auto" w:fill="auto"/>
            <w:vAlign w:val="bottom"/>
          </w:tcPr>
          <w:p w14:paraId="1567BBDB" w14:textId="77777777" w:rsidR="00884FB2" w:rsidRPr="00850394" w:rsidRDefault="00884FB2" w:rsidP="007604FD">
            <w:pPr>
              <w:spacing w:before="0"/>
              <w:ind w:left="0"/>
              <w:rPr>
                <w:szCs w:val="22"/>
              </w:rPr>
            </w:pPr>
            <w:r>
              <w:rPr>
                <w:szCs w:val="22"/>
              </w:rPr>
              <w:t>2017</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79E893D" w14:textId="77777777" w:rsidR="00884FB2" w:rsidRPr="00850394" w:rsidRDefault="00BD4F91" w:rsidP="007604FD">
            <w:pPr>
              <w:spacing w:before="0"/>
              <w:ind w:left="0"/>
              <w:jc w:val="center"/>
              <w:rPr>
                <w:szCs w:val="22"/>
              </w:rPr>
            </w:pPr>
            <w:r>
              <w:rPr>
                <w:szCs w:val="22"/>
              </w:rPr>
              <w:t>0.21%</w:t>
            </w:r>
          </w:p>
        </w:tc>
      </w:tr>
      <w:tr w:rsidR="007518E4" w:rsidRPr="001D6777" w14:paraId="0ACEBE7A" w14:textId="77777777" w:rsidTr="007604FD">
        <w:tc>
          <w:tcPr>
            <w:tcW w:w="2955" w:type="dxa"/>
            <w:tcBorders>
              <w:top w:val="single" w:sz="4" w:space="0" w:color="auto"/>
              <w:left w:val="single" w:sz="4" w:space="0" w:color="auto"/>
              <w:bottom w:val="single" w:sz="4" w:space="0" w:color="auto"/>
              <w:right w:val="single" w:sz="4" w:space="0" w:color="auto"/>
            </w:tcBorders>
            <w:shd w:val="clear" w:color="auto" w:fill="auto"/>
            <w:vAlign w:val="bottom"/>
          </w:tcPr>
          <w:p w14:paraId="34765C00" w14:textId="77777777" w:rsidR="007518E4" w:rsidRPr="00850394" w:rsidRDefault="007518E4" w:rsidP="007604FD">
            <w:pPr>
              <w:spacing w:before="0"/>
              <w:ind w:left="0"/>
              <w:rPr>
                <w:sz w:val="22"/>
                <w:szCs w:val="22"/>
              </w:rPr>
            </w:pPr>
            <w:r w:rsidRPr="00850394">
              <w:rPr>
                <w:sz w:val="22"/>
                <w:szCs w:val="22"/>
              </w:rPr>
              <w:t>Average period 201</w:t>
            </w:r>
            <w:r w:rsidR="00743BA7">
              <w:rPr>
                <w:sz w:val="22"/>
                <w:szCs w:val="22"/>
              </w:rPr>
              <w:t>4</w:t>
            </w:r>
            <w:r w:rsidRPr="00850394">
              <w:rPr>
                <w:sz w:val="22"/>
                <w:szCs w:val="22"/>
              </w:rPr>
              <w:t>-201</w:t>
            </w:r>
            <w:r w:rsidR="00743BA7">
              <w:rPr>
                <w:sz w:val="22"/>
                <w:szCs w:val="22"/>
              </w:rPr>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B43129" w14:textId="77777777" w:rsidR="007518E4" w:rsidRPr="00850394" w:rsidRDefault="007518E4" w:rsidP="007604FD">
            <w:pPr>
              <w:spacing w:before="0"/>
              <w:ind w:left="0"/>
              <w:jc w:val="center"/>
              <w:rPr>
                <w:sz w:val="22"/>
                <w:szCs w:val="22"/>
              </w:rPr>
            </w:pPr>
            <w:r w:rsidRPr="00850394">
              <w:rPr>
                <w:sz w:val="22"/>
                <w:szCs w:val="22"/>
              </w:rPr>
              <w:t>0.</w:t>
            </w:r>
            <w:r w:rsidR="00BD4F91">
              <w:rPr>
                <w:sz w:val="22"/>
                <w:szCs w:val="22"/>
              </w:rPr>
              <w:t>14</w:t>
            </w:r>
            <w:r w:rsidRPr="00850394">
              <w:rPr>
                <w:sz w:val="22"/>
                <w:szCs w:val="22"/>
              </w:rPr>
              <w:t>%</w:t>
            </w:r>
          </w:p>
        </w:tc>
      </w:tr>
    </w:tbl>
    <w:p w14:paraId="386DF3DC" w14:textId="77777777" w:rsidR="00E502FD"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color w:val="000000"/>
          <w:sz w:val="24"/>
          <w:lang w:eastAsia="en-IN"/>
        </w:rPr>
      </w:pPr>
      <w:r w:rsidRPr="00FA07D6">
        <w:rPr>
          <w:rFonts w:ascii="Times New Roman" w:hAnsi="Times New Roman"/>
          <w:b/>
          <w:color w:val="000000" w:themeColor="text1"/>
          <w:sz w:val="24"/>
          <w:lang w:eastAsia="en-IN"/>
        </w:rPr>
        <w:t>Actual expenditure charged to the c</w:t>
      </w:r>
      <w:r w:rsidR="00850394">
        <w:rPr>
          <w:rFonts w:ascii="Times New Roman" w:hAnsi="Times New Roman"/>
          <w:b/>
          <w:color w:val="000000" w:themeColor="text1"/>
          <w:sz w:val="24"/>
          <w:lang w:eastAsia="en-IN"/>
        </w:rPr>
        <w:t>ontingency vote was less than 1 percent</w:t>
      </w:r>
      <w:r w:rsidRPr="00FA07D6">
        <w:rPr>
          <w:rFonts w:ascii="Times New Roman" w:hAnsi="Times New Roman"/>
          <w:b/>
          <w:color w:val="000000" w:themeColor="text1"/>
          <w:sz w:val="24"/>
          <w:lang w:eastAsia="en-IN"/>
        </w:rPr>
        <w:t xml:space="preserve"> in each of the three year</w:t>
      </w:r>
      <w:r w:rsidR="00850394">
        <w:rPr>
          <w:rFonts w:ascii="Times New Roman" w:hAnsi="Times New Roman"/>
          <w:b/>
          <w:color w:val="000000" w:themeColor="text1"/>
          <w:sz w:val="24"/>
          <w:lang w:eastAsia="en-IN"/>
        </w:rPr>
        <w:t>s</w:t>
      </w:r>
      <w:r w:rsidRPr="00B54E49">
        <w:rPr>
          <w:rFonts w:ascii="Times New Roman" w:hAnsi="Times New Roman"/>
          <w:color w:val="000000" w:themeColor="text1"/>
          <w:sz w:val="24"/>
          <w:lang w:eastAsia="en-IN"/>
        </w:rPr>
        <w:t xml:space="preserve">: Score </w:t>
      </w:r>
      <w:r w:rsidRPr="00B54E49">
        <w:rPr>
          <w:rFonts w:ascii="Times New Roman" w:hAnsi="Times New Roman"/>
          <w:color w:val="000000"/>
          <w:sz w:val="24"/>
          <w:lang w:eastAsia="en-IN"/>
        </w:rPr>
        <w:t>A.</w:t>
      </w:r>
    </w:p>
    <w:p w14:paraId="6D3118D5" w14:textId="77777777" w:rsidR="007518E4" w:rsidRPr="00B54E49" w:rsidRDefault="00E502FD" w:rsidP="00E502FD">
      <w:pPr>
        <w:spacing w:after="240" w:line="276" w:lineRule="auto"/>
        <w:ind w:left="0"/>
        <w:jc w:val="left"/>
        <w:rPr>
          <w:rFonts w:ascii="Times New Roman" w:hAnsi="Times New Roman"/>
          <w:color w:val="404041"/>
          <w:sz w:val="24"/>
        </w:rPr>
      </w:pPr>
      <w:r w:rsidRPr="00E502FD">
        <w:rPr>
          <w:rFonts w:ascii="Times New Roman" w:hAnsi="Times New Roman"/>
          <w:color w:val="000000"/>
          <w:sz w:val="24"/>
          <w:lang w:eastAsia="en-IN"/>
        </w:rPr>
        <w:br w:type="page"/>
      </w:r>
    </w:p>
    <w:p w14:paraId="0F92A263" w14:textId="77777777" w:rsidR="007518E4" w:rsidRPr="00B54E49" w:rsidRDefault="007518E4" w:rsidP="00FA07D6">
      <w:pPr>
        <w:spacing w:before="0"/>
        <w:ind w:left="0"/>
        <w:rPr>
          <w:rFonts w:ascii="Times New Roman" w:eastAsia="Calibri" w:hAnsi="Times New Roman"/>
          <w:b/>
          <w:bCs/>
          <w:color w:val="559AB3"/>
          <w:sz w:val="28"/>
          <w:szCs w:val="28"/>
        </w:rPr>
      </w:pPr>
      <w:r w:rsidRPr="00B54E49">
        <w:rPr>
          <w:rFonts w:ascii="Times New Roman" w:eastAsia="Calibri" w:hAnsi="Times New Roman"/>
          <w:b/>
          <w:bCs/>
          <w:color w:val="559AB3"/>
          <w:sz w:val="28"/>
          <w:szCs w:val="28"/>
        </w:rPr>
        <w:lastRenderedPageBreak/>
        <w:t>PI-3. Revenue outturn</w:t>
      </w:r>
      <w:bookmarkEnd w:id="37"/>
    </w:p>
    <w:p w14:paraId="076C5EF3"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FA07D6">
        <w:rPr>
          <w:rFonts w:ascii="Times New Roman" w:hAnsi="Times New Roman"/>
          <w:b/>
          <w:sz w:val="24"/>
        </w:rPr>
        <w:t>This indicator measures the change in revenue between the original approved budget and end of year out-turn</w:t>
      </w:r>
      <w:r w:rsidR="00850394">
        <w:rPr>
          <w:rFonts w:ascii="Times New Roman" w:hAnsi="Times New Roman"/>
          <w:sz w:val="24"/>
        </w:rPr>
        <w:t xml:space="preserve">. </w:t>
      </w:r>
      <w:r w:rsidRPr="0026294A">
        <w:rPr>
          <w:rFonts w:ascii="Times New Roman" w:hAnsi="Times New Roman"/>
          <w:sz w:val="24"/>
        </w:rPr>
        <w:t xml:space="preserve">The assessment is based on the budget and actual revenue from fiscal years </w:t>
      </w:r>
      <w:r>
        <w:rPr>
          <w:rFonts w:ascii="Times New Roman" w:hAnsi="Times New Roman"/>
          <w:sz w:val="24"/>
        </w:rPr>
        <w:t>2014/15</w:t>
      </w:r>
      <w:r w:rsidR="00BD4F91">
        <w:rPr>
          <w:rFonts w:ascii="Times New Roman" w:hAnsi="Times New Roman"/>
          <w:sz w:val="24"/>
        </w:rPr>
        <w:t xml:space="preserve">, </w:t>
      </w:r>
      <w:r>
        <w:rPr>
          <w:rFonts w:ascii="Times New Roman" w:hAnsi="Times New Roman"/>
          <w:sz w:val="24"/>
        </w:rPr>
        <w:t>2015/16</w:t>
      </w:r>
      <w:r w:rsidR="00BD4F91">
        <w:rPr>
          <w:rFonts w:ascii="Times New Roman" w:hAnsi="Times New Roman"/>
          <w:sz w:val="24"/>
        </w:rPr>
        <w:t xml:space="preserve"> and 2017</w:t>
      </w:r>
      <w:r w:rsidRPr="0026294A">
        <w:rPr>
          <w:rFonts w:ascii="Times New Roman" w:hAnsi="Times New Roman"/>
          <w:sz w:val="24"/>
        </w:rPr>
        <w:t>. Coverage is Budgetary Central Government.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1356"/>
        <w:gridCol w:w="4932"/>
      </w:tblGrid>
      <w:tr w:rsidR="007518E4" w:rsidRPr="00930334" w14:paraId="7CC17ACF" w14:textId="77777777" w:rsidTr="007518E4">
        <w:trPr>
          <w:trHeight w:val="505"/>
        </w:trPr>
        <w:tc>
          <w:tcPr>
            <w:tcW w:w="1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833F7B" w14:textId="77777777" w:rsidR="007518E4" w:rsidRPr="00022668" w:rsidRDefault="007518E4" w:rsidP="007518E4">
            <w:pPr>
              <w:jc w:val="center"/>
              <w:rPr>
                <w:rFonts w:ascii="Times New Roman" w:hAnsi="Times New Roman"/>
              </w:rPr>
            </w:pPr>
            <w:r w:rsidRPr="00022668">
              <w:rPr>
                <w:rFonts w:ascii="Times New Roman" w:hAnsi="Times New Roman"/>
              </w:rPr>
              <w:t>Indicator/Dimension</w:t>
            </w:r>
          </w:p>
        </w:tc>
        <w:tc>
          <w:tcPr>
            <w:tcW w:w="7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273C28" w14:textId="77777777" w:rsidR="007518E4" w:rsidRPr="00022668" w:rsidRDefault="007518E4" w:rsidP="00FA07D6">
            <w:pPr>
              <w:spacing w:before="0"/>
              <w:ind w:left="0"/>
              <w:jc w:val="center"/>
              <w:rPr>
                <w:rFonts w:ascii="Times New Roman" w:hAnsi="Times New Roman"/>
              </w:rPr>
            </w:pPr>
            <w:r w:rsidRPr="00022668">
              <w:rPr>
                <w:rFonts w:ascii="Times New Roman" w:hAnsi="Times New Roman"/>
              </w:rPr>
              <w:t>Score</w:t>
            </w:r>
          </w:p>
        </w:tc>
        <w:tc>
          <w:tcPr>
            <w:tcW w:w="2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3BA8A5" w14:textId="77777777" w:rsidR="007518E4" w:rsidRPr="00022668" w:rsidRDefault="007518E4" w:rsidP="007518E4">
            <w:pPr>
              <w:jc w:val="center"/>
              <w:rPr>
                <w:rFonts w:ascii="Times New Roman" w:hAnsi="Times New Roman"/>
              </w:rPr>
            </w:pPr>
            <w:r w:rsidRPr="00022668">
              <w:rPr>
                <w:rFonts w:ascii="Times New Roman" w:hAnsi="Times New Roman"/>
              </w:rPr>
              <w:t>Brief Explanation</w:t>
            </w:r>
          </w:p>
        </w:tc>
      </w:tr>
      <w:tr w:rsidR="007518E4" w:rsidRPr="00930334" w14:paraId="752C9E66" w14:textId="77777777" w:rsidTr="007518E4">
        <w:trPr>
          <w:trHeight w:val="600"/>
        </w:trPr>
        <w:tc>
          <w:tcPr>
            <w:tcW w:w="1513" w:type="pct"/>
            <w:tcBorders>
              <w:top w:val="single" w:sz="4" w:space="0" w:color="auto"/>
              <w:left w:val="single" w:sz="4" w:space="0" w:color="auto"/>
              <w:bottom w:val="single" w:sz="4" w:space="0" w:color="auto"/>
              <w:right w:val="single" w:sz="4" w:space="0" w:color="auto"/>
            </w:tcBorders>
            <w:vAlign w:val="center"/>
            <w:hideMark/>
          </w:tcPr>
          <w:p w14:paraId="2591523C" w14:textId="77777777" w:rsidR="007518E4" w:rsidRPr="00002B69" w:rsidRDefault="007518E4" w:rsidP="00FA07D6">
            <w:pPr>
              <w:spacing w:before="0"/>
              <w:ind w:left="0"/>
              <w:jc w:val="left"/>
              <w:rPr>
                <w:rFonts w:ascii="Times New Roman" w:hAnsi="Times New Roman"/>
              </w:rPr>
            </w:pPr>
            <w:r w:rsidRPr="00002B69">
              <w:rPr>
                <w:rFonts w:ascii="Times New Roman" w:hAnsi="Times New Roman"/>
              </w:rPr>
              <w:t xml:space="preserve">PI-3 Revenue outturn </w:t>
            </w:r>
          </w:p>
        </w:tc>
        <w:tc>
          <w:tcPr>
            <w:tcW w:w="752" w:type="pct"/>
            <w:tcBorders>
              <w:top w:val="single" w:sz="4" w:space="0" w:color="auto"/>
              <w:left w:val="single" w:sz="4" w:space="0" w:color="auto"/>
              <w:bottom w:val="single" w:sz="4" w:space="0" w:color="auto"/>
              <w:right w:val="single" w:sz="4" w:space="0" w:color="auto"/>
            </w:tcBorders>
            <w:vAlign w:val="center"/>
          </w:tcPr>
          <w:p w14:paraId="530C852A" w14:textId="77777777" w:rsidR="007518E4" w:rsidRPr="00002B69" w:rsidRDefault="007518E4" w:rsidP="00FA07D6">
            <w:pPr>
              <w:spacing w:before="0"/>
              <w:ind w:left="0"/>
              <w:jc w:val="center"/>
              <w:rPr>
                <w:rFonts w:ascii="Times New Roman" w:hAnsi="Times New Roman"/>
              </w:rPr>
            </w:pPr>
            <w:r w:rsidRPr="00002B69">
              <w:rPr>
                <w:rFonts w:ascii="Times New Roman" w:hAnsi="Times New Roman"/>
              </w:rPr>
              <w:t>C</w:t>
            </w:r>
          </w:p>
        </w:tc>
        <w:tc>
          <w:tcPr>
            <w:tcW w:w="2735" w:type="pct"/>
            <w:tcBorders>
              <w:top w:val="single" w:sz="4" w:space="0" w:color="auto"/>
              <w:left w:val="single" w:sz="4" w:space="0" w:color="auto"/>
              <w:bottom w:val="single" w:sz="4" w:space="0" w:color="auto"/>
              <w:right w:val="single" w:sz="4" w:space="0" w:color="auto"/>
            </w:tcBorders>
            <w:vAlign w:val="center"/>
            <w:hideMark/>
          </w:tcPr>
          <w:p w14:paraId="225D6D08" w14:textId="77777777" w:rsidR="007518E4" w:rsidRPr="00002B69" w:rsidRDefault="007518E4" w:rsidP="00FA07D6">
            <w:pPr>
              <w:spacing w:before="0"/>
              <w:ind w:left="0"/>
              <w:jc w:val="left"/>
              <w:rPr>
                <w:rFonts w:ascii="Times New Roman" w:hAnsi="Times New Roman"/>
              </w:rPr>
            </w:pPr>
            <w:r w:rsidRPr="00002B69">
              <w:rPr>
                <w:rFonts w:ascii="Times New Roman" w:hAnsi="Times New Roman"/>
              </w:rPr>
              <w:t>Dimension scores combined by Method M2 (average)</w:t>
            </w:r>
          </w:p>
        </w:tc>
      </w:tr>
      <w:tr w:rsidR="007518E4" w:rsidRPr="00930334" w14:paraId="3645069F" w14:textId="77777777" w:rsidTr="007518E4">
        <w:trPr>
          <w:trHeight w:val="800"/>
        </w:trPr>
        <w:tc>
          <w:tcPr>
            <w:tcW w:w="1513" w:type="pct"/>
            <w:tcBorders>
              <w:top w:val="single" w:sz="4" w:space="0" w:color="auto"/>
              <w:left w:val="single" w:sz="4" w:space="0" w:color="auto"/>
              <w:bottom w:val="single" w:sz="4" w:space="0" w:color="auto"/>
              <w:right w:val="single" w:sz="4" w:space="0" w:color="auto"/>
            </w:tcBorders>
            <w:vAlign w:val="center"/>
            <w:hideMark/>
          </w:tcPr>
          <w:p w14:paraId="4BC5AEBB" w14:textId="77777777" w:rsidR="007518E4" w:rsidRPr="00002B69" w:rsidRDefault="007518E4" w:rsidP="00FA07D6">
            <w:pPr>
              <w:spacing w:before="0"/>
              <w:ind w:left="0"/>
              <w:jc w:val="left"/>
              <w:rPr>
                <w:rFonts w:ascii="Times New Roman" w:hAnsi="Times New Roman"/>
              </w:rPr>
            </w:pPr>
            <w:r w:rsidRPr="00002B69">
              <w:rPr>
                <w:rFonts w:ascii="Times New Roman" w:hAnsi="Times New Roman"/>
              </w:rPr>
              <w:t xml:space="preserve">3.1 </w:t>
            </w:r>
            <w:r w:rsidRPr="00002B69">
              <w:rPr>
                <w:rFonts w:ascii="Times New Roman" w:hAnsi="Times New Roman"/>
                <w:color w:val="000000"/>
              </w:rPr>
              <w:t>Aggregate revenue outturn</w:t>
            </w:r>
          </w:p>
        </w:tc>
        <w:tc>
          <w:tcPr>
            <w:tcW w:w="752" w:type="pct"/>
            <w:tcBorders>
              <w:top w:val="single" w:sz="4" w:space="0" w:color="auto"/>
              <w:left w:val="single" w:sz="4" w:space="0" w:color="auto"/>
              <w:bottom w:val="single" w:sz="4" w:space="0" w:color="auto"/>
              <w:right w:val="single" w:sz="4" w:space="0" w:color="auto"/>
            </w:tcBorders>
            <w:vAlign w:val="center"/>
          </w:tcPr>
          <w:p w14:paraId="79CD298D" w14:textId="77777777" w:rsidR="007518E4" w:rsidRPr="00002B69" w:rsidRDefault="007518E4" w:rsidP="00FA07D6">
            <w:pPr>
              <w:spacing w:before="0"/>
              <w:ind w:left="0"/>
              <w:jc w:val="center"/>
              <w:rPr>
                <w:rFonts w:ascii="Times New Roman" w:hAnsi="Times New Roman"/>
              </w:rPr>
            </w:pPr>
            <w:r w:rsidRPr="00002B69">
              <w:rPr>
                <w:rFonts w:ascii="Times New Roman" w:hAnsi="Times New Roman"/>
              </w:rPr>
              <w:t>B</w:t>
            </w:r>
          </w:p>
        </w:tc>
        <w:tc>
          <w:tcPr>
            <w:tcW w:w="2735" w:type="pct"/>
            <w:tcBorders>
              <w:top w:val="single" w:sz="4" w:space="0" w:color="auto"/>
              <w:left w:val="single" w:sz="4" w:space="0" w:color="auto"/>
              <w:bottom w:val="single" w:sz="4" w:space="0" w:color="auto"/>
              <w:right w:val="single" w:sz="4" w:space="0" w:color="auto"/>
            </w:tcBorders>
            <w:vAlign w:val="center"/>
          </w:tcPr>
          <w:p w14:paraId="4EBFFC75" w14:textId="6B8E2ADC" w:rsidR="007518E4" w:rsidRPr="00002B69" w:rsidRDefault="007518E4" w:rsidP="00FA07D6">
            <w:pPr>
              <w:spacing w:before="0"/>
              <w:ind w:left="0"/>
              <w:jc w:val="left"/>
              <w:rPr>
                <w:rFonts w:ascii="Times New Roman" w:hAnsi="Times New Roman"/>
              </w:rPr>
            </w:pPr>
            <w:r w:rsidRPr="00002B69">
              <w:rPr>
                <w:rFonts w:ascii="Times New Roman" w:hAnsi="Times New Roman"/>
              </w:rPr>
              <w:t>At 96.9%</w:t>
            </w:r>
            <w:r w:rsidR="00AD7A86">
              <w:rPr>
                <w:rFonts w:ascii="Times New Roman" w:hAnsi="Times New Roman"/>
              </w:rPr>
              <w:t xml:space="preserve">, </w:t>
            </w:r>
            <w:r w:rsidRPr="00002B69">
              <w:rPr>
                <w:rFonts w:ascii="Times New Roman" w:hAnsi="Times New Roman"/>
              </w:rPr>
              <w:t xml:space="preserve">86.2% </w:t>
            </w:r>
            <w:r w:rsidR="00AD7A86">
              <w:rPr>
                <w:rFonts w:ascii="Times New Roman" w:hAnsi="Times New Roman"/>
              </w:rPr>
              <w:t>and 96.</w:t>
            </w:r>
            <w:r w:rsidR="006F276C">
              <w:rPr>
                <w:rFonts w:ascii="Times New Roman" w:hAnsi="Times New Roman"/>
              </w:rPr>
              <w:t>3</w:t>
            </w:r>
            <w:r w:rsidR="00AD7A86">
              <w:rPr>
                <w:rFonts w:ascii="Times New Roman" w:hAnsi="Times New Roman"/>
              </w:rPr>
              <w:t xml:space="preserve">% </w:t>
            </w:r>
            <w:r w:rsidRPr="00002B69">
              <w:rPr>
                <w:rFonts w:ascii="Times New Roman" w:hAnsi="Times New Roman"/>
              </w:rPr>
              <w:t>respectively, aggregate revenue outturn was between 94% and 112% of the originally approved revenue budget in two of the last three completed fiscal years</w:t>
            </w:r>
          </w:p>
        </w:tc>
      </w:tr>
      <w:tr w:rsidR="007518E4" w:rsidRPr="00930334" w14:paraId="4510E019" w14:textId="77777777" w:rsidTr="007518E4">
        <w:trPr>
          <w:trHeight w:val="611"/>
        </w:trPr>
        <w:tc>
          <w:tcPr>
            <w:tcW w:w="1513" w:type="pct"/>
            <w:tcBorders>
              <w:top w:val="single" w:sz="4" w:space="0" w:color="auto"/>
              <w:left w:val="single" w:sz="4" w:space="0" w:color="auto"/>
              <w:bottom w:val="single" w:sz="4" w:space="0" w:color="auto"/>
              <w:right w:val="single" w:sz="4" w:space="0" w:color="auto"/>
            </w:tcBorders>
            <w:vAlign w:val="center"/>
            <w:hideMark/>
          </w:tcPr>
          <w:p w14:paraId="111BCDBE" w14:textId="77777777" w:rsidR="007518E4" w:rsidRPr="00002B69" w:rsidRDefault="007518E4" w:rsidP="00FA07D6">
            <w:pPr>
              <w:spacing w:before="0"/>
              <w:ind w:left="0"/>
              <w:jc w:val="left"/>
              <w:rPr>
                <w:rFonts w:ascii="Times New Roman" w:hAnsi="Times New Roman"/>
              </w:rPr>
            </w:pPr>
            <w:r w:rsidRPr="00002B69">
              <w:rPr>
                <w:rFonts w:ascii="Times New Roman" w:hAnsi="Times New Roman"/>
              </w:rPr>
              <w:t>3.2 Revenue composition outturn</w:t>
            </w:r>
            <w:r w:rsidRPr="00002B69">
              <w:rPr>
                <w:rFonts w:ascii="Times New Roman" w:hAnsi="Times New Roman"/>
                <w:color w:val="000000"/>
              </w:rPr>
              <w:t xml:space="preserve"> </w:t>
            </w:r>
          </w:p>
        </w:tc>
        <w:tc>
          <w:tcPr>
            <w:tcW w:w="752" w:type="pct"/>
            <w:tcBorders>
              <w:top w:val="single" w:sz="4" w:space="0" w:color="auto"/>
              <w:left w:val="single" w:sz="4" w:space="0" w:color="auto"/>
              <w:bottom w:val="single" w:sz="4" w:space="0" w:color="auto"/>
              <w:right w:val="single" w:sz="4" w:space="0" w:color="auto"/>
            </w:tcBorders>
            <w:vAlign w:val="center"/>
          </w:tcPr>
          <w:p w14:paraId="72B0AC8A" w14:textId="77777777" w:rsidR="007518E4" w:rsidRPr="00002B69" w:rsidRDefault="007518E4" w:rsidP="00FA07D6">
            <w:pPr>
              <w:spacing w:before="0"/>
              <w:ind w:left="0"/>
              <w:jc w:val="center"/>
              <w:rPr>
                <w:rFonts w:ascii="Times New Roman" w:hAnsi="Times New Roman"/>
              </w:rPr>
            </w:pPr>
            <w:r w:rsidRPr="00002B69">
              <w:rPr>
                <w:rFonts w:ascii="Times New Roman" w:hAnsi="Times New Roman"/>
              </w:rPr>
              <w:t>D</w:t>
            </w:r>
          </w:p>
        </w:tc>
        <w:tc>
          <w:tcPr>
            <w:tcW w:w="2735" w:type="pct"/>
            <w:tcBorders>
              <w:top w:val="single" w:sz="4" w:space="0" w:color="auto"/>
              <w:left w:val="single" w:sz="4" w:space="0" w:color="auto"/>
              <w:bottom w:val="single" w:sz="4" w:space="0" w:color="auto"/>
              <w:right w:val="single" w:sz="4" w:space="0" w:color="auto"/>
            </w:tcBorders>
            <w:vAlign w:val="center"/>
          </w:tcPr>
          <w:p w14:paraId="7ED82503" w14:textId="77777777" w:rsidR="007518E4" w:rsidRPr="00AD7A86" w:rsidRDefault="007518E4" w:rsidP="00FA07D6">
            <w:pPr>
              <w:spacing w:before="0"/>
              <w:ind w:left="0"/>
              <w:jc w:val="left"/>
              <w:rPr>
                <w:rFonts w:ascii="Times New Roman" w:hAnsi="Times New Roman"/>
              </w:rPr>
            </w:pPr>
            <w:r w:rsidRPr="00022668">
              <w:rPr>
                <w:rFonts w:ascii="Times New Roman" w:hAnsi="Times New Roman"/>
              </w:rPr>
              <w:t>At 20.7%</w:t>
            </w:r>
            <w:r w:rsidR="00AD7A86">
              <w:rPr>
                <w:rFonts w:ascii="Times New Roman" w:hAnsi="Times New Roman"/>
              </w:rPr>
              <w:t xml:space="preserve">, </w:t>
            </w:r>
            <w:r w:rsidRPr="00022668">
              <w:rPr>
                <w:rFonts w:ascii="Times New Roman" w:hAnsi="Times New Roman"/>
              </w:rPr>
              <w:t xml:space="preserve">26.3% </w:t>
            </w:r>
            <w:r w:rsidR="00AD7A86">
              <w:rPr>
                <w:rFonts w:ascii="Times New Roman" w:hAnsi="Times New Roman"/>
              </w:rPr>
              <w:t xml:space="preserve">and % </w:t>
            </w:r>
            <w:r w:rsidRPr="00022668">
              <w:rPr>
                <w:rFonts w:ascii="Times New Roman" w:hAnsi="Times New Roman"/>
              </w:rPr>
              <w:t xml:space="preserve">in2014/2015, 2015/2016 </w:t>
            </w:r>
            <w:r w:rsidR="00AD7A86">
              <w:rPr>
                <w:rFonts w:ascii="Times New Roman" w:hAnsi="Times New Roman"/>
              </w:rPr>
              <w:t xml:space="preserve">and </w:t>
            </w:r>
            <w:r w:rsidR="00105066">
              <w:rPr>
                <w:rFonts w:ascii="Times New Roman" w:hAnsi="Times New Roman"/>
              </w:rPr>
              <w:t>19.6</w:t>
            </w:r>
            <w:r w:rsidR="00C64120">
              <w:rPr>
                <w:rFonts w:ascii="Times New Roman" w:hAnsi="Times New Roman"/>
              </w:rPr>
              <w:t xml:space="preserve">% </w:t>
            </w:r>
            <w:r w:rsidR="00AD7A86">
              <w:rPr>
                <w:rFonts w:ascii="Times New Roman" w:hAnsi="Times New Roman"/>
              </w:rPr>
              <w:t xml:space="preserve">2017 </w:t>
            </w:r>
            <w:r w:rsidRPr="00022668">
              <w:rPr>
                <w:rFonts w:ascii="Times New Roman" w:hAnsi="Times New Roman"/>
              </w:rPr>
              <w:t>respectively, revenue composition variance was above 15% in the last three completed fiscal years</w:t>
            </w:r>
            <w:r>
              <w:rPr>
                <w:rFonts w:ascii="Times New Roman" w:hAnsi="Times New Roman"/>
              </w:rPr>
              <w:t>.</w:t>
            </w:r>
          </w:p>
        </w:tc>
      </w:tr>
    </w:tbl>
    <w:p w14:paraId="3371EA3C" w14:textId="77777777" w:rsidR="007518E4" w:rsidRPr="008D65E9" w:rsidRDefault="007518E4" w:rsidP="007518E4">
      <w:pPr>
        <w:pStyle w:val="ParagraphNumbering"/>
        <w:numPr>
          <w:ilvl w:val="0"/>
          <w:numId w:val="0"/>
        </w:numPr>
        <w:spacing w:after="0"/>
        <w:rPr>
          <w:rFonts w:ascii="Times New Roman" w:hAnsi="Times New Roman"/>
          <w:b/>
          <w:color w:val="559AB3"/>
          <w:spacing w:val="-1"/>
          <w:sz w:val="24"/>
        </w:rPr>
      </w:pPr>
      <w:r w:rsidRPr="008D65E9">
        <w:rPr>
          <w:rFonts w:ascii="Times New Roman" w:hAnsi="Times New Roman"/>
          <w:b/>
          <w:color w:val="559AB3"/>
          <w:spacing w:val="-1"/>
          <w:sz w:val="24"/>
        </w:rPr>
        <w:t xml:space="preserve">3.1 Revenue </w:t>
      </w:r>
      <w:r>
        <w:rPr>
          <w:rFonts w:ascii="Times New Roman" w:hAnsi="Times New Roman"/>
          <w:b/>
          <w:color w:val="559AB3"/>
          <w:spacing w:val="-1"/>
          <w:sz w:val="24"/>
        </w:rPr>
        <w:t>outt</w:t>
      </w:r>
      <w:r w:rsidRPr="008D65E9">
        <w:rPr>
          <w:rFonts w:ascii="Times New Roman" w:hAnsi="Times New Roman"/>
          <w:b/>
          <w:color w:val="559AB3"/>
          <w:spacing w:val="-1"/>
          <w:sz w:val="24"/>
        </w:rPr>
        <w:t>urn</w:t>
      </w:r>
    </w:p>
    <w:p w14:paraId="3433E0C1" w14:textId="77777777" w:rsidR="007518E4" w:rsidRPr="002A7865"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FA07D6">
        <w:rPr>
          <w:rFonts w:ascii="Times New Roman" w:hAnsi="Times New Roman"/>
          <w:b/>
          <w:sz w:val="24"/>
        </w:rPr>
        <w:t>Revenue outturns during the fiscal years 2013/14 and 2014/15 have been relatively close to the original budget estimates as shown in Table 3-3.1.</w:t>
      </w:r>
      <w:r w:rsidRPr="002A7865">
        <w:rPr>
          <w:rFonts w:ascii="Times New Roman" w:hAnsi="Times New Roman"/>
          <w:sz w:val="24"/>
        </w:rPr>
        <w:t xml:space="preserve"> However, in 2015/16 actual revenue deviated from budgeted</w:t>
      </w:r>
      <w:r w:rsidR="00850394">
        <w:rPr>
          <w:rFonts w:ascii="Times New Roman" w:hAnsi="Times New Roman"/>
          <w:sz w:val="24"/>
        </w:rPr>
        <w:t xml:space="preserve"> revenue significantly by 13.8 percent.</w:t>
      </w:r>
      <w:r>
        <w:rPr>
          <w:rFonts w:ascii="Times New Roman" w:hAnsi="Times New Roman"/>
          <w:sz w:val="24"/>
        </w:rPr>
        <w:t xml:space="preserve"> </w:t>
      </w:r>
      <w:r w:rsidRPr="002A7865">
        <w:rPr>
          <w:rFonts w:ascii="Times New Roman" w:hAnsi="Times New Roman"/>
          <w:sz w:val="24"/>
        </w:rPr>
        <w:t xml:space="preserve">This performance </w:t>
      </w:r>
      <w:r w:rsidR="00850394">
        <w:rPr>
          <w:rFonts w:ascii="Times New Roman" w:hAnsi="Times New Roman"/>
          <w:sz w:val="24"/>
        </w:rPr>
        <w:t>related</w:t>
      </w:r>
      <w:r>
        <w:rPr>
          <w:rFonts w:ascii="Times New Roman" w:hAnsi="Times New Roman"/>
          <w:sz w:val="24"/>
        </w:rPr>
        <w:t xml:space="preserve"> to </w:t>
      </w:r>
      <w:r w:rsidRPr="002A7865">
        <w:rPr>
          <w:rFonts w:ascii="Times New Roman" w:hAnsi="Times New Roman"/>
          <w:sz w:val="24"/>
        </w:rPr>
        <w:t xml:space="preserve">external factors, such as global market </w:t>
      </w:r>
      <w:r>
        <w:rPr>
          <w:rFonts w:ascii="Times New Roman" w:hAnsi="Times New Roman"/>
          <w:sz w:val="24"/>
        </w:rPr>
        <w:t xml:space="preserve">fluctuations </w:t>
      </w:r>
      <w:r w:rsidRPr="002A7865">
        <w:rPr>
          <w:rFonts w:ascii="Times New Roman" w:hAnsi="Times New Roman"/>
          <w:sz w:val="24"/>
        </w:rPr>
        <w:t xml:space="preserve">and </w:t>
      </w:r>
      <w:r>
        <w:rPr>
          <w:rFonts w:ascii="Times New Roman" w:hAnsi="Times New Roman"/>
          <w:sz w:val="24"/>
        </w:rPr>
        <w:t>the subsequent volatility in</w:t>
      </w:r>
      <w:r w:rsidRPr="002A7865">
        <w:rPr>
          <w:rFonts w:ascii="Times New Roman" w:hAnsi="Times New Roman"/>
          <w:sz w:val="24"/>
        </w:rPr>
        <w:t xml:space="preserve"> commodity prices such as gold, crude oil and agricultural products </w:t>
      </w:r>
      <w:r>
        <w:rPr>
          <w:rFonts w:ascii="Times New Roman" w:hAnsi="Times New Roman"/>
          <w:sz w:val="24"/>
        </w:rPr>
        <w:t>(coffee, rubber, etc.) which have</w:t>
      </w:r>
      <w:r w:rsidRPr="002A7865">
        <w:rPr>
          <w:rFonts w:ascii="Times New Roman" w:hAnsi="Times New Roman"/>
          <w:sz w:val="24"/>
        </w:rPr>
        <w:t xml:space="preserve"> a strong impact on production and exports.</w:t>
      </w:r>
      <w:r>
        <w:rPr>
          <w:rFonts w:ascii="Times New Roman" w:hAnsi="Times New Roman"/>
          <w:sz w:val="24"/>
        </w:rPr>
        <w:t xml:space="preserve"> </w:t>
      </w:r>
      <w:r w:rsidRPr="002A7865">
        <w:rPr>
          <w:rFonts w:ascii="Times New Roman" w:hAnsi="Times New Roman"/>
          <w:sz w:val="24"/>
        </w:rPr>
        <w:t xml:space="preserve">Moreover, </w:t>
      </w:r>
      <w:r>
        <w:rPr>
          <w:rFonts w:ascii="Times New Roman" w:hAnsi="Times New Roman"/>
          <w:sz w:val="24"/>
        </w:rPr>
        <w:t xml:space="preserve">a slowdown of </w:t>
      </w:r>
      <w:r w:rsidR="00850394">
        <w:rPr>
          <w:rFonts w:ascii="Times New Roman" w:hAnsi="Times New Roman"/>
          <w:sz w:val="24"/>
        </w:rPr>
        <w:t>GDP growth from 7.5 percent</w:t>
      </w:r>
      <w:r w:rsidRPr="002A7865">
        <w:rPr>
          <w:rFonts w:ascii="Times New Roman" w:hAnsi="Times New Roman"/>
          <w:sz w:val="24"/>
        </w:rPr>
        <w:t xml:space="preserve"> in</w:t>
      </w:r>
      <w:r>
        <w:rPr>
          <w:rFonts w:ascii="Times New Roman" w:hAnsi="Times New Roman"/>
          <w:sz w:val="24"/>
        </w:rPr>
        <w:t xml:space="preserve"> 2014/2015 to 6.9</w:t>
      </w:r>
      <w:r w:rsidR="00850394">
        <w:rPr>
          <w:rFonts w:ascii="Times New Roman" w:hAnsi="Times New Roman"/>
          <w:sz w:val="24"/>
        </w:rPr>
        <w:t xml:space="preserve"> percent</w:t>
      </w:r>
      <w:r>
        <w:rPr>
          <w:rFonts w:ascii="Times New Roman" w:hAnsi="Times New Roman"/>
          <w:sz w:val="24"/>
        </w:rPr>
        <w:t xml:space="preserve"> in 2015/2016 from </w:t>
      </w:r>
      <w:r w:rsidRPr="002A7865">
        <w:rPr>
          <w:rFonts w:ascii="Times New Roman" w:hAnsi="Times New Roman"/>
          <w:sz w:val="24"/>
        </w:rPr>
        <w:t>mining, vehicle, constru</w:t>
      </w:r>
      <w:r>
        <w:rPr>
          <w:rFonts w:ascii="Times New Roman" w:hAnsi="Times New Roman"/>
          <w:sz w:val="24"/>
        </w:rPr>
        <w:t>ction, fuel and others generated a</w:t>
      </w:r>
      <w:r w:rsidRPr="002A7865">
        <w:rPr>
          <w:rFonts w:ascii="Times New Roman" w:hAnsi="Times New Roman"/>
          <w:sz w:val="24"/>
        </w:rPr>
        <w:t xml:space="preserve"> decline </w:t>
      </w:r>
      <w:r>
        <w:rPr>
          <w:rFonts w:ascii="Times New Roman" w:hAnsi="Times New Roman"/>
          <w:sz w:val="24"/>
        </w:rPr>
        <w:t xml:space="preserve">in </w:t>
      </w:r>
      <w:r w:rsidRPr="002A7865">
        <w:rPr>
          <w:rFonts w:ascii="Times New Roman" w:hAnsi="Times New Roman"/>
          <w:sz w:val="24"/>
        </w:rPr>
        <w:t>revenue collection</w:t>
      </w:r>
      <w:r>
        <w:rPr>
          <w:rFonts w:ascii="Times New Roman" w:hAnsi="Times New Roman"/>
          <w:sz w:val="24"/>
        </w:rPr>
        <w:t>.</w:t>
      </w:r>
      <w:r w:rsidRPr="002A7865">
        <w:rPr>
          <w:rFonts w:ascii="Times New Roman" w:hAnsi="Times New Roman"/>
          <w:sz w:val="24"/>
        </w:rPr>
        <w:t xml:space="preserve"> </w:t>
      </w:r>
    </w:p>
    <w:p w14:paraId="4542279A" w14:textId="77777777" w:rsidR="007518E4" w:rsidRPr="00FA07D6" w:rsidRDefault="007518E4" w:rsidP="00850394">
      <w:pPr>
        <w:spacing w:before="0"/>
        <w:ind w:left="1440" w:hanging="1440"/>
        <w:jc w:val="center"/>
        <w:rPr>
          <w:rFonts w:ascii="Times New Roman" w:hAnsi="Times New Roman"/>
          <w:b/>
          <w:color w:val="000000" w:themeColor="text1"/>
        </w:rPr>
      </w:pPr>
      <w:bookmarkStart w:id="38" w:name="_Toc473816596"/>
      <w:r w:rsidRPr="00FA07D6">
        <w:rPr>
          <w:rFonts w:ascii="Times New Roman" w:hAnsi="Times New Roman"/>
          <w:b/>
          <w:color w:val="000000" w:themeColor="text1"/>
        </w:rPr>
        <w:t xml:space="preserve">Table 3-3.1: Total Revenue Outturn </w:t>
      </w:r>
      <w:bookmarkEnd w:id="38"/>
      <w:r w:rsidRPr="00FA07D6">
        <w:rPr>
          <w:rFonts w:ascii="Times New Roman" w:hAnsi="Times New Roman"/>
          <w:b/>
          <w:color w:val="000000" w:themeColor="text1"/>
        </w:rPr>
        <w:t>(million Kip)</w:t>
      </w:r>
    </w:p>
    <w:tbl>
      <w:tblPr>
        <w:tblW w:w="7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983"/>
        <w:gridCol w:w="1821"/>
        <w:gridCol w:w="1812"/>
      </w:tblGrid>
      <w:tr w:rsidR="007518E4" w:rsidRPr="000A773E" w14:paraId="081A07D7" w14:textId="77777777" w:rsidTr="00AD7A86">
        <w:trPr>
          <w:trHeight w:val="431"/>
          <w:jc w:val="center"/>
        </w:trPr>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61078" w14:textId="77777777" w:rsidR="007518E4" w:rsidRPr="000A773E" w:rsidRDefault="007518E4" w:rsidP="007518E4">
            <w:pPr>
              <w:spacing w:before="0"/>
              <w:rPr>
                <w:rFonts w:ascii="Times New Roman" w:hAnsi="Times New Roman"/>
                <w:sz w:val="20"/>
                <w:szCs w:val="20"/>
              </w:rPr>
            </w:pPr>
            <w:r w:rsidRPr="000A773E">
              <w:rPr>
                <w:rFonts w:ascii="Times New Roman" w:hAnsi="Times New Roman"/>
                <w:sz w:val="20"/>
                <w:szCs w:val="20"/>
              </w:rPr>
              <w:t>Fiscal Year</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2970D" w14:textId="77777777" w:rsidR="007518E4" w:rsidRPr="000A773E" w:rsidRDefault="007518E4" w:rsidP="00850394">
            <w:pPr>
              <w:spacing w:before="0"/>
              <w:ind w:left="90"/>
              <w:jc w:val="center"/>
              <w:rPr>
                <w:rFonts w:ascii="Times New Roman" w:hAnsi="Times New Roman"/>
                <w:sz w:val="20"/>
                <w:szCs w:val="20"/>
              </w:rPr>
            </w:pPr>
            <w:r w:rsidRPr="000A773E">
              <w:rPr>
                <w:rFonts w:ascii="Times New Roman" w:hAnsi="Times New Roman"/>
                <w:sz w:val="20"/>
                <w:szCs w:val="20"/>
              </w:rPr>
              <w:t>Original Approved Budget</w:t>
            </w:r>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97DD3" w14:textId="77777777" w:rsidR="007518E4" w:rsidRPr="000A773E" w:rsidRDefault="007518E4" w:rsidP="00850394">
            <w:pPr>
              <w:spacing w:before="0"/>
              <w:ind w:left="90"/>
              <w:jc w:val="center"/>
              <w:rPr>
                <w:rFonts w:ascii="Times New Roman" w:hAnsi="Times New Roman"/>
                <w:sz w:val="20"/>
                <w:szCs w:val="20"/>
              </w:rPr>
            </w:pPr>
            <w:r w:rsidRPr="000A773E">
              <w:rPr>
                <w:rFonts w:ascii="Times New Roman" w:hAnsi="Times New Roman"/>
                <w:sz w:val="20"/>
                <w:szCs w:val="20"/>
              </w:rPr>
              <w:t>Actual Aggregate Revenue</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CF904" w14:textId="77777777" w:rsidR="007518E4" w:rsidRPr="000A773E" w:rsidRDefault="007518E4" w:rsidP="00850394">
            <w:pPr>
              <w:spacing w:before="0"/>
              <w:ind w:left="90"/>
              <w:jc w:val="center"/>
              <w:rPr>
                <w:rFonts w:ascii="Times New Roman" w:hAnsi="Times New Roman"/>
                <w:sz w:val="20"/>
                <w:szCs w:val="20"/>
              </w:rPr>
            </w:pPr>
            <w:r w:rsidRPr="000A773E">
              <w:rPr>
                <w:rFonts w:ascii="Times New Roman" w:hAnsi="Times New Roman"/>
                <w:sz w:val="20"/>
                <w:szCs w:val="20"/>
              </w:rPr>
              <w:t>Total Revenue Outturn %</w:t>
            </w:r>
          </w:p>
        </w:tc>
      </w:tr>
      <w:tr w:rsidR="007518E4" w:rsidRPr="000A773E" w14:paraId="6217FDEB" w14:textId="77777777" w:rsidTr="00AD7A86">
        <w:trPr>
          <w:jc w:val="center"/>
        </w:trPr>
        <w:tc>
          <w:tcPr>
            <w:tcW w:w="1411" w:type="dxa"/>
            <w:tcBorders>
              <w:top w:val="single" w:sz="4" w:space="0" w:color="auto"/>
              <w:left w:val="single" w:sz="4" w:space="0" w:color="auto"/>
              <w:bottom w:val="single" w:sz="4" w:space="0" w:color="auto"/>
              <w:right w:val="single" w:sz="4" w:space="0" w:color="auto"/>
            </w:tcBorders>
          </w:tcPr>
          <w:p w14:paraId="69AB8078" w14:textId="77777777" w:rsidR="007518E4" w:rsidRPr="000A773E" w:rsidRDefault="007518E4" w:rsidP="007518E4">
            <w:pPr>
              <w:spacing w:before="0"/>
              <w:rPr>
                <w:rFonts w:ascii="Times New Roman" w:hAnsi="Times New Roman"/>
                <w:sz w:val="20"/>
                <w:szCs w:val="20"/>
              </w:rPr>
            </w:pPr>
            <w:r w:rsidRPr="000A773E">
              <w:rPr>
                <w:rFonts w:ascii="Times New Roman" w:hAnsi="Times New Roman"/>
                <w:sz w:val="20"/>
                <w:szCs w:val="20"/>
              </w:rPr>
              <w:t>2014/15</w:t>
            </w:r>
          </w:p>
        </w:tc>
        <w:tc>
          <w:tcPr>
            <w:tcW w:w="1983" w:type="dxa"/>
            <w:tcBorders>
              <w:top w:val="single" w:sz="4" w:space="0" w:color="auto"/>
              <w:left w:val="single" w:sz="4" w:space="0" w:color="auto"/>
              <w:bottom w:val="single" w:sz="4" w:space="0" w:color="auto"/>
              <w:right w:val="single" w:sz="4" w:space="0" w:color="auto"/>
            </w:tcBorders>
            <w:vAlign w:val="bottom"/>
          </w:tcPr>
          <w:p w14:paraId="736C72BA"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20,536,030</w:t>
            </w:r>
          </w:p>
        </w:tc>
        <w:tc>
          <w:tcPr>
            <w:tcW w:w="1821" w:type="dxa"/>
            <w:tcBorders>
              <w:top w:val="single" w:sz="4" w:space="0" w:color="auto"/>
              <w:left w:val="single" w:sz="4" w:space="0" w:color="auto"/>
              <w:bottom w:val="single" w:sz="4" w:space="0" w:color="auto"/>
              <w:right w:val="single" w:sz="4" w:space="0" w:color="auto"/>
            </w:tcBorders>
            <w:vAlign w:val="bottom"/>
          </w:tcPr>
          <w:p w14:paraId="227A426F"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19,905,799</w:t>
            </w:r>
          </w:p>
        </w:tc>
        <w:tc>
          <w:tcPr>
            <w:tcW w:w="1812" w:type="dxa"/>
            <w:tcBorders>
              <w:top w:val="single" w:sz="4" w:space="0" w:color="auto"/>
              <w:left w:val="single" w:sz="4" w:space="0" w:color="auto"/>
              <w:bottom w:val="single" w:sz="4" w:space="0" w:color="auto"/>
              <w:right w:val="single" w:sz="4" w:space="0" w:color="auto"/>
            </w:tcBorders>
            <w:vAlign w:val="center"/>
          </w:tcPr>
          <w:p w14:paraId="47534F5A"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96.9%</w:t>
            </w:r>
          </w:p>
        </w:tc>
      </w:tr>
      <w:tr w:rsidR="007518E4" w:rsidRPr="000A773E" w14:paraId="42D0E257" w14:textId="77777777" w:rsidTr="00AD7A86">
        <w:trPr>
          <w:jc w:val="center"/>
        </w:trPr>
        <w:tc>
          <w:tcPr>
            <w:tcW w:w="1411" w:type="dxa"/>
            <w:tcBorders>
              <w:top w:val="single" w:sz="4" w:space="0" w:color="auto"/>
              <w:left w:val="single" w:sz="4" w:space="0" w:color="auto"/>
              <w:bottom w:val="single" w:sz="4" w:space="0" w:color="auto"/>
              <w:right w:val="single" w:sz="4" w:space="0" w:color="auto"/>
            </w:tcBorders>
          </w:tcPr>
          <w:p w14:paraId="4D75127D" w14:textId="77777777" w:rsidR="007518E4" w:rsidRPr="000A773E" w:rsidRDefault="007518E4" w:rsidP="007518E4">
            <w:pPr>
              <w:spacing w:before="0"/>
              <w:rPr>
                <w:rFonts w:ascii="Times New Roman" w:hAnsi="Times New Roman"/>
                <w:sz w:val="20"/>
                <w:szCs w:val="20"/>
              </w:rPr>
            </w:pPr>
            <w:r w:rsidRPr="000A773E">
              <w:rPr>
                <w:rFonts w:ascii="Times New Roman" w:hAnsi="Times New Roman"/>
                <w:sz w:val="20"/>
                <w:szCs w:val="20"/>
              </w:rPr>
              <w:t>2015/16</w:t>
            </w:r>
          </w:p>
        </w:tc>
        <w:tc>
          <w:tcPr>
            <w:tcW w:w="1983" w:type="dxa"/>
            <w:tcBorders>
              <w:top w:val="single" w:sz="4" w:space="0" w:color="auto"/>
              <w:left w:val="single" w:sz="4" w:space="0" w:color="auto"/>
              <w:bottom w:val="single" w:sz="4" w:space="0" w:color="auto"/>
              <w:right w:val="single" w:sz="4" w:space="0" w:color="auto"/>
            </w:tcBorders>
            <w:vAlign w:val="bottom"/>
          </w:tcPr>
          <w:p w14:paraId="1F531164"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color w:val="000000" w:themeColor="text1"/>
                <w:sz w:val="20"/>
                <w:szCs w:val="20"/>
              </w:rPr>
              <w:t>23,632,780</w:t>
            </w:r>
          </w:p>
        </w:tc>
        <w:tc>
          <w:tcPr>
            <w:tcW w:w="1821" w:type="dxa"/>
            <w:tcBorders>
              <w:top w:val="single" w:sz="4" w:space="0" w:color="auto"/>
              <w:left w:val="single" w:sz="4" w:space="0" w:color="auto"/>
              <w:bottom w:val="single" w:sz="4" w:space="0" w:color="auto"/>
              <w:right w:val="single" w:sz="4" w:space="0" w:color="auto"/>
            </w:tcBorders>
            <w:vAlign w:val="bottom"/>
          </w:tcPr>
          <w:p w14:paraId="50CEE3D9"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20,367,047</w:t>
            </w:r>
          </w:p>
        </w:tc>
        <w:tc>
          <w:tcPr>
            <w:tcW w:w="1812" w:type="dxa"/>
            <w:tcBorders>
              <w:top w:val="single" w:sz="4" w:space="0" w:color="auto"/>
              <w:left w:val="single" w:sz="4" w:space="0" w:color="auto"/>
              <w:bottom w:val="single" w:sz="4" w:space="0" w:color="auto"/>
              <w:right w:val="single" w:sz="4" w:space="0" w:color="auto"/>
            </w:tcBorders>
            <w:vAlign w:val="center"/>
          </w:tcPr>
          <w:p w14:paraId="2C07D05A"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86.2%</w:t>
            </w:r>
          </w:p>
        </w:tc>
      </w:tr>
      <w:tr w:rsidR="00884FB2" w:rsidRPr="000A773E" w14:paraId="45CD5B13" w14:textId="77777777" w:rsidTr="00AD7A86">
        <w:trPr>
          <w:jc w:val="center"/>
        </w:trPr>
        <w:tc>
          <w:tcPr>
            <w:tcW w:w="1411" w:type="dxa"/>
            <w:tcBorders>
              <w:top w:val="single" w:sz="4" w:space="0" w:color="auto"/>
              <w:left w:val="single" w:sz="4" w:space="0" w:color="auto"/>
              <w:bottom w:val="single" w:sz="4" w:space="0" w:color="auto"/>
              <w:right w:val="single" w:sz="4" w:space="0" w:color="auto"/>
            </w:tcBorders>
          </w:tcPr>
          <w:p w14:paraId="6287EEAF" w14:textId="77777777" w:rsidR="00884FB2" w:rsidRPr="000A773E" w:rsidRDefault="00884FB2" w:rsidP="007518E4">
            <w:pPr>
              <w:spacing w:before="0"/>
              <w:rPr>
                <w:rFonts w:ascii="Times New Roman" w:hAnsi="Times New Roman"/>
                <w:sz w:val="20"/>
                <w:szCs w:val="20"/>
              </w:rPr>
            </w:pPr>
            <w:r>
              <w:rPr>
                <w:rFonts w:ascii="Times New Roman" w:hAnsi="Times New Roman"/>
                <w:sz w:val="20"/>
                <w:szCs w:val="20"/>
              </w:rPr>
              <w:t>2017</w:t>
            </w:r>
          </w:p>
        </w:tc>
        <w:tc>
          <w:tcPr>
            <w:tcW w:w="1983" w:type="dxa"/>
            <w:tcBorders>
              <w:top w:val="single" w:sz="4" w:space="0" w:color="auto"/>
              <w:left w:val="single" w:sz="4" w:space="0" w:color="auto"/>
              <w:bottom w:val="single" w:sz="4" w:space="0" w:color="auto"/>
              <w:right w:val="single" w:sz="4" w:space="0" w:color="auto"/>
            </w:tcBorders>
            <w:vAlign w:val="bottom"/>
          </w:tcPr>
          <w:p w14:paraId="13DC8991" w14:textId="77777777" w:rsidR="00884FB2" w:rsidRPr="000A773E" w:rsidRDefault="003F2402" w:rsidP="007518E4">
            <w:pPr>
              <w:spacing w:before="0"/>
              <w:jc w:val="center"/>
              <w:rPr>
                <w:rFonts w:ascii="Times New Roman" w:hAnsi="Times New Roman"/>
                <w:color w:val="000000" w:themeColor="text1"/>
                <w:sz w:val="20"/>
                <w:szCs w:val="20"/>
              </w:rPr>
            </w:pPr>
            <w:r>
              <w:rPr>
                <w:rFonts w:ascii="Times New Roman" w:hAnsi="Times New Roman"/>
                <w:color w:val="000000" w:themeColor="text1"/>
                <w:sz w:val="20"/>
                <w:szCs w:val="20"/>
              </w:rPr>
              <w:t>21,</w:t>
            </w:r>
            <w:r w:rsidR="00105066">
              <w:rPr>
                <w:rFonts w:ascii="Times New Roman" w:hAnsi="Times New Roman"/>
                <w:color w:val="000000" w:themeColor="text1"/>
                <w:sz w:val="20"/>
                <w:szCs w:val="20"/>
              </w:rPr>
              <w:t>463,000</w:t>
            </w:r>
          </w:p>
        </w:tc>
        <w:tc>
          <w:tcPr>
            <w:tcW w:w="1821" w:type="dxa"/>
            <w:tcBorders>
              <w:top w:val="single" w:sz="4" w:space="0" w:color="auto"/>
              <w:left w:val="single" w:sz="4" w:space="0" w:color="auto"/>
              <w:bottom w:val="single" w:sz="4" w:space="0" w:color="auto"/>
              <w:right w:val="single" w:sz="4" w:space="0" w:color="auto"/>
            </w:tcBorders>
            <w:vAlign w:val="bottom"/>
          </w:tcPr>
          <w:p w14:paraId="0E9638ED" w14:textId="77777777" w:rsidR="00884FB2" w:rsidRPr="000A773E" w:rsidRDefault="003F2402" w:rsidP="007518E4">
            <w:pPr>
              <w:spacing w:before="0"/>
              <w:jc w:val="center"/>
              <w:rPr>
                <w:rFonts w:ascii="Times New Roman" w:hAnsi="Times New Roman"/>
                <w:sz w:val="20"/>
                <w:szCs w:val="20"/>
              </w:rPr>
            </w:pPr>
            <w:r>
              <w:rPr>
                <w:rFonts w:ascii="Times New Roman" w:hAnsi="Times New Roman"/>
                <w:sz w:val="20"/>
                <w:szCs w:val="20"/>
              </w:rPr>
              <w:t>2</w:t>
            </w:r>
            <w:r w:rsidR="006F276C">
              <w:rPr>
                <w:rFonts w:ascii="Times New Roman" w:hAnsi="Times New Roman"/>
                <w:sz w:val="20"/>
                <w:szCs w:val="20"/>
              </w:rPr>
              <w:t>0,665,958</w:t>
            </w:r>
          </w:p>
        </w:tc>
        <w:tc>
          <w:tcPr>
            <w:tcW w:w="1812" w:type="dxa"/>
            <w:tcBorders>
              <w:top w:val="single" w:sz="4" w:space="0" w:color="auto"/>
              <w:left w:val="single" w:sz="4" w:space="0" w:color="auto"/>
              <w:bottom w:val="single" w:sz="4" w:space="0" w:color="auto"/>
              <w:right w:val="single" w:sz="4" w:space="0" w:color="auto"/>
            </w:tcBorders>
            <w:vAlign w:val="center"/>
          </w:tcPr>
          <w:p w14:paraId="341286E2" w14:textId="77777777" w:rsidR="00884FB2" w:rsidRPr="000A773E" w:rsidRDefault="003F2402" w:rsidP="007518E4">
            <w:pPr>
              <w:spacing w:before="0"/>
              <w:jc w:val="center"/>
              <w:rPr>
                <w:rFonts w:ascii="Times New Roman" w:hAnsi="Times New Roman"/>
                <w:sz w:val="20"/>
                <w:szCs w:val="20"/>
              </w:rPr>
            </w:pPr>
            <w:r>
              <w:rPr>
                <w:rFonts w:ascii="Times New Roman" w:hAnsi="Times New Roman"/>
                <w:sz w:val="20"/>
                <w:szCs w:val="20"/>
              </w:rPr>
              <w:t>96.</w:t>
            </w:r>
            <w:r w:rsidR="006F276C">
              <w:rPr>
                <w:rFonts w:ascii="Times New Roman" w:hAnsi="Times New Roman"/>
                <w:sz w:val="20"/>
                <w:szCs w:val="20"/>
              </w:rPr>
              <w:t>3</w:t>
            </w:r>
            <w:r>
              <w:rPr>
                <w:rFonts w:ascii="Times New Roman" w:hAnsi="Times New Roman"/>
                <w:sz w:val="20"/>
                <w:szCs w:val="20"/>
              </w:rPr>
              <w:t>%</w:t>
            </w:r>
          </w:p>
        </w:tc>
      </w:tr>
    </w:tbl>
    <w:p w14:paraId="722BD2F9" w14:textId="77777777" w:rsidR="007518E4" w:rsidRPr="00FA07D6" w:rsidRDefault="007518E4" w:rsidP="007518E4">
      <w:pPr>
        <w:spacing w:before="0"/>
        <w:ind w:left="1440"/>
        <w:rPr>
          <w:rFonts w:ascii="Times New Roman" w:hAnsi="Times New Roman"/>
          <w:sz w:val="20"/>
          <w:szCs w:val="20"/>
        </w:rPr>
      </w:pPr>
      <w:r w:rsidRPr="00FA07D6">
        <w:rPr>
          <w:rFonts w:ascii="Times New Roman" w:hAnsi="Times New Roman"/>
          <w:sz w:val="20"/>
          <w:szCs w:val="20"/>
        </w:rPr>
        <w:t>Source: MoF Published Official Gazette and Fiscal Policy Department data</w:t>
      </w:r>
      <w:r w:rsidR="00AD7A86">
        <w:rPr>
          <w:rFonts w:ascii="Times New Roman" w:hAnsi="Times New Roman"/>
          <w:sz w:val="20"/>
          <w:szCs w:val="20"/>
        </w:rPr>
        <w:t xml:space="preserve"> for 2017 estimates</w:t>
      </w:r>
    </w:p>
    <w:p w14:paraId="164989F4" w14:textId="77777777" w:rsidR="007518E4" w:rsidRPr="002A7865" w:rsidRDefault="0085039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Pr>
          <w:rFonts w:ascii="Times New Roman" w:hAnsi="Times New Roman"/>
          <w:b/>
          <w:sz w:val="24"/>
        </w:rPr>
        <w:t xml:space="preserve">At </w:t>
      </w:r>
      <w:r w:rsidR="007518E4" w:rsidRPr="00FA07D6">
        <w:rPr>
          <w:rFonts w:ascii="Times New Roman" w:hAnsi="Times New Roman"/>
          <w:b/>
          <w:sz w:val="24"/>
        </w:rPr>
        <w:t>96.9</w:t>
      </w:r>
      <w:r w:rsidR="003F2402">
        <w:rPr>
          <w:rFonts w:ascii="Times New Roman" w:hAnsi="Times New Roman"/>
          <w:b/>
          <w:sz w:val="24"/>
        </w:rPr>
        <w:t>%</w:t>
      </w:r>
      <w:r w:rsidRPr="00FA07D6">
        <w:rPr>
          <w:rFonts w:ascii="Times New Roman" w:hAnsi="Times New Roman"/>
          <w:b/>
          <w:sz w:val="24"/>
        </w:rPr>
        <w:t>,</w:t>
      </w:r>
      <w:r w:rsidR="007518E4" w:rsidRPr="00FA07D6">
        <w:rPr>
          <w:rFonts w:ascii="Times New Roman" w:hAnsi="Times New Roman"/>
          <w:b/>
          <w:sz w:val="24"/>
        </w:rPr>
        <w:t xml:space="preserve"> 86.2</w:t>
      </w:r>
      <w:r w:rsidRPr="00850394">
        <w:rPr>
          <w:rFonts w:ascii="Times New Roman" w:hAnsi="Times New Roman"/>
          <w:b/>
          <w:sz w:val="24"/>
        </w:rPr>
        <w:t xml:space="preserve"> </w:t>
      </w:r>
      <w:r>
        <w:rPr>
          <w:rFonts w:ascii="Times New Roman" w:hAnsi="Times New Roman"/>
          <w:b/>
          <w:sz w:val="24"/>
        </w:rPr>
        <w:t>percent</w:t>
      </w:r>
      <w:r w:rsidR="003F2402">
        <w:rPr>
          <w:rFonts w:ascii="Times New Roman" w:hAnsi="Times New Roman"/>
          <w:b/>
          <w:sz w:val="24"/>
        </w:rPr>
        <w:t xml:space="preserve"> and 96.</w:t>
      </w:r>
      <w:r w:rsidR="006F276C">
        <w:rPr>
          <w:rFonts w:ascii="Times New Roman" w:hAnsi="Times New Roman"/>
          <w:b/>
          <w:sz w:val="24"/>
        </w:rPr>
        <w:t>3</w:t>
      </w:r>
      <w:r w:rsidR="003F2402">
        <w:rPr>
          <w:rFonts w:ascii="Times New Roman" w:hAnsi="Times New Roman"/>
          <w:b/>
          <w:sz w:val="24"/>
        </w:rPr>
        <w:t>%</w:t>
      </w:r>
      <w:r w:rsidR="007518E4" w:rsidRPr="00FA07D6">
        <w:rPr>
          <w:rFonts w:ascii="Times New Roman" w:hAnsi="Times New Roman"/>
          <w:b/>
          <w:sz w:val="24"/>
        </w:rPr>
        <w:t>respectively, aggregate revenue outturn was between 94</w:t>
      </w:r>
      <w:r w:rsidRPr="00850394">
        <w:rPr>
          <w:rFonts w:ascii="Times New Roman" w:hAnsi="Times New Roman"/>
          <w:b/>
          <w:sz w:val="24"/>
        </w:rPr>
        <w:t xml:space="preserve"> </w:t>
      </w:r>
      <w:r>
        <w:rPr>
          <w:rFonts w:ascii="Times New Roman" w:hAnsi="Times New Roman"/>
          <w:b/>
          <w:sz w:val="24"/>
        </w:rPr>
        <w:t>percent</w:t>
      </w:r>
      <w:r w:rsidRPr="00FA07D6">
        <w:rPr>
          <w:rFonts w:ascii="Times New Roman" w:hAnsi="Times New Roman"/>
          <w:b/>
          <w:sz w:val="24"/>
        </w:rPr>
        <w:t>,</w:t>
      </w:r>
      <w:r w:rsidR="007518E4" w:rsidRPr="00FA07D6">
        <w:rPr>
          <w:rFonts w:ascii="Times New Roman" w:hAnsi="Times New Roman"/>
          <w:b/>
          <w:sz w:val="24"/>
        </w:rPr>
        <w:t xml:space="preserve"> and 112</w:t>
      </w:r>
      <w:r w:rsidRPr="00850394">
        <w:rPr>
          <w:rFonts w:ascii="Times New Roman" w:hAnsi="Times New Roman"/>
          <w:b/>
          <w:sz w:val="24"/>
        </w:rPr>
        <w:t xml:space="preserve"> </w:t>
      </w:r>
      <w:r>
        <w:rPr>
          <w:rFonts w:ascii="Times New Roman" w:hAnsi="Times New Roman"/>
          <w:b/>
          <w:sz w:val="24"/>
        </w:rPr>
        <w:t>percent</w:t>
      </w:r>
      <w:r w:rsidRPr="00FA07D6">
        <w:rPr>
          <w:rFonts w:ascii="Times New Roman" w:hAnsi="Times New Roman"/>
          <w:b/>
          <w:sz w:val="24"/>
        </w:rPr>
        <w:t>,</w:t>
      </w:r>
      <w:r w:rsidR="007518E4" w:rsidRPr="00FA07D6">
        <w:rPr>
          <w:rFonts w:ascii="Times New Roman" w:hAnsi="Times New Roman"/>
          <w:b/>
          <w:sz w:val="24"/>
        </w:rPr>
        <w:t xml:space="preserve"> of the originally approved revenue budget in two of the last three completed fiscal years</w:t>
      </w:r>
      <w:r w:rsidR="007518E4" w:rsidRPr="00FA07D6">
        <w:rPr>
          <w:rFonts w:ascii="Times New Roman" w:hAnsi="Times New Roman"/>
          <w:b/>
          <w:bCs/>
          <w:sz w:val="24"/>
        </w:rPr>
        <w:t>:</w:t>
      </w:r>
      <w:r w:rsidR="007518E4" w:rsidRPr="002A7865">
        <w:rPr>
          <w:rFonts w:ascii="Times New Roman" w:hAnsi="Times New Roman"/>
          <w:bCs/>
          <w:sz w:val="24"/>
        </w:rPr>
        <w:t xml:space="preserve"> Score B.</w:t>
      </w:r>
    </w:p>
    <w:p w14:paraId="1E3E13E9" w14:textId="77777777" w:rsidR="007518E4" w:rsidRDefault="007518E4" w:rsidP="00FA07D6">
      <w:pPr>
        <w:ind w:left="0"/>
        <w:rPr>
          <w:rFonts w:ascii="Times New Roman" w:hAnsi="Times New Roman"/>
          <w:b/>
          <w:color w:val="559AB3"/>
          <w:sz w:val="24"/>
        </w:rPr>
      </w:pPr>
      <w:r w:rsidRPr="008D65E9">
        <w:rPr>
          <w:rFonts w:ascii="Times New Roman" w:hAnsi="Times New Roman"/>
          <w:b/>
          <w:color w:val="559AB3"/>
          <w:sz w:val="24"/>
        </w:rPr>
        <w:t xml:space="preserve">3.2 Revenue </w:t>
      </w:r>
      <w:r>
        <w:rPr>
          <w:rFonts w:ascii="Times New Roman" w:hAnsi="Times New Roman"/>
          <w:b/>
          <w:color w:val="559AB3"/>
          <w:sz w:val="24"/>
        </w:rPr>
        <w:t>c</w:t>
      </w:r>
      <w:r w:rsidRPr="008D65E9">
        <w:rPr>
          <w:rFonts w:ascii="Times New Roman" w:hAnsi="Times New Roman"/>
          <w:b/>
          <w:color w:val="559AB3"/>
          <w:sz w:val="24"/>
        </w:rPr>
        <w:t xml:space="preserve">omposition </w:t>
      </w:r>
      <w:r>
        <w:rPr>
          <w:rFonts w:ascii="Times New Roman" w:hAnsi="Times New Roman"/>
          <w:b/>
          <w:color w:val="559AB3"/>
          <w:sz w:val="24"/>
        </w:rPr>
        <w:t>o</w:t>
      </w:r>
      <w:r w:rsidRPr="008D65E9">
        <w:rPr>
          <w:rFonts w:ascii="Times New Roman" w:hAnsi="Times New Roman"/>
          <w:b/>
          <w:color w:val="559AB3"/>
          <w:sz w:val="24"/>
        </w:rPr>
        <w:t>utturn</w:t>
      </w:r>
    </w:p>
    <w:p w14:paraId="4E8E82F2" w14:textId="77777777" w:rsidR="007518E4" w:rsidRPr="00E5275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color w:val="000000"/>
          <w:sz w:val="24"/>
          <w:lang w:val="en-ZW" w:eastAsia="en-ZW"/>
        </w:rPr>
      </w:pPr>
      <w:r w:rsidRPr="00FA07D6">
        <w:rPr>
          <w:rFonts w:ascii="Times New Roman" w:hAnsi="Times New Roman"/>
          <w:b/>
          <w:sz w:val="24"/>
        </w:rPr>
        <w:t xml:space="preserve">Tax revenues increased from </w:t>
      </w:r>
      <w:r w:rsidR="003F2402">
        <w:rPr>
          <w:rFonts w:ascii="Times New Roman" w:hAnsi="Times New Roman"/>
          <w:b/>
          <w:sz w:val="24"/>
        </w:rPr>
        <w:t>66.3</w:t>
      </w:r>
      <w:r w:rsidRPr="00FA07D6">
        <w:rPr>
          <w:rFonts w:ascii="Times New Roman" w:hAnsi="Times New Roman"/>
          <w:b/>
          <w:sz w:val="24"/>
        </w:rPr>
        <w:t>% in 201</w:t>
      </w:r>
      <w:r w:rsidR="003F2402">
        <w:rPr>
          <w:rFonts w:ascii="Times New Roman" w:hAnsi="Times New Roman"/>
          <w:b/>
          <w:sz w:val="24"/>
        </w:rPr>
        <w:t>4/15</w:t>
      </w:r>
      <w:r w:rsidRPr="00FA07D6">
        <w:rPr>
          <w:rFonts w:ascii="Times New Roman" w:hAnsi="Times New Roman"/>
          <w:b/>
          <w:sz w:val="24"/>
        </w:rPr>
        <w:t xml:space="preserve"> to </w:t>
      </w:r>
      <w:r w:rsidR="003F2402">
        <w:rPr>
          <w:rFonts w:ascii="Times New Roman" w:hAnsi="Times New Roman"/>
          <w:b/>
          <w:sz w:val="24"/>
        </w:rPr>
        <w:t>82%</w:t>
      </w:r>
      <w:r w:rsidRPr="00FA07D6">
        <w:rPr>
          <w:rFonts w:ascii="Times New Roman" w:hAnsi="Times New Roman"/>
          <w:b/>
          <w:sz w:val="24"/>
        </w:rPr>
        <w:t>% of total revenue in 201</w:t>
      </w:r>
      <w:r w:rsidR="003F2402">
        <w:rPr>
          <w:rFonts w:ascii="Times New Roman" w:hAnsi="Times New Roman"/>
          <w:b/>
          <w:sz w:val="24"/>
        </w:rPr>
        <w:t>7</w:t>
      </w:r>
      <w:r w:rsidRPr="00FA07D6">
        <w:rPr>
          <w:rFonts w:ascii="Times New Roman" w:hAnsi="Times New Roman"/>
          <w:b/>
          <w:sz w:val="24"/>
        </w:rPr>
        <w:t xml:space="preserve">. </w:t>
      </w:r>
      <w:r w:rsidRPr="00E52754">
        <w:rPr>
          <w:rFonts w:ascii="Times New Roman" w:hAnsi="Times New Roman"/>
          <w:sz w:val="24"/>
        </w:rPr>
        <w:t>VAT, excise tax, profit tax, income tax and import duties generating 8</w:t>
      </w:r>
      <w:r w:rsidR="003F2402">
        <w:rPr>
          <w:rFonts w:ascii="Times New Roman" w:hAnsi="Times New Roman"/>
          <w:sz w:val="24"/>
        </w:rPr>
        <w:t>1</w:t>
      </w:r>
      <w:r w:rsidRPr="00E52754">
        <w:rPr>
          <w:rFonts w:ascii="Times New Roman" w:hAnsi="Times New Roman"/>
          <w:sz w:val="24"/>
        </w:rPr>
        <w:t xml:space="preserve">% of all tax revenue. The compositional variance of revenue is generally high but deteriorated in 2015/2016 as shown in Table 3.3.2.  There were large deviations in profit tax collected from domestic and foreign companies, mostly due to declining global mining prices and exports. The increase in VAT collected from imported goods and services did not offset the severe decline in domestic VAT collection from construction, telecommunication and other sectors.  Income tax, however, </w:t>
      </w:r>
      <w:r w:rsidRPr="00E52754">
        <w:rPr>
          <w:rFonts w:ascii="Times New Roman" w:hAnsi="Times New Roman"/>
          <w:sz w:val="24"/>
        </w:rPr>
        <w:lastRenderedPageBreak/>
        <w:t>exceeded the original forecasts</w:t>
      </w:r>
      <w:r w:rsidR="00850394">
        <w:rPr>
          <w:rFonts w:ascii="Times New Roman" w:hAnsi="Times New Roman"/>
          <w:sz w:val="24"/>
        </w:rPr>
        <w:t xml:space="preserve">. </w:t>
      </w:r>
      <w:proofErr w:type="gramStart"/>
      <w:r w:rsidRPr="00E52754">
        <w:rPr>
          <w:rFonts w:ascii="Times New Roman" w:hAnsi="Times New Roman"/>
          <w:sz w:val="24"/>
        </w:rPr>
        <w:t>Non tax</w:t>
      </w:r>
      <w:proofErr w:type="gramEnd"/>
      <w:r w:rsidRPr="00E52754">
        <w:rPr>
          <w:rFonts w:ascii="Times New Roman" w:hAnsi="Times New Roman"/>
          <w:sz w:val="24"/>
        </w:rPr>
        <w:t xml:space="preserve"> revenues – equivalent to 2.7% of GDP, increased significantly in 2015/206 (35%) and cover administration fees, dividends, over-flight right fees, concessions and fines and forest preservation fund tax.  However, the most important part of this variance originates from large deviations in actual receipt of external grants compared to budgeted grants with</w:t>
      </w:r>
      <w:r>
        <w:rPr>
          <w:rFonts w:ascii="Times New Roman" w:hAnsi="Times New Roman"/>
          <w:sz w:val="24"/>
        </w:rPr>
        <w:t xml:space="preserve"> a sharp decline from </w:t>
      </w:r>
      <w:r w:rsidR="00315EB0">
        <w:rPr>
          <w:rFonts w:ascii="Times New Roman" w:hAnsi="Times New Roman"/>
          <w:sz w:val="24"/>
        </w:rPr>
        <w:t>6</w:t>
      </w:r>
      <w:r>
        <w:rPr>
          <w:rFonts w:ascii="Times New Roman" w:hAnsi="Times New Roman"/>
          <w:sz w:val="24"/>
        </w:rPr>
        <w:t>% in</w:t>
      </w:r>
      <w:r w:rsidRPr="00E52754">
        <w:rPr>
          <w:rFonts w:ascii="Times New Roman" w:hAnsi="Times New Roman"/>
          <w:sz w:val="24"/>
        </w:rPr>
        <w:t xml:space="preserve"> 2014</w:t>
      </w:r>
      <w:r w:rsidR="00315EB0">
        <w:rPr>
          <w:rFonts w:ascii="Times New Roman" w:hAnsi="Times New Roman"/>
          <w:sz w:val="24"/>
        </w:rPr>
        <w:t>/15</w:t>
      </w:r>
      <w:r w:rsidRPr="00E52754">
        <w:rPr>
          <w:rFonts w:ascii="Times New Roman" w:hAnsi="Times New Roman"/>
          <w:sz w:val="24"/>
        </w:rPr>
        <w:t xml:space="preserve"> to </w:t>
      </w:r>
      <w:r w:rsidR="00315EB0">
        <w:rPr>
          <w:rFonts w:ascii="Times New Roman" w:hAnsi="Times New Roman"/>
          <w:sz w:val="24"/>
        </w:rPr>
        <w:t>less than 2</w:t>
      </w:r>
      <w:r w:rsidRPr="00E52754">
        <w:rPr>
          <w:rFonts w:ascii="Times New Roman" w:hAnsi="Times New Roman"/>
          <w:sz w:val="24"/>
        </w:rPr>
        <w:t xml:space="preserve">% in </w:t>
      </w:r>
      <w:r w:rsidR="00315EB0">
        <w:rPr>
          <w:rFonts w:ascii="Times New Roman" w:hAnsi="Times New Roman"/>
          <w:sz w:val="24"/>
        </w:rPr>
        <w:t>2017</w:t>
      </w:r>
      <w:r>
        <w:rPr>
          <w:rFonts w:ascii="Times New Roman" w:hAnsi="Times New Roman"/>
          <w:sz w:val="24"/>
        </w:rPr>
        <w:t>resulting from</w:t>
      </w:r>
      <w:r w:rsidRPr="00E52754">
        <w:rPr>
          <w:rFonts w:ascii="Times New Roman" w:hAnsi="Times New Roman"/>
          <w:sz w:val="24"/>
        </w:rPr>
        <w:t xml:space="preserve"> a decrease in non-project aid as shown in Annex 4</w:t>
      </w:r>
      <w:r w:rsidRPr="00E52754">
        <w:rPr>
          <w:rFonts w:ascii="Times New Roman" w:hAnsi="Times New Roman"/>
          <w:color w:val="000000"/>
          <w:sz w:val="24"/>
          <w:lang w:val="en-ZW" w:eastAsia="en-ZW"/>
        </w:rPr>
        <w:t>.</w:t>
      </w:r>
    </w:p>
    <w:p w14:paraId="4C426BAF" w14:textId="77777777" w:rsidR="007518E4" w:rsidRPr="00FA07D6" w:rsidRDefault="007518E4" w:rsidP="007518E4">
      <w:pPr>
        <w:spacing w:before="0"/>
        <w:jc w:val="center"/>
        <w:rPr>
          <w:rFonts w:ascii="Times New Roman" w:hAnsi="Times New Roman"/>
          <w:b/>
          <w:color w:val="000000" w:themeColor="text1"/>
        </w:rPr>
      </w:pPr>
      <w:r w:rsidRPr="00FA07D6">
        <w:rPr>
          <w:rFonts w:ascii="Times New Roman" w:hAnsi="Times New Roman"/>
          <w:b/>
          <w:color w:val="000000" w:themeColor="text1"/>
        </w:rPr>
        <w:t>Table 3-3.2: Revenue Compositional Variance (million Kip)</w:t>
      </w:r>
    </w:p>
    <w:tbl>
      <w:tblPr>
        <w:tblW w:w="4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2448"/>
      </w:tblGrid>
      <w:tr w:rsidR="007518E4" w:rsidRPr="000A773E" w14:paraId="7566104D" w14:textId="77777777" w:rsidTr="00850394">
        <w:trPr>
          <w:trHeight w:val="431"/>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9F663" w14:textId="77777777" w:rsidR="007518E4" w:rsidRPr="000A773E" w:rsidRDefault="007518E4" w:rsidP="00850394">
            <w:pPr>
              <w:spacing w:before="0"/>
              <w:ind w:left="108"/>
              <w:jc w:val="center"/>
              <w:rPr>
                <w:rFonts w:ascii="Times New Roman" w:hAnsi="Times New Roman"/>
                <w:sz w:val="20"/>
                <w:szCs w:val="20"/>
              </w:rPr>
            </w:pPr>
            <w:r w:rsidRPr="000A773E">
              <w:rPr>
                <w:rFonts w:ascii="Times New Roman" w:hAnsi="Times New Roman"/>
                <w:sz w:val="20"/>
                <w:szCs w:val="20"/>
              </w:rPr>
              <w:t>Fiscal Year</w:t>
            </w:r>
          </w:p>
        </w:tc>
        <w:tc>
          <w:tcPr>
            <w:tcW w:w="2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DF754" w14:textId="77777777" w:rsidR="007518E4" w:rsidRPr="000A773E" w:rsidRDefault="007518E4" w:rsidP="00850394">
            <w:pPr>
              <w:spacing w:before="0"/>
              <w:ind w:left="108"/>
              <w:jc w:val="center"/>
              <w:rPr>
                <w:rFonts w:ascii="Times New Roman" w:hAnsi="Times New Roman"/>
                <w:sz w:val="20"/>
                <w:szCs w:val="20"/>
              </w:rPr>
            </w:pPr>
            <w:r w:rsidRPr="000A773E">
              <w:rPr>
                <w:rFonts w:ascii="Times New Roman" w:hAnsi="Times New Roman"/>
                <w:sz w:val="20"/>
                <w:szCs w:val="20"/>
              </w:rPr>
              <w:t>Composition Variance</w:t>
            </w:r>
          </w:p>
        </w:tc>
      </w:tr>
      <w:tr w:rsidR="007518E4" w:rsidRPr="000A773E" w14:paraId="4C71F30D" w14:textId="77777777" w:rsidTr="00850394">
        <w:trPr>
          <w:jc w:val="center"/>
        </w:trPr>
        <w:tc>
          <w:tcPr>
            <w:tcW w:w="1610" w:type="dxa"/>
            <w:tcBorders>
              <w:top w:val="single" w:sz="4" w:space="0" w:color="auto"/>
              <w:left w:val="single" w:sz="4" w:space="0" w:color="auto"/>
              <w:bottom w:val="single" w:sz="4" w:space="0" w:color="auto"/>
              <w:right w:val="single" w:sz="4" w:space="0" w:color="auto"/>
            </w:tcBorders>
          </w:tcPr>
          <w:p w14:paraId="678C626A" w14:textId="77777777" w:rsidR="007518E4" w:rsidRPr="000A773E" w:rsidRDefault="007518E4" w:rsidP="007518E4">
            <w:pPr>
              <w:spacing w:before="0"/>
              <w:rPr>
                <w:rFonts w:ascii="Times New Roman" w:hAnsi="Times New Roman"/>
                <w:sz w:val="20"/>
                <w:szCs w:val="20"/>
              </w:rPr>
            </w:pPr>
            <w:r w:rsidRPr="000A773E">
              <w:rPr>
                <w:rFonts w:ascii="Times New Roman" w:hAnsi="Times New Roman"/>
                <w:sz w:val="20"/>
                <w:szCs w:val="20"/>
              </w:rPr>
              <w:t>2014/15</w:t>
            </w:r>
          </w:p>
        </w:tc>
        <w:tc>
          <w:tcPr>
            <w:tcW w:w="2448" w:type="dxa"/>
            <w:tcBorders>
              <w:top w:val="single" w:sz="4" w:space="0" w:color="auto"/>
              <w:left w:val="single" w:sz="4" w:space="0" w:color="auto"/>
              <w:bottom w:val="single" w:sz="4" w:space="0" w:color="auto"/>
              <w:right w:val="single" w:sz="4" w:space="0" w:color="auto"/>
            </w:tcBorders>
            <w:vAlign w:val="center"/>
          </w:tcPr>
          <w:p w14:paraId="0FA873DF"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20.7%</w:t>
            </w:r>
          </w:p>
        </w:tc>
      </w:tr>
      <w:tr w:rsidR="007518E4" w:rsidRPr="000A773E" w14:paraId="26AC13BE" w14:textId="77777777" w:rsidTr="00850394">
        <w:trPr>
          <w:jc w:val="center"/>
        </w:trPr>
        <w:tc>
          <w:tcPr>
            <w:tcW w:w="1610" w:type="dxa"/>
            <w:tcBorders>
              <w:top w:val="single" w:sz="4" w:space="0" w:color="auto"/>
              <w:left w:val="single" w:sz="4" w:space="0" w:color="auto"/>
              <w:bottom w:val="single" w:sz="4" w:space="0" w:color="auto"/>
              <w:right w:val="single" w:sz="4" w:space="0" w:color="auto"/>
            </w:tcBorders>
          </w:tcPr>
          <w:p w14:paraId="4A8606AC" w14:textId="77777777" w:rsidR="007518E4" w:rsidRPr="000A773E" w:rsidRDefault="007518E4" w:rsidP="007518E4">
            <w:pPr>
              <w:spacing w:before="0"/>
              <w:rPr>
                <w:rFonts w:ascii="Times New Roman" w:hAnsi="Times New Roman"/>
                <w:sz w:val="20"/>
                <w:szCs w:val="20"/>
              </w:rPr>
            </w:pPr>
            <w:r w:rsidRPr="000A773E">
              <w:rPr>
                <w:rFonts w:ascii="Times New Roman" w:hAnsi="Times New Roman"/>
                <w:sz w:val="20"/>
                <w:szCs w:val="20"/>
              </w:rPr>
              <w:t>2015/16</w:t>
            </w:r>
          </w:p>
        </w:tc>
        <w:tc>
          <w:tcPr>
            <w:tcW w:w="2448" w:type="dxa"/>
            <w:tcBorders>
              <w:top w:val="single" w:sz="4" w:space="0" w:color="auto"/>
              <w:left w:val="single" w:sz="4" w:space="0" w:color="auto"/>
              <w:bottom w:val="single" w:sz="4" w:space="0" w:color="auto"/>
              <w:right w:val="single" w:sz="4" w:space="0" w:color="auto"/>
            </w:tcBorders>
            <w:vAlign w:val="center"/>
          </w:tcPr>
          <w:p w14:paraId="12BAE33B" w14:textId="77777777" w:rsidR="007518E4" w:rsidRPr="000A773E" w:rsidRDefault="007518E4" w:rsidP="007518E4">
            <w:pPr>
              <w:spacing w:before="0"/>
              <w:jc w:val="center"/>
              <w:rPr>
                <w:rFonts w:ascii="Times New Roman" w:hAnsi="Times New Roman"/>
                <w:sz w:val="20"/>
                <w:szCs w:val="20"/>
              </w:rPr>
            </w:pPr>
            <w:r w:rsidRPr="000A773E">
              <w:rPr>
                <w:rFonts w:ascii="Times New Roman" w:hAnsi="Times New Roman"/>
                <w:sz w:val="20"/>
                <w:szCs w:val="20"/>
              </w:rPr>
              <w:t>26.3%</w:t>
            </w:r>
          </w:p>
        </w:tc>
      </w:tr>
      <w:tr w:rsidR="00884FB2" w:rsidRPr="000A773E" w14:paraId="0904DD6A" w14:textId="77777777" w:rsidTr="00850394">
        <w:trPr>
          <w:jc w:val="center"/>
        </w:trPr>
        <w:tc>
          <w:tcPr>
            <w:tcW w:w="1610" w:type="dxa"/>
            <w:tcBorders>
              <w:top w:val="single" w:sz="4" w:space="0" w:color="auto"/>
              <w:left w:val="single" w:sz="4" w:space="0" w:color="auto"/>
              <w:bottom w:val="single" w:sz="4" w:space="0" w:color="auto"/>
              <w:right w:val="single" w:sz="4" w:space="0" w:color="auto"/>
            </w:tcBorders>
          </w:tcPr>
          <w:p w14:paraId="327E3A8A" w14:textId="77777777" w:rsidR="00884FB2" w:rsidRPr="000A773E" w:rsidRDefault="00884FB2" w:rsidP="007518E4">
            <w:pPr>
              <w:spacing w:before="0"/>
              <w:rPr>
                <w:rFonts w:ascii="Times New Roman" w:hAnsi="Times New Roman"/>
                <w:sz w:val="20"/>
                <w:szCs w:val="20"/>
              </w:rPr>
            </w:pPr>
            <w:r>
              <w:rPr>
                <w:rFonts w:ascii="Times New Roman" w:hAnsi="Times New Roman"/>
                <w:sz w:val="20"/>
                <w:szCs w:val="20"/>
              </w:rPr>
              <w:t>2017</w:t>
            </w:r>
          </w:p>
        </w:tc>
        <w:tc>
          <w:tcPr>
            <w:tcW w:w="2448" w:type="dxa"/>
            <w:tcBorders>
              <w:top w:val="single" w:sz="4" w:space="0" w:color="auto"/>
              <w:left w:val="single" w:sz="4" w:space="0" w:color="auto"/>
              <w:bottom w:val="single" w:sz="4" w:space="0" w:color="auto"/>
              <w:right w:val="single" w:sz="4" w:space="0" w:color="auto"/>
            </w:tcBorders>
            <w:vAlign w:val="center"/>
          </w:tcPr>
          <w:p w14:paraId="2F9883CB" w14:textId="77777777" w:rsidR="00884FB2" w:rsidRPr="000A773E" w:rsidRDefault="006F276C" w:rsidP="007518E4">
            <w:pPr>
              <w:spacing w:before="0"/>
              <w:jc w:val="center"/>
              <w:rPr>
                <w:rFonts w:ascii="Times New Roman" w:hAnsi="Times New Roman"/>
                <w:sz w:val="20"/>
                <w:szCs w:val="20"/>
              </w:rPr>
            </w:pPr>
            <w:r>
              <w:rPr>
                <w:rFonts w:ascii="Times New Roman" w:hAnsi="Times New Roman"/>
                <w:sz w:val="20"/>
                <w:szCs w:val="20"/>
              </w:rPr>
              <w:t>19.46</w:t>
            </w:r>
            <w:r w:rsidR="00315EB0">
              <w:rPr>
                <w:rFonts w:ascii="Times New Roman" w:hAnsi="Times New Roman"/>
                <w:sz w:val="20"/>
                <w:szCs w:val="20"/>
              </w:rPr>
              <w:t>%</w:t>
            </w:r>
          </w:p>
        </w:tc>
      </w:tr>
    </w:tbl>
    <w:p w14:paraId="1AAED6BE" w14:textId="77777777" w:rsidR="007518E4" w:rsidRPr="00FA07D6" w:rsidRDefault="007518E4" w:rsidP="007518E4">
      <w:pPr>
        <w:autoSpaceDE w:val="0"/>
        <w:autoSpaceDN w:val="0"/>
        <w:adjustRightInd w:val="0"/>
        <w:spacing w:before="0"/>
        <w:jc w:val="center"/>
        <w:rPr>
          <w:color w:val="000000"/>
          <w:lang w:val="en-ZW" w:eastAsia="en-ZW"/>
        </w:rPr>
      </w:pPr>
      <w:r w:rsidRPr="00FA07D6">
        <w:rPr>
          <w:rFonts w:ascii="Times New Roman" w:hAnsi="Times New Roman"/>
          <w:sz w:val="20"/>
          <w:szCs w:val="20"/>
        </w:rPr>
        <w:t>Source: MoF Published Official Gazette and Fiscal Policy Department data</w:t>
      </w:r>
    </w:p>
    <w:p w14:paraId="40710972" w14:textId="77BB99CA" w:rsidR="007518E4" w:rsidRPr="00E5275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color w:val="000000"/>
          <w:sz w:val="24"/>
          <w:lang w:val="en-ZW" w:eastAsia="en-ZW"/>
        </w:rPr>
      </w:pPr>
      <w:r w:rsidRPr="00FA07D6">
        <w:rPr>
          <w:rFonts w:ascii="Times New Roman" w:hAnsi="Times New Roman"/>
          <w:b/>
          <w:sz w:val="24"/>
        </w:rPr>
        <w:t>At 20.7%</w:t>
      </w:r>
      <w:r w:rsidR="00315EB0">
        <w:rPr>
          <w:rFonts w:ascii="Times New Roman" w:hAnsi="Times New Roman"/>
          <w:b/>
          <w:sz w:val="24"/>
        </w:rPr>
        <w:t xml:space="preserve">, </w:t>
      </w:r>
      <w:r w:rsidRPr="00FA07D6">
        <w:rPr>
          <w:rFonts w:ascii="Times New Roman" w:hAnsi="Times New Roman"/>
          <w:b/>
          <w:sz w:val="24"/>
        </w:rPr>
        <w:t>26.3%</w:t>
      </w:r>
      <w:r w:rsidR="00315EB0">
        <w:rPr>
          <w:rFonts w:ascii="Times New Roman" w:hAnsi="Times New Roman"/>
          <w:b/>
          <w:sz w:val="24"/>
        </w:rPr>
        <w:t xml:space="preserve"> and </w:t>
      </w:r>
      <w:r w:rsidR="006F276C">
        <w:rPr>
          <w:rFonts w:ascii="Times New Roman" w:hAnsi="Times New Roman"/>
          <w:b/>
          <w:sz w:val="24"/>
        </w:rPr>
        <w:t>19.46</w:t>
      </w:r>
      <w:r w:rsidR="00315EB0">
        <w:rPr>
          <w:rFonts w:ascii="Times New Roman" w:hAnsi="Times New Roman"/>
          <w:b/>
          <w:sz w:val="24"/>
        </w:rPr>
        <w:t>%</w:t>
      </w:r>
      <w:r w:rsidRPr="00FA07D6">
        <w:rPr>
          <w:rFonts w:ascii="Times New Roman" w:hAnsi="Times New Roman"/>
          <w:b/>
          <w:sz w:val="24"/>
        </w:rPr>
        <w:t xml:space="preserve"> in 2014/2015, 2015/2016 </w:t>
      </w:r>
      <w:r w:rsidR="00315EB0">
        <w:rPr>
          <w:rFonts w:ascii="Times New Roman" w:hAnsi="Times New Roman"/>
          <w:b/>
          <w:sz w:val="24"/>
        </w:rPr>
        <w:t>and 2017</w:t>
      </w:r>
      <w:r w:rsidR="006F276C">
        <w:rPr>
          <w:rFonts w:ascii="Times New Roman" w:hAnsi="Times New Roman"/>
          <w:b/>
          <w:sz w:val="24"/>
        </w:rPr>
        <w:t xml:space="preserve"> </w:t>
      </w:r>
      <w:r w:rsidRPr="00FA07D6">
        <w:rPr>
          <w:rFonts w:ascii="Times New Roman" w:hAnsi="Times New Roman"/>
          <w:b/>
          <w:sz w:val="24"/>
        </w:rPr>
        <w:t>respectively, revenue composition variance was above 15% in the last three completed fiscal years</w:t>
      </w:r>
      <w:r w:rsidR="00315EB0">
        <w:rPr>
          <w:rFonts w:ascii="Times New Roman" w:hAnsi="Times New Roman"/>
          <w:sz w:val="24"/>
        </w:rPr>
        <w:t>, s</w:t>
      </w:r>
      <w:r w:rsidR="00310D44" w:rsidRPr="00310D44">
        <w:rPr>
          <w:rFonts w:ascii="Times New Roman" w:hAnsi="Times New Roman"/>
          <w:b/>
          <w:sz w:val="24"/>
        </w:rPr>
        <w:t xml:space="preserve">core </w:t>
      </w:r>
      <w:r w:rsidR="00315EB0">
        <w:rPr>
          <w:rFonts w:ascii="Times New Roman" w:hAnsi="Times New Roman"/>
          <w:b/>
          <w:sz w:val="24"/>
        </w:rPr>
        <w:t xml:space="preserve">is a </w:t>
      </w:r>
      <w:r w:rsidR="00310D44" w:rsidRPr="00310D44">
        <w:rPr>
          <w:rFonts w:ascii="Times New Roman" w:hAnsi="Times New Roman"/>
          <w:b/>
          <w:sz w:val="24"/>
        </w:rPr>
        <w:t>D.</w:t>
      </w:r>
    </w:p>
    <w:p w14:paraId="4B842CC3" w14:textId="77777777" w:rsidR="007518E4" w:rsidRPr="00E52754" w:rsidRDefault="007518E4" w:rsidP="007518E4">
      <w:pPr>
        <w:ind w:left="357"/>
        <w:jc w:val="left"/>
        <w:rPr>
          <w:rFonts w:ascii="Times New Roman" w:hAnsi="Times New Roman"/>
          <w:sz w:val="24"/>
        </w:rPr>
      </w:pPr>
      <w:r>
        <w:rPr>
          <w:rFonts w:ascii="Times New Roman" w:hAnsi="Times New Roman"/>
          <w:b/>
          <w:color w:val="559AB3"/>
          <w:sz w:val="24"/>
        </w:rPr>
        <w:br w:type="page"/>
      </w:r>
    </w:p>
    <w:p w14:paraId="28B60038" w14:textId="77777777" w:rsidR="007518E4" w:rsidRPr="0079576F" w:rsidRDefault="007518E4" w:rsidP="00200DE4">
      <w:pPr>
        <w:pStyle w:val="Heading1"/>
        <w:ind w:left="0"/>
        <w:jc w:val="both"/>
        <w:rPr>
          <w:rFonts w:ascii="Times New Roman" w:hAnsi="Times New Roman"/>
        </w:rPr>
      </w:pPr>
      <w:bookmarkStart w:id="39" w:name="_Toc518901785"/>
      <w:bookmarkStart w:id="40" w:name="_Toc4148980"/>
      <w:r w:rsidRPr="00200DE4">
        <w:rPr>
          <w:rFonts w:ascii="Times New Roman" w:hAnsi="Times New Roman"/>
          <w:b/>
        </w:rPr>
        <w:lastRenderedPageBreak/>
        <w:t>PILLAR TWO: Transparency of Public Finance</w:t>
      </w:r>
      <w:r w:rsidRPr="0079576F">
        <w:rPr>
          <w:rFonts w:ascii="Times New Roman" w:hAnsi="Times New Roman"/>
        </w:rPr>
        <w:t>s</w:t>
      </w:r>
      <w:bookmarkEnd w:id="39"/>
      <w:bookmarkEnd w:id="40"/>
    </w:p>
    <w:p w14:paraId="693333D7" w14:textId="77777777" w:rsidR="007518E4" w:rsidRPr="0026294A"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
          <w:i/>
          <w:color w:val="002060"/>
          <w:sz w:val="24"/>
        </w:rPr>
      </w:pPr>
      <w:r w:rsidRPr="0079576F">
        <w:rPr>
          <w:rFonts w:ascii="Times New Roman" w:hAnsi="Times New Roman"/>
          <w:b/>
          <w:sz w:val="24"/>
        </w:rPr>
        <w:t>This indicator evaluates whether the classification of the Public Budget and reports state budget and the reports are in line with internationally recognized standards</w:t>
      </w:r>
      <w:r w:rsidRPr="0026294A">
        <w:rPr>
          <w:rFonts w:ascii="Times New Roman" w:hAnsi="Times New Roman"/>
          <w:sz w:val="24"/>
        </w:rPr>
        <w:t xml:space="preserve">. </w:t>
      </w:r>
      <w:proofErr w:type="gramStart"/>
      <w:r w:rsidRPr="0026294A">
        <w:rPr>
          <w:rFonts w:ascii="Times New Roman" w:hAnsi="Times New Roman"/>
          <w:sz w:val="24"/>
        </w:rPr>
        <w:t>Time period</w:t>
      </w:r>
      <w:proofErr w:type="gramEnd"/>
      <w:r w:rsidRPr="0026294A">
        <w:rPr>
          <w:rFonts w:ascii="Times New Roman" w:hAnsi="Times New Roman"/>
          <w:sz w:val="24"/>
        </w:rPr>
        <w:t xml:space="preserve"> is at time of assessment. The coverage is Budgetary Central Government.</w:t>
      </w:r>
    </w:p>
    <w:p w14:paraId="6C58B497" w14:textId="77777777" w:rsidR="007518E4" w:rsidRPr="008D65E9" w:rsidRDefault="007518E4" w:rsidP="0079576F">
      <w:pPr>
        <w:pStyle w:val="Heading3"/>
        <w:spacing w:after="240"/>
        <w:ind w:left="0"/>
        <w:rPr>
          <w:rFonts w:ascii="Times New Roman" w:eastAsia="Calibri" w:hAnsi="Times New Roman"/>
          <w:b w:val="0"/>
          <w:bCs w:val="0"/>
          <w:color w:val="28C0DA"/>
          <w:spacing w:val="-1"/>
          <w:szCs w:val="28"/>
        </w:rPr>
      </w:pPr>
      <w:bookmarkStart w:id="41" w:name="_Toc518901786"/>
      <w:bookmarkStart w:id="42" w:name="_Toc4148981"/>
      <w:r w:rsidRPr="008D65E9">
        <w:rPr>
          <w:rFonts w:ascii="Times New Roman" w:eastAsia="Calibri" w:hAnsi="Times New Roman"/>
          <w:color w:val="28C0DA"/>
          <w:spacing w:val="-1"/>
          <w:szCs w:val="28"/>
        </w:rPr>
        <w:t xml:space="preserve">PI-4. Budget </w:t>
      </w:r>
      <w:r>
        <w:rPr>
          <w:rFonts w:ascii="Times New Roman" w:eastAsia="Calibri" w:hAnsi="Times New Roman"/>
          <w:color w:val="28C0DA"/>
          <w:spacing w:val="-1"/>
          <w:szCs w:val="28"/>
        </w:rPr>
        <w:t>c</w:t>
      </w:r>
      <w:r w:rsidRPr="008D65E9">
        <w:rPr>
          <w:rFonts w:ascii="Times New Roman" w:eastAsia="Calibri" w:hAnsi="Times New Roman"/>
          <w:color w:val="28C0DA"/>
          <w:spacing w:val="-1"/>
          <w:szCs w:val="28"/>
        </w:rPr>
        <w:t>lassification</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1441"/>
        <w:gridCol w:w="4847"/>
      </w:tblGrid>
      <w:tr w:rsidR="007518E4" w:rsidRPr="00930334" w14:paraId="7D8F6351" w14:textId="77777777" w:rsidTr="007518E4">
        <w:trPr>
          <w:trHeight w:val="397"/>
        </w:trPr>
        <w:tc>
          <w:tcPr>
            <w:tcW w:w="1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14FDDE" w14:textId="77777777" w:rsidR="007518E4" w:rsidRPr="00C44BC8" w:rsidRDefault="007518E4" w:rsidP="0079576F">
            <w:pPr>
              <w:spacing w:before="60" w:after="60" w:line="276" w:lineRule="auto"/>
              <w:ind w:left="0"/>
              <w:jc w:val="center"/>
              <w:rPr>
                <w:rFonts w:ascii="Times New Roman" w:hAnsi="Times New Roman"/>
                <w:sz w:val="20"/>
                <w:szCs w:val="20"/>
              </w:rPr>
            </w:pPr>
            <w:r w:rsidRPr="00C44BC8">
              <w:rPr>
                <w:rFonts w:ascii="Times New Roman" w:hAnsi="Times New Roman"/>
                <w:sz w:val="20"/>
                <w:szCs w:val="20"/>
              </w:rPr>
              <w:t>Indicator/Dimension</w:t>
            </w:r>
          </w:p>
        </w:tc>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5BEE9D" w14:textId="77777777" w:rsidR="007518E4" w:rsidRPr="00C44BC8" w:rsidRDefault="007518E4" w:rsidP="0079576F">
            <w:pPr>
              <w:spacing w:before="60" w:after="60" w:line="276" w:lineRule="auto"/>
              <w:ind w:left="0"/>
              <w:jc w:val="center"/>
              <w:rPr>
                <w:rFonts w:ascii="Times New Roman" w:hAnsi="Times New Roman"/>
                <w:sz w:val="20"/>
                <w:szCs w:val="20"/>
              </w:rPr>
            </w:pPr>
            <w:r w:rsidRPr="00C44BC8">
              <w:rPr>
                <w:rFonts w:ascii="Times New Roman" w:hAnsi="Times New Roman"/>
                <w:sz w:val="20"/>
                <w:szCs w:val="20"/>
              </w:rPr>
              <w:t>Score</w:t>
            </w:r>
          </w:p>
        </w:tc>
        <w:tc>
          <w:tcPr>
            <w:tcW w:w="26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DDC304" w14:textId="77777777" w:rsidR="007518E4" w:rsidRPr="00C44BC8" w:rsidRDefault="007518E4" w:rsidP="0079576F">
            <w:pPr>
              <w:spacing w:before="60" w:after="60" w:line="276" w:lineRule="auto"/>
              <w:ind w:left="0"/>
              <w:jc w:val="center"/>
              <w:rPr>
                <w:rFonts w:ascii="Times New Roman" w:hAnsi="Times New Roman"/>
                <w:sz w:val="20"/>
                <w:szCs w:val="20"/>
              </w:rPr>
            </w:pPr>
            <w:r w:rsidRPr="00C44BC8">
              <w:rPr>
                <w:rFonts w:ascii="Times New Roman" w:hAnsi="Times New Roman"/>
                <w:sz w:val="20"/>
                <w:szCs w:val="20"/>
              </w:rPr>
              <w:t>Brief Explanation</w:t>
            </w:r>
          </w:p>
        </w:tc>
      </w:tr>
      <w:tr w:rsidR="007518E4" w:rsidRPr="00930334" w14:paraId="65ED2BB6" w14:textId="77777777" w:rsidTr="007518E4">
        <w:trPr>
          <w:trHeight w:val="854"/>
        </w:trPr>
        <w:tc>
          <w:tcPr>
            <w:tcW w:w="1513" w:type="pct"/>
            <w:tcBorders>
              <w:top w:val="single" w:sz="4" w:space="0" w:color="auto"/>
              <w:left w:val="single" w:sz="4" w:space="0" w:color="auto"/>
              <w:bottom w:val="single" w:sz="4" w:space="0" w:color="auto"/>
              <w:right w:val="single" w:sz="4" w:space="0" w:color="auto"/>
            </w:tcBorders>
            <w:vAlign w:val="center"/>
            <w:hideMark/>
          </w:tcPr>
          <w:p w14:paraId="00E205BA" w14:textId="77777777" w:rsidR="007518E4" w:rsidRPr="00C44BC8" w:rsidRDefault="007518E4" w:rsidP="0079576F">
            <w:pPr>
              <w:spacing w:before="60" w:after="60" w:line="276" w:lineRule="auto"/>
              <w:ind w:left="0"/>
              <w:rPr>
                <w:rFonts w:ascii="Times New Roman" w:hAnsi="Times New Roman"/>
                <w:sz w:val="20"/>
                <w:szCs w:val="20"/>
              </w:rPr>
            </w:pPr>
            <w:r w:rsidRPr="00C44BC8">
              <w:rPr>
                <w:rFonts w:ascii="Times New Roman" w:hAnsi="Times New Roman"/>
                <w:sz w:val="20"/>
                <w:szCs w:val="20"/>
              </w:rPr>
              <w:t>PI-4 Budget classification</w:t>
            </w:r>
          </w:p>
        </w:tc>
        <w:tc>
          <w:tcPr>
            <w:tcW w:w="799" w:type="pct"/>
            <w:tcBorders>
              <w:top w:val="single" w:sz="4" w:space="0" w:color="auto"/>
              <w:left w:val="single" w:sz="4" w:space="0" w:color="auto"/>
              <w:bottom w:val="single" w:sz="4" w:space="0" w:color="auto"/>
              <w:right w:val="single" w:sz="4" w:space="0" w:color="auto"/>
            </w:tcBorders>
            <w:vAlign w:val="center"/>
            <w:hideMark/>
          </w:tcPr>
          <w:p w14:paraId="7A02683D" w14:textId="77777777" w:rsidR="007518E4" w:rsidRPr="00C44BC8" w:rsidRDefault="007518E4" w:rsidP="0079576F">
            <w:pPr>
              <w:spacing w:before="60" w:after="60" w:line="276" w:lineRule="auto"/>
              <w:ind w:left="0"/>
              <w:jc w:val="center"/>
              <w:rPr>
                <w:rFonts w:ascii="Times New Roman" w:hAnsi="Times New Roman"/>
                <w:sz w:val="20"/>
                <w:szCs w:val="20"/>
              </w:rPr>
            </w:pPr>
            <w:r w:rsidRPr="00C44BC8">
              <w:rPr>
                <w:rFonts w:ascii="Times New Roman" w:hAnsi="Times New Roman"/>
                <w:sz w:val="20"/>
                <w:szCs w:val="20"/>
              </w:rPr>
              <w:t>C</w:t>
            </w:r>
          </w:p>
        </w:tc>
        <w:tc>
          <w:tcPr>
            <w:tcW w:w="2688" w:type="pct"/>
            <w:tcBorders>
              <w:top w:val="single" w:sz="4" w:space="0" w:color="auto"/>
              <w:left w:val="single" w:sz="4" w:space="0" w:color="auto"/>
              <w:bottom w:val="single" w:sz="4" w:space="0" w:color="auto"/>
              <w:right w:val="single" w:sz="4" w:space="0" w:color="auto"/>
            </w:tcBorders>
            <w:vAlign w:val="center"/>
            <w:hideMark/>
          </w:tcPr>
          <w:p w14:paraId="4965EACA" w14:textId="77777777" w:rsidR="007518E4" w:rsidRPr="00C44BC8" w:rsidRDefault="007518E4" w:rsidP="0079576F">
            <w:pPr>
              <w:spacing w:before="0"/>
              <w:ind w:left="0"/>
              <w:rPr>
                <w:rFonts w:ascii="Times New Roman" w:hAnsi="Times New Roman"/>
                <w:bCs/>
                <w:sz w:val="20"/>
                <w:szCs w:val="20"/>
              </w:rPr>
            </w:pPr>
            <w:bookmarkStart w:id="43" w:name="_Hlk499289087"/>
            <w:r w:rsidRPr="00C44BC8">
              <w:rPr>
                <w:rFonts w:ascii="Times New Roman" w:hAnsi="Times New Roman"/>
                <w:sz w:val="20"/>
                <w:szCs w:val="20"/>
              </w:rPr>
              <w:t>Since 2016, the budget classification is based on administrative, economic classification that is GFS compatible. It produces documentation consistent with the GFS standard at 2-digit level.   These classifications are also embedded in the chart of account</w:t>
            </w:r>
            <w:bookmarkEnd w:id="43"/>
            <w:r w:rsidRPr="00C44BC8">
              <w:rPr>
                <w:rFonts w:ascii="Times New Roman" w:hAnsi="Times New Roman"/>
                <w:sz w:val="20"/>
                <w:szCs w:val="20"/>
              </w:rPr>
              <w:t>s and can produce a broad functional classification, but not COFOG compliant.</w:t>
            </w:r>
          </w:p>
        </w:tc>
      </w:tr>
    </w:tbl>
    <w:p w14:paraId="56B2C746" w14:textId="77777777" w:rsidR="007518E4" w:rsidRPr="00C44BC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GB"/>
        </w:rPr>
      </w:pPr>
      <w:r w:rsidRPr="0079576F">
        <w:rPr>
          <w:rFonts w:ascii="Times New Roman" w:hAnsi="Times New Roman"/>
          <w:b/>
          <w:sz w:val="24"/>
        </w:rPr>
        <w:t>The GFIS budget classification used by the Budget and Treasury departments</w:t>
      </w:r>
      <w:r w:rsidRPr="0079576F">
        <w:rPr>
          <w:rFonts w:ascii="Times New Roman" w:hAnsi="Times New Roman"/>
          <w:b/>
          <w:sz w:val="24"/>
          <w:lang w:val="en-MY"/>
        </w:rPr>
        <w:t xml:space="preserve"> uses a 4-field structure divided into Budget Nomenclature (Economic Classification)/Accounting Codes, Source of Funds, Organizational Structure and Projects. </w:t>
      </w:r>
      <w:r w:rsidRPr="00C44BC8">
        <w:rPr>
          <w:rFonts w:ascii="Times New Roman" w:hAnsi="Times New Roman"/>
          <w:sz w:val="24"/>
          <w:lang w:val="en-MY"/>
        </w:rPr>
        <w:t xml:space="preserve">The budget nomenclature is mapped to the Accounting Codes and GFS 2001 economic classification. </w:t>
      </w:r>
      <w:r>
        <w:rPr>
          <w:rFonts w:ascii="Times New Roman" w:hAnsi="Times New Roman"/>
          <w:sz w:val="24"/>
          <w:lang w:val="en-MY"/>
        </w:rPr>
        <w:t>Since 2010 c</w:t>
      </w:r>
      <w:r w:rsidRPr="00C44BC8">
        <w:rPr>
          <w:rFonts w:ascii="Times New Roman" w:hAnsi="Times New Roman"/>
          <w:sz w:val="24"/>
          <w:lang w:val="en-MY"/>
        </w:rPr>
        <w:t xml:space="preserve">hanges have been made </w:t>
      </w:r>
      <w:r>
        <w:rPr>
          <w:rFonts w:ascii="Times New Roman" w:hAnsi="Times New Roman"/>
          <w:sz w:val="24"/>
          <w:lang w:val="en-MY"/>
        </w:rPr>
        <w:t>t</w:t>
      </w:r>
      <w:r w:rsidRPr="00C44BC8">
        <w:rPr>
          <w:rFonts w:ascii="Times New Roman" w:hAnsi="Times New Roman"/>
          <w:sz w:val="24"/>
          <w:lang w:val="en-MY"/>
        </w:rPr>
        <w:t xml:space="preserve">o synchronize the economic classification segment in the existing COA used for accounting purposes with that used for budgeting. With the </w:t>
      </w:r>
      <w:r w:rsidRPr="00C44BC8">
        <w:rPr>
          <w:rFonts w:ascii="Times New Roman" w:hAnsi="Times New Roman"/>
          <w:sz w:val="24"/>
          <w:lang w:val="en-GB"/>
        </w:rPr>
        <w:t xml:space="preserve">harmonisation of the budget nomenclature and accounting codes, mapping tables between the two sets of codes is no longer required in </w:t>
      </w:r>
      <w:r w:rsidR="0079576F">
        <w:rPr>
          <w:rFonts w:ascii="Times New Roman" w:hAnsi="Times New Roman"/>
          <w:sz w:val="24"/>
          <w:lang w:val="en-GB"/>
        </w:rPr>
        <w:t>Government Financial Information System (</w:t>
      </w:r>
      <w:r w:rsidRPr="00C44BC8">
        <w:rPr>
          <w:rFonts w:ascii="Times New Roman" w:hAnsi="Times New Roman"/>
          <w:sz w:val="24"/>
          <w:lang w:val="en-GB"/>
        </w:rPr>
        <w:t>GFIS</w:t>
      </w:r>
      <w:r w:rsidR="0079576F">
        <w:rPr>
          <w:rFonts w:ascii="Times New Roman" w:hAnsi="Times New Roman"/>
          <w:sz w:val="24"/>
          <w:lang w:val="en-GB"/>
        </w:rPr>
        <w:t xml:space="preserve">) </w:t>
      </w:r>
      <w:r w:rsidRPr="00C44BC8">
        <w:rPr>
          <w:rFonts w:ascii="Times New Roman" w:hAnsi="Times New Roman"/>
          <w:sz w:val="24"/>
          <w:lang w:val="en-GB"/>
        </w:rPr>
        <w:t>for economic and administrative classificat</w:t>
      </w:r>
      <w:r w:rsidR="0079576F">
        <w:rPr>
          <w:rFonts w:ascii="Times New Roman" w:hAnsi="Times New Roman"/>
          <w:sz w:val="24"/>
          <w:lang w:val="en-GB"/>
        </w:rPr>
        <w:t>ion</w:t>
      </w:r>
      <w:r w:rsidRPr="00C44BC8">
        <w:rPr>
          <w:rFonts w:ascii="Times New Roman" w:hAnsi="Times New Roman"/>
          <w:sz w:val="24"/>
          <w:lang w:val="en-GB"/>
        </w:rPr>
        <w:t>.</w:t>
      </w:r>
    </w:p>
    <w:p w14:paraId="2393A053" w14:textId="77777777" w:rsidR="007518E4" w:rsidRPr="0079576F"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79576F">
        <w:rPr>
          <w:rFonts w:ascii="Times New Roman" w:hAnsi="Times New Roman"/>
          <w:b/>
          <w:sz w:val="24"/>
        </w:rPr>
        <w:t>The existing GFIS coding structure does not fully meet the requirements for recording budgets appropriations, processing transactions for secondary-tier budget units</w:t>
      </w:r>
      <w:r w:rsidR="0079576F">
        <w:rPr>
          <w:rFonts w:ascii="Times New Roman" w:hAnsi="Times New Roman"/>
          <w:b/>
          <w:sz w:val="24"/>
        </w:rPr>
        <w:t xml:space="preserve">. </w:t>
      </w:r>
      <w:r w:rsidR="0079576F" w:rsidRPr="0079576F">
        <w:rPr>
          <w:rFonts w:ascii="Times New Roman" w:hAnsi="Times New Roman"/>
          <w:sz w:val="24"/>
        </w:rPr>
        <w:t>It does not ensure</w:t>
      </w:r>
      <w:r w:rsidRPr="0079576F">
        <w:rPr>
          <w:rFonts w:ascii="Times New Roman" w:hAnsi="Times New Roman"/>
          <w:sz w:val="24"/>
        </w:rPr>
        <w:t xml:space="preserve"> the segregation of accounting records of provinces and districts.</w:t>
      </w:r>
    </w:p>
    <w:p w14:paraId="717A4619" w14:textId="77777777" w:rsidR="007518E4" w:rsidRPr="00C44BC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79576F">
        <w:rPr>
          <w:rFonts w:ascii="Times New Roman" w:hAnsi="Times New Roman"/>
          <w:b/>
          <w:sz w:val="24"/>
          <w:lang w:val="en-MY"/>
        </w:rPr>
        <w:t>A separate function code segment is not available at present</w:t>
      </w:r>
      <w:r w:rsidR="0079576F">
        <w:rPr>
          <w:rFonts w:ascii="Times New Roman" w:hAnsi="Times New Roman"/>
          <w:b/>
          <w:sz w:val="24"/>
          <w:lang w:val="en-MY"/>
        </w:rPr>
        <w:t xml:space="preserve">. </w:t>
      </w:r>
      <w:r w:rsidR="0079576F" w:rsidRPr="0079576F">
        <w:rPr>
          <w:rFonts w:ascii="Times New Roman" w:hAnsi="Times New Roman"/>
          <w:sz w:val="24"/>
          <w:lang w:val="en-MY"/>
        </w:rPr>
        <w:t>T</w:t>
      </w:r>
      <w:r w:rsidRPr="00C44BC8">
        <w:rPr>
          <w:rFonts w:ascii="Times New Roman" w:hAnsi="Times New Roman"/>
          <w:sz w:val="24"/>
        </w:rPr>
        <w:t xml:space="preserve">he budget classification and chart of accounts do not provide for </w:t>
      </w:r>
      <w:r>
        <w:rPr>
          <w:rFonts w:ascii="Times New Roman" w:hAnsi="Times New Roman"/>
          <w:sz w:val="24"/>
        </w:rPr>
        <w:t xml:space="preserve">a </w:t>
      </w:r>
      <w:r w:rsidRPr="00C44BC8">
        <w:rPr>
          <w:rFonts w:ascii="Times New Roman" w:hAnsi="Times New Roman"/>
          <w:sz w:val="24"/>
        </w:rPr>
        <w:t>functional classification. Functional reporting</w:t>
      </w:r>
      <w:r>
        <w:rPr>
          <w:rFonts w:ascii="Times New Roman" w:hAnsi="Times New Roman"/>
          <w:sz w:val="24"/>
        </w:rPr>
        <w:t>, however,</w:t>
      </w:r>
      <w:r w:rsidRPr="00C44BC8">
        <w:rPr>
          <w:rFonts w:ascii="Times New Roman" w:hAnsi="Times New Roman"/>
          <w:sz w:val="24"/>
        </w:rPr>
        <w:t xml:space="preserve"> can be done through bridging tables </w:t>
      </w:r>
      <w:r w:rsidRPr="00C44BC8">
        <w:rPr>
          <w:rFonts w:ascii="Times New Roman" w:hAnsi="Times New Roman"/>
          <w:sz w:val="24"/>
          <w:lang w:val="en-MY"/>
        </w:rPr>
        <w:t xml:space="preserve">that group organizational units by function </w:t>
      </w:r>
      <w:r>
        <w:rPr>
          <w:rFonts w:ascii="Times New Roman" w:hAnsi="Times New Roman"/>
          <w:sz w:val="24"/>
        </w:rPr>
        <w:t>to</w:t>
      </w:r>
      <w:r w:rsidRPr="00C44BC8">
        <w:rPr>
          <w:rFonts w:ascii="Times New Roman" w:hAnsi="Times New Roman"/>
          <w:sz w:val="24"/>
          <w:lang w:val="en-MY"/>
        </w:rPr>
        <w:t xml:space="preserve"> provide a broad sectoral/functional presentation compliant with </w:t>
      </w:r>
      <w:r>
        <w:rPr>
          <w:rFonts w:ascii="Times New Roman" w:hAnsi="Times New Roman"/>
          <w:sz w:val="24"/>
          <w:lang w:val="en-MY"/>
        </w:rPr>
        <w:t xml:space="preserve">the </w:t>
      </w:r>
      <w:r w:rsidRPr="00C44BC8">
        <w:rPr>
          <w:rFonts w:ascii="Times New Roman" w:hAnsi="Times New Roman"/>
          <w:sz w:val="24"/>
          <w:lang w:val="en-MY"/>
        </w:rPr>
        <w:t xml:space="preserve">GFS functional classification. </w:t>
      </w:r>
      <w:r w:rsidRPr="00C44BC8">
        <w:rPr>
          <w:rFonts w:ascii="Times New Roman" w:hAnsi="Times New Roman"/>
          <w:bCs/>
          <w:sz w:val="24"/>
        </w:rPr>
        <w:t xml:space="preserve">The level of disaggregation of the budget published in the Official Gazette also enables a quasi-functional presentation of the budget for the main sectors, </w:t>
      </w:r>
      <w:r w:rsidRPr="00C44BC8">
        <w:rPr>
          <w:rFonts w:ascii="Times New Roman" w:hAnsi="Times New Roman"/>
          <w:sz w:val="24"/>
        </w:rPr>
        <w:t xml:space="preserve">includes provinces and is used </w:t>
      </w:r>
      <w:r>
        <w:rPr>
          <w:rFonts w:ascii="Times New Roman" w:hAnsi="Times New Roman"/>
          <w:sz w:val="24"/>
        </w:rPr>
        <w:t>for planning and reporting of the</w:t>
      </w:r>
      <w:r w:rsidRPr="00C44BC8">
        <w:rPr>
          <w:rFonts w:ascii="Times New Roman" w:hAnsi="Times New Roman"/>
          <w:sz w:val="24"/>
        </w:rPr>
        <w:t xml:space="preserve"> budget</w:t>
      </w:r>
      <w:r w:rsidRPr="00C44BC8">
        <w:rPr>
          <w:rFonts w:ascii="Times New Roman" w:hAnsi="Times New Roman"/>
          <w:b/>
          <w:bCs/>
          <w:sz w:val="24"/>
        </w:rPr>
        <w:t xml:space="preserve">. </w:t>
      </w:r>
      <w:r w:rsidRPr="00C44BC8">
        <w:rPr>
          <w:rFonts w:ascii="Times New Roman" w:hAnsi="Times New Roman"/>
          <w:bCs/>
          <w:sz w:val="24"/>
        </w:rPr>
        <w:t>However, it</w:t>
      </w:r>
      <w:r>
        <w:rPr>
          <w:rFonts w:ascii="Times New Roman" w:hAnsi="Times New Roman"/>
          <w:bCs/>
          <w:sz w:val="24"/>
        </w:rPr>
        <w:t xml:space="preserve"> is not compliant with </w:t>
      </w:r>
      <w:r w:rsidRPr="00C44BC8">
        <w:rPr>
          <w:rFonts w:ascii="Times New Roman" w:hAnsi="Times New Roman"/>
          <w:bCs/>
          <w:sz w:val="24"/>
        </w:rPr>
        <w:t>COFOG standards (</w:t>
      </w:r>
      <w:r>
        <w:rPr>
          <w:rFonts w:ascii="Times New Roman" w:hAnsi="Times New Roman"/>
          <w:bCs/>
          <w:sz w:val="24"/>
        </w:rPr>
        <w:t xml:space="preserve">and </w:t>
      </w:r>
      <w:r w:rsidRPr="00C44BC8">
        <w:rPr>
          <w:rFonts w:ascii="Times New Roman" w:hAnsi="Times New Roman"/>
          <w:bCs/>
          <w:sz w:val="24"/>
        </w:rPr>
        <w:t>not even the ten main functions).</w:t>
      </w:r>
      <w:r>
        <w:rPr>
          <w:rFonts w:ascii="Times New Roman" w:hAnsi="Times New Roman"/>
          <w:bCs/>
          <w:sz w:val="24"/>
        </w:rPr>
        <w:t xml:space="preserve"> </w:t>
      </w:r>
      <w:r w:rsidRPr="00C44BC8">
        <w:rPr>
          <w:rFonts w:ascii="Times New Roman" w:hAnsi="Times New Roman"/>
          <w:sz w:val="24"/>
        </w:rPr>
        <w:t xml:space="preserve">Detailed functional classification </w:t>
      </w:r>
      <w:r w:rsidRPr="00C44BC8">
        <w:rPr>
          <w:rFonts w:ascii="Times New Roman" w:hAnsi="Times New Roman"/>
          <w:sz w:val="24"/>
          <w:lang w:val="en-MY"/>
        </w:rPr>
        <w:t xml:space="preserve">GFIS contains other mapping tables that link different elements of the chart to produce reports for management purposes such as by sector, location and source of funds (mainly for donor funded projects and loans). </w:t>
      </w:r>
      <w:r w:rsidRPr="00C44BC8">
        <w:rPr>
          <w:rFonts w:ascii="Times New Roman" w:hAnsi="Times New Roman"/>
          <w:sz w:val="24"/>
        </w:rPr>
        <w:t>There is no program/subprogram classification by ministries.</w:t>
      </w:r>
    </w:p>
    <w:p w14:paraId="7AE024E4" w14:textId="77777777" w:rsidR="007518E4" w:rsidRPr="00C44BC8" w:rsidRDefault="007518E4" w:rsidP="007518E4">
      <w:pPr>
        <w:pStyle w:val="ListParagraph"/>
        <w:ind w:left="0"/>
        <w:contextualSpacing w:val="0"/>
        <w:rPr>
          <w:rFonts w:ascii="Times New Roman" w:hAnsi="Times New Roman"/>
          <w:sz w:val="24"/>
          <w:lang w:val="en-MY"/>
        </w:rPr>
      </w:pPr>
    </w:p>
    <w:p w14:paraId="03F429C1" w14:textId="77777777" w:rsidR="007518E4" w:rsidRDefault="007518E4" w:rsidP="007518E4">
      <w:pPr>
        <w:pStyle w:val="ListParagraph"/>
        <w:ind w:left="568"/>
        <w:rPr>
          <w:rFonts w:ascii="Times New Roman" w:hAnsi="Times New Roman"/>
          <w:sz w:val="24"/>
          <w:lang w:val="en-MY"/>
        </w:rPr>
      </w:pPr>
      <w:r w:rsidRPr="00C44BC8">
        <w:rPr>
          <w:rFonts w:ascii="Times New Roman" w:hAnsi="Times New Roman"/>
          <w:noProof/>
          <w:sz w:val="24"/>
          <w:lang w:val="en-GB" w:eastAsia="en-GB"/>
        </w:rPr>
        <w:lastRenderedPageBreak/>
        <w:drawing>
          <wp:inline distT="0" distB="0" distL="0" distR="0" wp14:anchorId="72CF9925" wp14:editId="213325F7">
            <wp:extent cx="4473421" cy="2620010"/>
            <wp:effectExtent l="0" t="0" r="3810" b="889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5" cstate="print"/>
                    <a:stretch>
                      <a:fillRect/>
                    </a:stretch>
                  </pic:blipFill>
                  <pic:spPr>
                    <a:xfrm>
                      <a:off x="0" y="0"/>
                      <a:ext cx="4479930" cy="2623822"/>
                    </a:xfrm>
                    <a:prstGeom prst="rect">
                      <a:avLst/>
                    </a:prstGeom>
                  </pic:spPr>
                </pic:pic>
              </a:graphicData>
            </a:graphic>
          </wp:inline>
        </w:drawing>
      </w:r>
    </w:p>
    <w:p w14:paraId="48F28C62" w14:textId="77777777" w:rsidR="007518E4" w:rsidRPr="00C44BC8" w:rsidRDefault="007518E4" w:rsidP="007518E4">
      <w:pPr>
        <w:pStyle w:val="ListParagraph"/>
        <w:spacing w:before="0"/>
        <w:ind w:left="567"/>
        <w:contextualSpacing w:val="0"/>
        <w:rPr>
          <w:rFonts w:ascii="Times New Roman" w:hAnsi="Times New Roman"/>
          <w:sz w:val="24"/>
          <w:lang w:val="en-MY"/>
        </w:rPr>
      </w:pPr>
      <w:r w:rsidRPr="00C44BC8">
        <w:rPr>
          <w:rFonts w:ascii="Times New Roman" w:hAnsi="Times New Roman"/>
          <w:sz w:val="24"/>
          <w:lang w:val="en-MY"/>
        </w:rPr>
        <w:t>Source: WB presentation on CoA, 5</w:t>
      </w:r>
      <w:r w:rsidRPr="00C44BC8">
        <w:rPr>
          <w:rFonts w:ascii="Times New Roman" w:hAnsi="Times New Roman"/>
          <w:sz w:val="24"/>
          <w:vertAlign w:val="superscript"/>
          <w:lang w:val="en-MY"/>
        </w:rPr>
        <w:t>th</w:t>
      </w:r>
      <w:r w:rsidRPr="00C44BC8">
        <w:rPr>
          <w:rFonts w:ascii="Times New Roman" w:hAnsi="Times New Roman"/>
          <w:sz w:val="24"/>
          <w:lang w:val="en-MY"/>
        </w:rPr>
        <w:t xml:space="preserve"> September 2018</w:t>
      </w:r>
    </w:p>
    <w:p w14:paraId="1C005914" w14:textId="77777777" w:rsidR="007518E4" w:rsidRPr="00C44BC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79576F">
        <w:rPr>
          <w:rFonts w:ascii="Times New Roman" w:hAnsi="Times New Roman"/>
          <w:b/>
          <w:sz w:val="24"/>
        </w:rPr>
        <w:t>The 2018 government budget was prepared using the two classifications</w:t>
      </w:r>
      <w:r>
        <w:rPr>
          <w:rFonts w:ascii="Times New Roman" w:hAnsi="Times New Roman"/>
          <w:sz w:val="24"/>
        </w:rPr>
        <w:t xml:space="preserve">: </w:t>
      </w:r>
      <w:r w:rsidR="0079576F">
        <w:rPr>
          <w:rFonts w:ascii="Times New Roman" w:hAnsi="Times New Roman"/>
          <w:sz w:val="24"/>
        </w:rPr>
        <w:t xml:space="preserve">One is </w:t>
      </w:r>
      <w:r>
        <w:rPr>
          <w:rFonts w:ascii="Times New Roman" w:hAnsi="Times New Roman"/>
          <w:sz w:val="24"/>
        </w:rPr>
        <w:t xml:space="preserve">an </w:t>
      </w:r>
      <w:r w:rsidRPr="00C44BC8">
        <w:rPr>
          <w:rFonts w:ascii="Times New Roman" w:hAnsi="Times New Roman"/>
          <w:sz w:val="24"/>
        </w:rPr>
        <w:t>administrative</w:t>
      </w:r>
      <w:r>
        <w:rPr>
          <w:rFonts w:ascii="Times New Roman" w:hAnsi="Times New Roman"/>
          <w:sz w:val="24"/>
        </w:rPr>
        <w:t xml:space="preserve"> classification</w:t>
      </w:r>
      <w:r w:rsidRPr="00C44BC8">
        <w:rPr>
          <w:rFonts w:ascii="Times New Roman" w:hAnsi="Times New Roman"/>
          <w:sz w:val="24"/>
        </w:rPr>
        <w:t>, representing spending units at central governmen</w:t>
      </w:r>
      <w:r>
        <w:rPr>
          <w:rFonts w:ascii="Times New Roman" w:hAnsi="Times New Roman"/>
          <w:sz w:val="24"/>
        </w:rPr>
        <w:t>t and provincial levels and a</w:t>
      </w:r>
      <w:r w:rsidR="0079576F">
        <w:rPr>
          <w:rFonts w:ascii="Times New Roman" w:hAnsi="Times New Roman"/>
          <w:sz w:val="24"/>
        </w:rPr>
        <w:t xml:space="preserve"> second covers a</w:t>
      </w:r>
      <w:r>
        <w:rPr>
          <w:rFonts w:ascii="Times New Roman" w:hAnsi="Times New Roman"/>
          <w:sz w:val="24"/>
        </w:rPr>
        <w:t>n econo</w:t>
      </w:r>
      <w:r w:rsidRPr="00C44BC8">
        <w:rPr>
          <w:rFonts w:ascii="Times New Roman" w:hAnsi="Times New Roman"/>
          <w:sz w:val="24"/>
        </w:rPr>
        <w:t xml:space="preserve">mic classification at </w:t>
      </w:r>
      <w:r>
        <w:rPr>
          <w:rFonts w:ascii="Times New Roman" w:hAnsi="Times New Roman"/>
          <w:sz w:val="24"/>
        </w:rPr>
        <w:t xml:space="preserve">an </w:t>
      </w:r>
      <w:r w:rsidRPr="00C44BC8">
        <w:rPr>
          <w:rFonts w:ascii="Times New Roman" w:hAnsi="Times New Roman"/>
          <w:sz w:val="24"/>
        </w:rPr>
        <w:t>aggregate level, produced by the Fiscal Policy and Law Department (FPLD). Detailed administrative classification is used for planning and reporting on budget but the use of “Other” and “Other organizations” in published budget plans</w:t>
      </w:r>
      <w:r>
        <w:rPr>
          <w:rFonts w:ascii="Times New Roman" w:hAnsi="Times New Roman"/>
          <w:sz w:val="24"/>
          <w:lang w:val="en-MY"/>
        </w:rPr>
        <w:t xml:space="preserve"> (as presented in Annex 4</w:t>
      </w:r>
      <w:r w:rsidRPr="00C44BC8">
        <w:rPr>
          <w:rFonts w:ascii="Times New Roman" w:hAnsi="Times New Roman"/>
          <w:sz w:val="24"/>
          <w:lang w:val="en-MY"/>
        </w:rPr>
        <w:t xml:space="preserve">) reduces significantly the comprehensiveness, consistency and comparability of the budget presentation and does not allow for in-depth analysis of the budget priorities and execution.  </w:t>
      </w:r>
      <w:r w:rsidR="00AC401A">
        <w:rPr>
          <w:rFonts w:ascii="Times New Roman" w:hAnsi="Times New Roman"/>
          <w:sz w:val="24"/>
          <w:lang w:val="en-MY"/>
        </w:rPr>
        <w:t xml:space="preserve">The </w:t>
      </w:r>
      <w:r w:rsidR="00315EB0">
        <w:rPr>
          <w:rFonts w:ascii="Times New Roman" w:hAnsi="Times New Roman"/>
          <w:sz w:val="24"/>
          <w:lang w:val="en-MY"/>
        </w:rPr>
        <w:t xml:space="preserve">budget data aggregated under </w:t>
      </w:r>
      <w:r w:rsidR="00AC401A">
        <w:rPr>
          <w:rFonts w:ascii="Times New Roman" w:hAnsi="Times New Roman"/>
          <w:sz w:val="24"/>
          <w:lang w:val="en-MY"/>
        </w:rPr>
        <w:t xml:space="preserve">“Other” </w:t>
      </w:r>
      <w:r w:rsidR="00315EB0">
        <w:rPr>
          <w:rFonts w:ascii="Times New Roman" w:hAnsi="Times New Roman"/>
          <w:sz w:val="24"/>
          <w:lang w:val="en-MY"/>
        </w:rPr>
        <w:t xml:space="preserve">and “Other institutions” distorts the budget data presentation and remains large, </w:t>
      </w:r>
      <w:r w:rsidR="00AC401A">
        <w:rPr>
          <w:rFonts w:ascii="Times New Roman" w:hAnsi="Times New Roman"/>
          <w:sz w:val="24"/>
          <w:lang w:val="en-MY"/>
        </w:rPr>
        <w:t>cover</w:t>
      </w:r>
      <w:r w:rsidR="00315EB0">
        <w:rPr>
          <w:rFonts w:ascii="Times New Roman" w:hAnsi="Times New Roman"/>
          <w:sz w:val="24"/>
          <w:lang w:val="en-MY"/>
        </w:rPr>
        <w:t>ing</w:t>
      </w:r>
      <w:r w:rsidR="00AC401A">
        <w:rPr>
          <w:rFonts w:ascii="Times New Roman" w:hAnsi="Times New Roman"/>
          <w:sz w:val="24"/>
          <w:lang w:val="en-MY"/>
        </w:rPr>
        <w:t xml:space="preserve"> Defence and other Security expenditure</w:t>
      </w:r>
      <w:r w:rsidR="00315EB0">
        <w:rPr>
          <w:rFonts w:ascii="Times New Roman" w:hAnsi="Times New Roman"/>
          <w:sz w:val="24"/>
          <w:lang w:val="en-MY"/>
        </w:rPr>
        <w:t>s</w:t>
      </w:r>
      <w:r w:rsidR="00AC401A">
        <w:rPr>
          <w:rFonts w:ascii="Times New Roman" w:hAnsi="Times New Roman"/>
          <w:sz w:val="24"/>
          <w:lang w:val="en-MY"/>
        </w:rPr>
        <w:t xml:space="preserve"> which </w:t>
      </w:r>
      <w:r w:rsidR="00315EB0">
        <w:rPr>
          <w:rFonts w:ascii="Times New Roman" w:hAnsi="Times New Roman"/>
          <w:sz w:val="24"/>
          <w:lang w:val="en-MY"/>
        </w:rPr>
        <w:t xml:space="preserve">cannot be disclosed </w:t>
      </w:r>
      <w:r w:rsidR="00AC401A">
        <w:rPr>
          <w:rFonts w:ascii="Times New Roman" w:hAnsi="Times New Roman"/>
          <w:sz w:val="24"/>
          <w:lang w:val="en-MY"/>
        </w:rPr>
        <w:t>for confidentiality reasons.</w:t>
      </w:r>
    </w:p>
    <w:p w14:paraId="5466270F" w14:textId="77777777" w:rsidR="007518E4" w:rsidRPr="00C44BC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9576F">
        <w:rPr>
          <w:rFonts w:ascii="Times New Roman" w:hAnsi="Times New Roman"/>
          <w:b/>
          <w:sz w:val="24"/>
        </w:rPr>
        <w:t>Budget preparation uses the same chart of accounts for the formulation, execution, and reporting of the central government’s budget</w:t>
      </w:r>
      <w:r w:rsidR="003274DB">
        <w:rPr>
          <w:rFonts w:ascii="Times New Roman" w:hAnsi="Times New Roman"/>
          <w:sz w:val="24"/>
        </w:rPr>
        <w:t xml:space="preserve">. </w:t>
      </w:r>
      <w:r w:rsidR="0079576F">
        <w:rPr>
          <w:rFonts w:ascii="Times New Roman" w:hAnsi="Times New Roman"/>
          <w:sz w:val="24"/>
        </w:rPr>
        <w:t>B</w:t>
      </w:r>
      <w:r w:rsidRPr="00C44BC8">
        <w:rPr>
          <w:rFonts w:ascii="Times New Roman" w:hAnsi="Times New Roman"/>
          <w:sz w:val="24"/>
        </w:rPr>
        <w:t>udget ceilings provided to the ministries, budget submissions to the National Assembly and government in-year budget reports are presented at an aggregated level of economic classification. Once the budget is approved by the National Assembly, the budgets are broken down and ex</w:t>
      </w:r>
      <w:r w:rsidR="0079576F">
        <w:rPr>
          <w:rFonts w:ascii="Times New Roman" w:hAnsi="Times New Roman"/>
          <w:sz w:val="24"/>
        </w:rPr>
        <w:t>ecuted at ministry and province</w:t>
      </w:r>
      <w:r w:rsidRPr="00C44BC8">
        <w:rPr>
          <w:rFonts w:ascii="Times New Roman" w:hAnsi="Times New Roman"/>
          <w:sz w:val="24"/>
        </w:rPr>
        <w:t xml:space="preserve"> level</w:t>
      </w:r>
      <w:r w:rsidR="0079576F">
        <w:rPr>
          <w:rFonts w:ascii="Times New Roman" w:hAnsi="Times New Roman"/>
          <w:sz w:val="24"/>
        </w:rPr>
        <w:t>s</w:t>
      </w:r>
      <w:r w:rsidRPr="00C44BC8">
        <w:rPr>
          <w:rFonts w:ascii="Times New Roman" w:hAnsi="Times New Roman"/>
          <w:sz w:val="24"/>
        </w:rPr>
        <w:t>.</w:t>
      </w:r>
    </w:p>
    <w:p w14:paraId="6DF55FA2" w14:textId="77777777" w:rsidR="007518E4" w:rsidRPr="00C44BC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9576F">
        <w:rPr>
          <w:rFonts w:ascii="Times New Roman" w:hAnsi="Times New Roman"/>
          <w:b/>
          <w:sz w:val="24"/>
        </w:rPr>
        <w:t>Budget preparation is based on Microsoft Excel spreadsheets</w:t>
      </w:r>
      <w:r w:rsidR="003274DB">
        <w:rPr>
          <w:rFonts w:ascii="Times New Roman" w:hAnsi="Times New Roman"/>
          <w:sz w:val="24"/>
        </w:rPr>
        <w:t xml:space="preserve">. </w:t>
      </w:r>
      <w:r w:rsidR="0079576F">
        <w:rPr>
          <w:rFonts w:ascii="Times New Roman" w:hAnsi="Times New Roman"/>
          <w:sz w:val="24"/>
        </w:rPr>
        <w:t>This is</w:t>
      </w:r>
      <w:r w:rsidRPr="00C44BC8">
        <w:rPr>
          <w:rFonts w:ascii="Times New Roman" w:hAnsi="Times New Roman"/>
          <w:sz w:val="24"/>
        </w:rPr>
        <w:t xml:space="preserve"> then uploaded into the GFIS system as </w:t>
      </w:r>
      <w:r>
        <w:rPr>
          <w:rFonts w:ascii="Times New Roman" w:hAnsi="Times New Roman"/>
          <w:sz w:val="24"/>
        </w:rPr>
        <w:t xml:space="preserve">the </w:t>
      </w:r>
      <w:r w:rsidRPr="00C44BC8">
        <w:rPr>
          <w:rFonts w:ascii="Times New Roman" w:hAnsi="Times New Roman"/>
          <w:sz w:val="24"/>
        </w:rPr>
        <w:t xml:space="preserve">final budget. </w:t>
      </w:r>
    </w:p>
    <w:p w14:paraId="7962CD59"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9576F">
        <w:rPr>
          <w:rFonts w:ascii="Times New Roman" w:hAnsi="Times New Roman"/>
          <w:b/>
          <w:sz w:val="24"/>
        </w:rPr>
        <w:t xml:space="preserve">The budget classification system of Lao PDR </w:t>
      </w:r>
      <w:r w:rsidR="0079576F">
        <w:rPr>
          <w:rFonts w:ascii="Times New Roman" w:hAnsi="Times New Roman"/>
          <w:sz w:val="24"/>
        </w:rPr>
        <w:t xml:space="preserve">is </w:t>
      </w:r>
      <w:r>
        <w:rPr>
          <w:rFonts w:ascii="Times New Roman" w:hAnsi="Times New Roman"/>
          <w:sz w:val="24"/>
        </w:rPr>
        <w:t>defined by administrative</w:t>
      </w:r>
      <w:r w:rsidRPr="000B12C9">
        <w:rPr>
          <w:rFonts w:ascii="Times New Roman" w:hAnsi="Times New Roman"/>
          <w:sz w:val="24"/>
        </w:rPr>
        <w:t xml:space="preserve"> </w:t>
      </w:r>
      <w:r>
        <w:rPr>
          <w:rFonts w:ascii="Times New Roman" w:hAnsi="Times New Roman"/>
          <w:sz w:val="24"/>
        </w:rPr>
        <w:t>and</w:t>
      </w:r>
      <w:r w:rsidRPr="000B12C9">
        <w:rPr>
          <w:rFonts w:ascii="Times New Roman" w:hAnsi="Times New Roman"/>
          <w:sz w:val="24"/>
        </w:rPr>
        <w:t xml:space="preserve"> economic classification</w:t>
      </w:r>
      <w:r>
        <w:rPr>
          <w:rFonts w:ascii="Times New Roman" w:hAnsi="Times New Roman"/>
          <w:sz w:val="24"/>
        </w:rPr>
        <w:t>s</w:t>
      </w:r>
      <w:r w:rsidRPr="000B12C9">
        <w:rPr>
          <w:rFonts w:ascii="Times New Roman" w:hAnsi="Times New Roman"/>
          <w:sz w:val="24"/>
        </w:rPr>
        <w:t xml:space="preserve"> compliant with GFS standard at two digits level. </w:t>
      </w:r>
      <w:r>
        <w:rPr>
          <w:rFonts w:ascii="Times New Roman" w:hAnsi="Times New Roman"/>
          <w:sz w:val="24"/>
        </w:rPr>
        <w:t xml:space="preserve"> It is possible to produce associated </w:t>
      </w:r>
      <w:r w:rsidRPr="000B12C9">
        <w:rPr>
          <w:rFonts w:ascii="Times New Roman" w:hAnsi="Times New Roman"/>
          <w:sz w:val="24"/>
        </w:rPr>
        <w:t>geographic and broad functional categories</w:t>
      </w:r>
      <w:r>
        <w:rPr>
          <w:rFonts w:ascii="Times New Roman" w:hAnsi="Times New Roman"/>
          <w:sz w:val="24"/>
        </w:rPr>
        <w:t>.</w:t>
      </w:r>
      <w:r w:rsidRPr="000B12C9">
        <w:rPr>
          <w:rFonts w:ascii="Times New Roman" w:hAnsi="Times New Roman"/>
          <w:sz w:val="24"/>
        </w:rPr>
        <w:t xml:space="preserve"> These classifications are also embedded in the chart of accounts: Score C.</w:t>
      </w:r>
    </w:p>
    <w:p w14:paraId="5E6CC724" w14:textId="77777777" w:rsidR="007518E4" w:rsidRPr="000B7CDB"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79576F">
        <w:rPr>
          <w:rFonts w:ascii="Times New Roman" w:hAnsi="Times New Roman"/>
          <w:b/>
          <w:sz w:val="24"/>
          <w:lang w:val="en-MY"/>
        </w:rPr>
        <w:t>Through the harmonization of the Chart of Accounts that started in 2018, the government, supported by the World Bank and the IMF, aims to merge the budget classification with the account code to be complaint with GFS 2011.</w:t>
      </w:r>
      <w:r w:rsidRPr="000B7CDB">
        <w:rPr>
          <w:rFonts w:ascii="Times New Roman" w:hAnsi="Times New Roman"/>
          <w:sz w:val="24"/>
          <w:lang w:val="en-MY"/>
        </w:rPr>
        <w:t xml:space="preserve"> The budgeting and accounting reforms also envisage the transition from single entry accounting to double entry system and to International Public Sector Accounting Standards (IPSAS) </w:t>
      </w:r>
      <w:r>
        <w:rPr>
          <w:rFonts w:ascii="Times New Roman" w:hAnsi="Times New Roman"/>
          <w:sz w:val="24"/>
          <w:lang w:val="en-MY"/>
        </w:rPr>
        <w:t xml:space="preserve">cash basis financial reporting. </w:t>
      </w:r>
      <w:r w:rsidRPr="000B7CDB">
        <w:rPr>
          <w:rFonts w:ascii="Times New Roman" w:hAnsi="Times New Roman"/>
          <w:sz w:val="24"/>
          <w:lang w:val="en-MY"/>
        </w:rPr>
        <w:t xml:space="preserve">The roll out of the GFIS to the second-tier spending entities at the provinces level will likely take place when the proposed FMIS implementation. A sequenced Action Plan for </w:t>
      </w:r>
      <w:r w:rsidRPr="000B7CDB">
        <w:rPr>
          <w:rFonts w:ascii="Times New Roman" w:hAnsi="Times New Roman"/>
          <w:sz w:val="24"/>
          <w:lang w:val="en-MY"/>
        </w:rPr>
        <w:lastRenderedPageBreak/>
        <w:t xml:space="preserve">the reform of the accounting system in line with the introduction of the FMIS has been defined in sequences, with </w:t>
      </w:r>
      <w:r w:rsidRPr="000B7CDB">
        <w:rPr>
          <w:rFonts w:ascii="Times New Roman" w:eastAsiaTheme="minorEastAsia" w:hAnsi="Times New Roman"/>
          <w:sz w:val="24"/>
        </w:rPr>
        <w:t>Phase I: Administrative, Source of Funds, Projects – focused on coverage, consistency, and FMIS processes</w:t>
      </w:r>
      <w:r w:rsidRPr="000B7CDB">
        <w:rPr>
          <w:rFonts w:ascii="Times New Roman" w:hAnsi="Times New Roman"/>
          <w:sz w:val="24"/>
        </w:rPr>
        <w:t xml:space="preserve">; </w:t>
      </w:r>
      <w:r w:rsidRPr="000B7CDB">
        <w:rPr>
          <w:rFonts w:ascii="Times New Roman" w:eastAsia="Calibri" w:hAnsi="Times New Roman"/>
          <w:sz w:val="24"/>
        </w:rPr>
        <w:t>Phase II: Economic and Geographic – focused on GFS/IPSAS alignment and FMIS processes; Phase III: COFOG and Counterpart</w:t>
      </w:r>
      <w:r w:rsidRPr="000B7CDB">
        <w:rPr>
          <w:rFonts w:ascii="Times New Roman" w:hAnsi="Times New Roman"/>
          <w:sz w:val="24"/>
        </w:rPr>
        <w:t xml:space="preserve">y and a </w:t>
      </w:r>
      <w:r w:rsidRPr="000B7CDB">
        <w:rPr>
          <w:rFonts w:ascii="Times New Roman" w:eastAsiaTheme="minorEastAsia" w:hAnsi="Times New Roman"/>
          <w:sz w:val="24"/>
        </w:rPr>
        <w:t>Phase IV: Program (outside current reform agenda)</w:t>
      </w:r>
      <w:r>
        <w:rPr>
          <w:rFonts w:ascii="Times New Roman" w:hAnsi="Times New Roman"/>
          <w:sz w:val="24"/>
          <w:lang w:val="en-MY"/>
        </w:rPr>
        <w:t>.</w:t>
      </w:r>
    </w:p>
    <w:p w14:paraId="0E209B01" w14:textId="77777777" w:rsidR="007518E4" w:rsidRDefault="007518E4" w:rsidP="0079576F">
      <w:pPr>
        <w:pStyle w:val="Heading3"/>
        <w:spacing w:before="120" w:after="240"/>
        <w:ind w:left="0"/>
        <w:rPr>
          <w:rFonts w:ascii="Times New Roman" w:eastAsia="Calibri" w:hAnsi="Times New Roman"/>
          <w:b w:val="0"/>
          <w:bCs w:val="0"/>
          <w:color w:val="28C0DA"/>
          <w:spacing w:val="-1"/>
          <w:szCs w:val="28"/>
        </w:rPr>
      </w:pPr>
      <w:bookmarkStart w:id="44" w:name="_Toc518901787"/>
      <w:bookmarkStart w:id="45" w:name="_Toc4148982"/>
      <w:r w:rsidRPr="00FE6ED4">
        <w:rPr>
          <w:rFonts w:ascii="Times New Roman" w:eastAsia="Calibri" w:hAnsi="Times New Roman"/>
          <w:color w:val="28C0DA"/>
          <w:spacing w:val="-1"/>
          <w:szCs w:val="28"/>
        </w:rPr>
        <w:t xml:space="preserve">PI-5. </w:t>
      </w:r>
      <w:r w:rsidRPr="008D65E9">
        <w:rPr>
          <w:rFonts w:ascii="Times New Roman" w:eastAsia="Calibri" w:hAnsi="Times New Roman"/>
          <w:color w:val="28C0DA"/>
          <w:spacing w:val="-1"/>
          <w:szCs w:val="28"/>
        </w:rPr>
        <w:t>Budget</w:t>
      </w:r>
      <w:r w:rsidRPr="00FE6ED4">
        <w:rPr>
          <w:rFonts w:ascii="Times New Roman" w:eastAsia="Calibri" w:hAnsi="Times New Roman"/>
          <w:color w:val="28C0DA"/>
          <w:spacing w:val="-1"/>
          <w:szCs w:val="28"/>
        </w:rPr>
        <w:t xml:space="preserve"> </w:t>
      </w:r>
      <w:r>
        <w:rPr>
          <w:rFonts w:ascii="Times New Roman" w:eastAsia="Calibri" w:hAnsi="Times New Roman"/>
          <w:color w:val="28C0DA"/>
          <w:spacing w:val="-1"/>
          <w:szCs w:val="28"/>
        </w:rPr>
        <w:t>d</w:t>
      </w:r>
      <w:r w:rsidRPr="00FE6ED4">
        <w:rPr>
          <w:rFonts w:ascii="Times New Roman" w:eastAsia="Calibri" w:hAnsi="Times New Roman"/>
          <w:color w:val="28C0DA"/>
          <w:spacing w:val="-1"/>
          <w:szCs w:val="28"/>
        </w:rPr>
        <w:t>ocumentation</w:t>
      </w:r>
      <w:bookmarkEnd w:id="44"/>
      <w:bookmarkEnd w:id="45"/>
    </w:p>
    <w:p w14:paraId="13E7308F" w14:textId="77777777" w:rsidR="007518E4" w:rsidRPr="008E722C"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79576F">
        <w:rPr>
          <w:rFonts w:ascii="Times New Roman" w:hAnsi="Times New Roman"/>
          <w:b/>
          <w:sz w:val="24"/>
          <w:lang w:val="en-GB"/>
        </w:rPr>
        <w:t>This indicator assesses the comprehensiveness of the information provided in the annual budget documentation, as measured against a specified list of basic and additional elements</w:t>
      </w:r>
      <w:r w:rsidRPr="008E722C">
        <w:rPr>
          <w:rFonts w:ascii="Times New Roman" w:hAnsi="Times New Roman"/>
          <w:b/>
          <w:sz w:val="24"/>
          <w:lang w:val="en-GB"/>
        </w:rPr>
        <w:t>.</w:t>
      </w:r>
      <w:r w:rsidR="003274DB">
        <w:rPr>
          <w:rFonts w:ascii="Times New Roman" w:hAnsi="Times New Roman"/>
          <w:sz w:val="24"/>
          <w:lang w:val="en-GB"/>
        </w:rPr>
        <w:t xml:space="preserve"> </w:t>
      </w:r>
      <w:proofErr w:type="gramStart"/>
      <w:r w:rsidRPr="008E722C">
        <w:rPr>
          <w:rFonts w:ascii="Times New Roman" w:hAnsi="Times New Roman"/>
          <w:sz w:val="24"/>
        </w:rPr>
        <w:t>Time period</w:t>
      </w:r>
      <w:proofErr w:type="gramEnd"/>
      <w:r w:rsidRPr="008E722C">
        <w:rPr>
          <w:rFonts w:ascii="Times New Roman" w:hAnsi="Times New Roman"/>
          <w:sz w:val="24"/>
        </w:rPr>
        <w:t xml:space="preserve"> is the last budget </w:t>
      </w:r>
      <w:r w:rsidR="00CF622C" w:rsidRPr="00CF622C">
        <w:rPr>
          <w:rFonts w:ascii="Times New Roman" w:hAnsi="Times New Roman"/>
          <w:sz w:val="24"/>
        </w:rPr>
        <w:t>submitted</w:t>
      </w:r>
      <w:r w:rsidRPr="008E722C">
        <w:rPr>
          <w:rFonts w:ascii="Times New Roman" w:hAnsi="Times New Roman"/>
          <w:sz w:val="24"/>
        </w:rPr>
        <w:t xml:space="preserve"> to the legislature (Budget 2018) and the coverage is </w:t>
      </w:r>
      <w:r w:rsidRPr="007E584D">
        <w:rPr>
          <w:rFonts w:ascii="Times New Roman" w:hAnsi="Times New Roman"/>
          <w:sz w:val="24"/>
        </w:rPr>
        <w:t>Budgetary Central Government.</w:t>
      </w:r>
    </w:p>
    <w:p w14:paraId="273EA475" w14:textId="77777777" w:rsidR="007518E4" w:rsidRPr="00B17E91" w:rsidRDefault="007518E4" w:rsidP="00B17E91">
      <w:pPr>
        <w:spacing w:after="240"/>
        <w:ind w:left="0" w:right="-357"/>
        <w:rPr>
          <w:rFonts w:ascii="Times New Roman" w:eastAsia="Calibri" w:hAnsi="Times New Roman"/>
          <w:b/>
          <w:bCs/>
          <w:color w:val="00B0F0"/>
          <w:spacing w:val="-1"/>
          <w:sz w:val="24"/>
        </w:rPr>
      </w:pPr>
      <w:r w:rsidRPr="00B17E91">
        <w:rPr>
          <w:rFonts w:ascii="Times New Roman" w:eastAsia="Calibri" w:hAnsi="Times New Roman"/>
          <w:b/>
          <w:bCs/>
          <w:color w:val="00B0F0"/>
          <w:spacing w:val="-1"/>
          <w:sz w:val="24"/>
        </w:rPr>
        <w:t xml:space="preserve">5.1. Budget documentation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1271"/>
        <w:gridCol w:w="5017"/>
      </w:tblGrid>
      <w:tr w:rsidR="007518E4" w:rsidRPr="00930334" w14:paraId="06A1936A" w14:textId="77777777" w:rsidTr="007518E4">
        <w:trPr>
          <w:trHeight w:val="397"/>
          <w:jc w:val="center"/>
        </w:trPr>
        <w:tc>
          <w:tcPr>
            <w:tcW w:w="1513" w:type="pct"/>
            <w:shd w:val="clear" w:color="auto" w:fill="D9D9D9"/>
            <w:vAlign w:val="center"/>
          </w:tcPr>
          <w:p w14:paraId="2937F36C" w14:textId="77777777" w:rsidR="007518E4" w:rsidRPr="000B7CDB" w:rsidRDefault="007518E4" w:rsidP="007518E4">
            <w:pPr>
              <w:spacing w:before="40" w:after="40"/>
              <w:jc w:val="center"/>
              <w:rPr>
                <w:rFonts w:ascii="Times New Roman" w:hAnsi="Times New Roman"/>
                <w:b/>
                <w:sz w:val="20"/>
                <w:szCs w:val="20"/>
              </w:rPr>
            </w:pPr>
            <w:r w:rsidRPr="000B7CDB">
              <w:rPr>
                <w:rFonts w:ascii="Times New Roman" w:hAnsi="Times New Roman"/>
                <w:b/>
                <w:sz w:val="20"/>
                <w:szCs w:val="20"/>
              </w:rPr>
              <w:t xml:space="preserve">Indicator/Dimension </w:t>
            </w:r>
          </w:p>
        </w:tc>
        <w:tc>
          <w:tcPr>
            <w:tcW w:w="705" w:type="pct"/>
            <w:shd w:val="clear" w:color="auto" w:fill="D9D9D9"/>
            <w:vAlign w:val="center"/>
          </w:tcPr>
          <w:p w14:paraId="628244AF" w14:textId="77777777" w:rsidR="007518E4" w:rsidRPr="000B7CDB" w:rsidRDefault="007518E4" w:rsidP="00103029">
            <w:pPr>
              <w:spacing w:before="0"/>
              <w:ind w:left="0"/>
              <w:jc w:val="center"/>
              <w:rPr>
                <w:rFonts w:ascii="Times New Roman" w:hAnsi="Times New Roman"/>
                <w:b/>
                <w:sz w:val="20"/>
                <w:szCs w:val="20"/>
              </w:rPr>
            </w:pPr>
            <w:r w:rsidRPr="000B7CDB">
              <w:rPr>
                <w:rFonts w:ascii="Times New Roman" w:hAnsi="Times New Roman"/>
                <w:b/>
                <w:sz w:val="20"/>
                <w:szCs w:val="20"/>
              </w:rPr>
              <w:t>Score</w:t>
            </w:r>
          </w:p>
        </w:tc>
        <w:tc>
          <w:tcPr>
            <w:tcW w:w="2782" w:type="pct"/>
            <w:shd w:val="clear" w:color="auto" w:fill="D9D9D9"/>
            <w:vAlign w:val="center"/>
          </w:tcPr>
          <w:p w14:paraId="3A91CE3B" w14:textId="77777777" w:rsidR="007518E4" w:rsidRPr="000B7CDB" w:rsidRDefault="007518E4" w:rsidP="007518E4">
            <w:pPr>
              <w:spacing w:before="40" w:after="40"/>
              <w:jc w:val="center"/>
              <w:rPr>
                <w:rFonts w:ascii="Times New Roman" w:hAnsi="Times New Roman"/>
                <w:b/>
                <w:sz w:val="20"/>
                <w:szCs w:val="20"/>
              </w:rPr>
            </w:pPr>
            <w:r w:rsidRPr="000B7CDB">
              <w:rPr>
                <w:rFonts w:ascii="Times New Roman" w:hAnsi="Times New Roman"/>
                <w:b/>
                <w:sz w:val="20"/>
                <w:szCs w:val="20"/>
              </w:rPr>
              <w:t>Brief Explanation</w:t>
            </w:r>
          </w:p>
        </w:tc>
      </w:tr>
      <w:tr w:rsidR="007518E4" w:rsidRPr="00930334" w14:paraId="552C127E" w14:textId="77777777" w:rsidTr="007518E4">
        <w:trPr>
          <w:trHeight w:val="647"/>
          <w:jc w:val="center"/>
        </w:trPr>
        <w:tc>
          <w:tcPr>
            <w:tcW w:w="1513" w:type="pct"/>
            <w:vAlign w:val="center"/>
          </w:tcPr>
          <w:p w14:paraId="7FA10526" w14:textId="77777777" w:rsidR="007518E4" w:rsidRPr="009C1D13" w:rsidRDefault="007518E4" w:rsidP="00103029">
            <w:pPr>
              <w:spacing w:before="0"/>
              <w:ind w:left="0"/>
              <w:rPr>
                <w:rFonts w:ascii="Times New Roman" w:hAnsi="Times New Roman"/>
                <w:sz w:val="20"/>
                <w:szCs w:val="20"/>
              </w:rPr>
            </w:pPr>
            <w:r w:rsidRPr="009C1D13">
              <w:rPr>
                <w:rFonts w:ascii="Times New Roman" w:hAnsi="Times New Roman"/>
                <w:bCs/>
                <w:sz w:val="20"/>
                <w:szCs w:val="20"/>
              </w:rPr>
              <w:t>PI-5 Budget documentation</w:t>
            </w:r>
          </w:p>
        </w:tc>
        <w:tc>
          <w:tcPr>
            <w:tcW w:w="705" w:type="pct"/>
            <w:vAlign w:val="center"/>
          </w:tcPr>
          <w:p w14:paraId="5F4F731F" w14:textId="77777777" w:rsidR="007518E4" w:rsidRPr="009C1D13" w:rsidRDefault="007518E4" w:rsidP="00103029">
            <w:pPr>
              <w:spacing w:before="0"/>
              <w:ind w:left="0"/>
              <w:jc w:val="center"/>
              <w:rPr>
                <w:rFonts w:ascii="Times New Roman" w:hAnsi="Times New Roman"/>
                <w:sz w:val="20"/>
                <w:szCs w:val="20"/>
              </w:rPr>
            </w:pPr>
            <w:r w:rsidRPr="009C1D13">
              <w:rPr>
                <w:rFonts w:ascii="Times New Roman" w:hAnsi="Times New Roman"/>
                <w:sz w:val="20"/>
                <w:szCs w:val="20"/>
              </w:rPr>
              <w:t>D</w:t>
            </w:r>
          </w:p>
        </w:tc>
        <w:tc>
          <w:tcPr>
            <w:tcW w:w="2782" w:type="pct"/>
            <w:vAlign w:val="center"/>
          </w:tcPr>
          <w:p w14:paraId="060050E5" w14:textId="77777777" w:rsidR="007518E4" w:rsidRPr="000B7CDB" w:rsidRDefault="007518E4" w:rsidP="00103029">
            <w:pPr>
              <w:spacing w:before="0"/>
              <w:ind w:left="0"/>
              <w:rPr>
                <w:rFonts w:ascii="Times New Roman" w:hAnsi="Times New Roman"/>
                <w:sz w:val="20"/>
                <w:szCs w:val="20"/>
              </w:rPr>
            </w:pPr>
            <w:r w:rsidRPr="000B7CDB">
              <w:rPr>
                <w:rFonts w:ascii="Times New Roman" w:hAnsi="Times New Roman"/>
                <w:sz w:val="20"/>
                <w:szCs w:val="20"/>
              </w:rPr>
              <w:t xml:space="preserve">Budget documentation for 2018 fulfilled 2 basic elements and 2 additional elements i.e. in total 4 of the 12 key elements. </w:t>
            </w:r>
          </w:p>
        </w:tc>
      </w:tr>
    </w:tbl>
    <w:p w14:paraId="16CE598C" w14:textId="77777777" w:rsidR="007518E4" w:rsidRPr="00FC0B0F"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161492">
        <w:rPr>
          <w:rFonts w:ascii="Times New Roman" w:eastAsia="ヒラギノ角ゴ Pro W3" w:hAnsi="Times New Roman"/>
          <w:b/>
          <w:color w:val="000000"/>
          <w:sz w:val="24"/>
          <w:lang w:eastAsia="en-IN"/>
        </w:rPr>
        <w:t>The 2018 budget documentation package submitted to the National Assembly in October 16, 2017 consisted of</w:t>
      </w:r>
      <w:r w:rsidRPr="00FC0B0F">
        <w:rPr>
          <w:rFonts w:ascii="Times New Roman" w:eastAsia="ヒラギノ角ゴ Pro W3" w:hAnsi="Times New Roman"/>
          <w:color w:val="000000"/>
          <w:sz w:val="24"/>
          <w:lang w:eastAsia="en-IN"/>
        </w:rPr>
        <w:t>:</w:t>
      </w:r>
    </w:p>
    <w:p w14:paraId="054E074F" w14:textId="77777777" w:rsidR="007518E4" w:rsidRPr="000B7CDB" w:rsidRDefault="007518E4" w:rsidP="008037D9">
      <w:pPr>
        <w:numPr>
          <w:ilvl w:val="0"/>
          <w:numId w:val="44"/>
        </w:numPr>
        <w:spacing w:after="240"/>
        <w:contextualSpacing/>
        <w:rPr>
          <w:rFonts w:ascii="Times New Roman" w:eastAsia="ヒラギノ角ゴ Pro W3" w:hAnsi="Times New Roman"/>
          <w:color w:val="000000"/>
          <w:sz w:val="24"/>
          <w:lang w:eastAsia="en-IN"/>
        </w:rPr>
      </w:pPr>
      <w:r w:rsidRPr="000B7CDB">
        <w:rPr>
          <w:rFonts w:ascii="Times New Roman" w:eastAsia="ヒラギノ角ゴ Pro W3" w:hAnsi="Times New Roman"/>
          <w:color w:val="000000"/>
          <w:sz w:val="24"/>
          <w:lang w:eastAsia="en-IN"/>
        </w:rPr>
        <w:t>Budget statement delivered to the National Assembly by the Minister of Finance,</w:t>
      </w:r>
    </w:p>
    <w:p w14:paraId="1D7B2510" w14:textId="77777777" w:rsidR="007518E4" w:rsidRPr="000B7CDB" w:rsidRDefault="007518E4" w:rsidP="008037D9">
      <w:pPr>
        <w:numPr>
          <w:ilvl w:val="0"/>
          <w:numId w:val="44"/>
        </w:numPr>
        <w:spacing w:after="240"/>
        <w:contextualSpacing/>
        <w:rPr>
          <w:rFonts w:ascii="Times New Roman" w:eastAsia="ヒラギノ角ゴ Pro W3" w:hAnsi="Times New Roman"/>
          <w:color w:val="000000"/>
          <w:sz w:val="24"/>
          <w:lang w:eastAsia="en-IN"/>
        </w:rPr>
      </w:pPr>
      <w:r w:rsidRPr="000B7CDB">
        <w:rPr>
          <w:rFonts w:ascii="Times New Roman" w:eastAsia="ヒラギノ角ゴ Pro W3" w:hAnsi="Times New Roman"/>
          <w:color w:val="000000"/>
          <w:sz w:val="24"/>
          <w:lang w:eastAsia="en-IN"/>
        </w:rPr>
        <w:t>Reporting on the first 6 months of 2017 budget execution</w:t>
      </w:r>
    </w:p>
    <w:p w14:paraId="1849959B" w14:textId="77777777" w:rsidR="007518E4" w:rsidRPr="000B7CDB" w:rsidRDefault="007518E4" w:rsidP="008037D9">
      <w:pPr>
        <w:numPr>
          <w:ilvl w:val="0"/>
          <w:numId w:val="44"/>
        </w:numPr>
        <w:spacing w:after="240"/>
        <w:contextualSpacing/>
        <w:rPr>
          <w:rFonts w:ascii="Times New Roman" w:eastAsia="ヒラギノ角ゴ Pro W3" w:hAnsi="Times New Roman"/>
          <w:color w:val="000000"/>
          <w:sz w:val="24"/>
          <w:lang w:eastAsia="en-IN"/>
        </w:rPr>
      </w:pPr>
      <w:r w:rsidRPr="000B7CDB">
        <w:rPr>
          <w:rFonts w:ascii="Times New Roman" w:eastAsia="ヒラギノ角ゴ Pro W3" w:hAnsi="Times New Roman"/>
          <w:color w:val="000000"/>
          <w:sz w:val="24"/>
          <w:lang w:eastAsia="en-IN"/>
        </w:rPr>
        <w:t>Estimates of the revenue forecast of the 2018 state budget implementation at aggregate level and by collecting agencies,</w:t>
      </w:r>
    </w:p>
    <w:p w14:paraId="59FD1706" w14:textId="77777777" w:rsidR="007518E4" w:rsidRPr="000B7CDB" w:rsidRDefault="007518E4" w:rsidP="008037D9">
      <w:pPr>
        <w:numPr>
          <w:ilvl w:val="0"/>
          <w:numId w:val="44"/>
        </w:numPr>
        <w:spacing w:after="240"/>
        <w:contextualSpacing/>
        <w:rPr>
          <w:rFonts w:ascii="Times New Roman" w:eastAsia="ヒラギノ角ゴ Pro W3" w:hAnsi="Times New Roman"/>
          <w:color w:val="000000"/>
          <w:sz w:val="24"/>
          <w:lang w:eastAsia="en-IN"/>
        </w:rPr>
      </w:pPr>
      <w:r w:rsidRPr="000B7CDB">
        <w:rPr>
          <w:rFonts w:ascii="Times New Roman" w:eastAsia="ヒラギノ角ゴ Pro W3" w:hAnsi="Times New Roman"/>
          <w:color w:val="000000"/>
          <w:sz w:val="24"/>
          <w:lang w:eastAsia="en-IN"/>
        </w:rPr>
        <w:t>Expenditures estimates against State Annual Plan,</w:t>
      </w:r>
    </w:p>
    <w:p w14:paraId="5D693877" w14:textId="77777777" w:rsidR="007518E4" w:rsidRPr="000B7CDB" w:rsidRDefault="007518E4" w:rsidP="008037D9">
      <w:pPr>
        <w:numPr>
          <w:ilvl w:val="0"/>
          <w:numId w:val="44"/>
        </w:numPr>
        <w:spacing w:after="240"/>
        <w:contextualSpacing/>
        <w:rPr>
          <w:rFonts w:ascii="Times New Roman" w:eastAsia="ヒラギノ角ゴ Pro W3" w:hAnsi="Times New Roman"/>
          <w:color w:val="000000"/>
          <w:sz w:val="24"/>
          <w:lang w:eastAsia="en-IN"/>
        </w:rPr>
      </w:pPr>
      <w:r w:rsidRPr="000B7CDB">
        <w:rPr>
          <w:rFonts w:ascii="Times New Roman" w:eastAsia="ヒラギノ角ゴ Pro W3" w:hAnsi="Times New Roman"/>
          <w:color w:val="000000"/>
          <w:sz w:val="24"/>
          <w:lang w:eastAsia="en-IN"/>
        </w:rPr>
        <w:t>Deficit forecast and projected external and domestic financing,</w:t>
      </w:r>
    </w:p>
    <w:p w14:paraId="28A80DAA" w14:textId="77777777" w:rsidR="007518E4" w:rsidRPr="000B7CDB" w:rsidRDefault="007518E4" w:rsidP="008037D9">
      <w:pPr>
        <w:numPr>
          <w:ilvl w:val="0"/>
          <w:numId w:val="44"/>
        </w:numPr>
        <w:spacing w:after="240"/>
        <w:contextualSpacing/>
        <w:rPr>
          <w:rFonts w:ascii="Times New Roman" w:eastAsia="ヒラギノ角ゴ Pro W3" w:hAnsi="Times New Roman"/>
          <w:color w:val="000000"/>
          <w:sz w:val="24"/>
          <w:lang w:eastAsia="en-IN"/>
        </w:rPr>
      </w:pPr>
      <w:r w:rsidRPr="000B7CDB">
        <w:rPr>
          <w:rFonts w:ascii="Times New Roman" w:eastAsia="ヒラギノ角ゴ Pro W3" w:hAnsi="Times New Roman"/>
          <w:color w:val="000000"/>
          <w:sz w:val="24"/>
          <w:lang w:eastAsia="en-IN"/>
        </w:rPr>
        <w:t xml:space="preserve">General statement on measures to deliver the estimates and enhance execution. </w:t>
      </w:r>
    </w:p>
    <w:p w14:paraId="522103D4"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161492">
        <w:rPr>
          <w:rFonts w:ascii="Times New Roman" w:eastAsia="ヒラギノ角ゴ Pro W3" w:hAnsi="Times New Roman"/>
          <w:b/>
          <w:color w:val="000000"/>
          <w:sz w:val="24"/>
          <w:lang w:eastAsia="en-IN"/>
        </w:rPr>
        <w:t>Other budget documentation is submitted to the legislature in separate submissions</w:t>
      </w:r>
      <w:r w:rsidR="003274DB">
        <w:rPr>
          <w:rFonts w:ascii="Times New Roman" w:eastAsia="ヒラギノ角ゴ Pro W3" w:hAnsi="Times New Roman"/>
          <w:color w:val="000000"/>
          <w:sz w:val="24"/>
          <w:lang w:eastAsia="en-IN"/>
        </w:rPr>
        <w:t xml:space="preserve">. </w:t>
      </w:r>
      <w:r w:rsidR="00161492">
        <w:rPr>
          <w:rFonts w:ascii="Times New Roman" w:eastAsia="ヒラギノ角ゴ Pro W3" w:hAnsi="Times New Roman"/>
          <w:color w:val="000000"/>
          <w:sz w:val="24"/>
          <w:lang w:eastAsia="en-IN"/>
        </w:rPr>
        <w:t>D</w:t>
      </w:r>
      <w:r w:rsidRPr="00FC0B0F">
        <w:rPr>
          <w:rFonts w:ascii="Times New Roman" w:eastAsia="ヒラギノ角ゴ Pro W3" w:hAnsi="Times New Roman"/>
          <w:color w:val="000000"/>
          <w:sz w:val="24"/>
          <w:lang w:eastAsia="en-IN"/>
        </w:rPr>
        <w:t xml:space="preserve">uring discussions between the government and the prior to the budget package economic and fiscal policy information </w:t>
      </w:r>
      <w:r w:rsidR="00161492">
        <w:rPr>
          <w:rFonts w:ascii="Times New Roman" w:eastAsia="ヒラギノ角ゴ Pro W3" w:hAnsi="Times New Roman"/>
          <w:color w:val="000000"/>
          <w:sz w:val="24"/>
          <w:lang w:eastAsia="en-IN"/>
        </w:rPr>
        <w:t xml:space="preserve">is provided </w:t>
      </w:r>
      <w:proofErr w:type="gramStart"/>
      <w:r w:rsidRPr="00FC0B0F">
        <w:rPr>
          <w:rFonts w:ascii="Times New Roman" w:eastAsia="ヒラギノ角ゴ Pro W3" w:hAnsi="Times New Roman"/>
          <w:color w:val="000000"/>
          <w:sz w:val="24"/>
          <w:lang w:eastAsia="en-IN"/>
        </w:rPr>
        <w:t>in order to</w:t>
      </w:r>
      <w:proofErr w:type="gramEnd"/>
      <w:r w:rsidRPr="00FC0B0F">
        <w:rPr>
          <w:rFonts w:ascii="Times New Roman" w:eastAsia="ヒラギノ角ゴ Pro W3" w:hAnsi="Times New Roman"/>
          <w:color w:val="000000"/>
          <w:sz w:val="24"/>
          <w:lang w:eastAsia="en-IN"/>
        </w:rPr>
        <w:t xml:space="preserve"> agree on the main expenditure priorities and deficit projections. The above documents are considered the budget documentation for this indicator.</w:t>
      </w:r>
    </w:p>
    <w:p w14:paraId="579CCA62" w14:textId="77777777" w:rsidR="007518E4" w:rsidRPr="00FC0B0F"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161492">
        <w:rPr>
          <w:rFonts w:ascii="Times New Roman" w:eastAsia="ヒラギノ角ゴ Pro W3" w:hAnsi="Times New Roman"/>
          <w:b/>
          <w:color w:val="000000"/>
          <w:sz w:val="24"/>
          <w:lang w:eastAsia="en-IN"/>
        </w:rPr>
        <w:t>The objective, content and st</w:t>
      </w:r>
      <w:r w:rsidR="00161492" w:rsidRPr="00161492">
        <w:rPr>
          <w:rFonts w:ascii="Times New Roman" w:eastAsia="ヒラギノ角ゴ Pro W3" w:hAnsi="Times New Roman"/>
          <w:b/>
          <w:color w:val="000000"/>
          <w:sz w:val="24"/>
          <w:lang w:eastAsia="en-IN"/>
        </w:rPr>
        <w:t>ructure of the budget process are</w:t>
      </w:r>
      <w:r w:rsidRPr="00161492">
        <w:rPr>
          <w:rFonts w:ascii="Times New Roman" w:eastAsia="ヒラギノ角ゴ Pro W3" w:hAnsi="Times New Roman"/>
          <w:b/>
          <w:color w:val="000000"/>
          <w:sz w:val="24"/>
          <w:lang w:eastAsia="en-IN"/>
        </w:rPr>
        <w:t xml:space="preserve"> described under Article 29 of the State Budget Law (government responsibilities) but most provisions are still to be fully implemented.</w:t>
      </w:r>
      <w:r w:rsidR="003274DB">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 xml:space="preserve">Description </w:t>
      </w:r>
      <w:r w:rsidRPr="00FC0B0F">
        <w:rPr>
          <w:rFonts w:ascii="Times New Roman" w:eastAsia="ヒラギノ角ゴ Pro W3" w:hAnsi="Times New Roman"/>
          <w:color w:val="000000"/>
          <w:sz w:val="24"/>
          <w:lang w:eastAsia="en-IN"/>
        </w:rPr>
        <w:t>of the 12 key elements of budget documentation is summarized in table 3-5</w:t>
      </w:r>
      <w:r>
        <w:rPr>
          <w:rFonts w:ascii="Times New Roman" w:eastAsia="ヒラギノ角ゴ Pro W3" w:hAnsi="Times New Roman"/>
          <w:color w:val="000000"/>
          <w:sz w:val="24"/>
          <w:lang w:eastAsia="en-IN"/>
        </w:rPr>
        <w:t>.1</w:t>
      </w:r>
      <w:r w:rsidRPr="00FC0B0F">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along the</w:t>
      </w:r>
      <w:r w:rsidRPr="00FC0B0F">
        <w:rPr>
          <w:rFonts w:ascii="Times New Roman" w:eastAsia="ヒラギノ角ゴ Pro W3" w:hAnsi="Times New Roman"/>
          <w:color w:val="000000"/>
          <w:sz w:val="24"/>
          <w:lang w:eastAsia="en-IN"/>
        </w:rPr>
        <w:t xml:space="preserve"> criteria for assessment. </w:t>
      </w:r>
    </w:p>
    <w:p w14:paraId="350D00CC" w14:textId="77777777" w:rsidR="007518E4" w:rsidRPr="00161492" w:rsidRDefault="007518E4" w:rsidP="007518E4">
      <w:pPr>
        <w:rPr>
          <w:rFonts w:ascii="Times New Roman" w:hAnsi="Times New Roman"/>
          <w:b/>
          <w:color w:val="000000" w:themeColor="text1"/>
        </w:rPr>
      </w:pPr>
      <w:r w:rsidRPr="00161492">
        <w:rPr>
          <w:rFonts w:ascii="Times New Roman" w:hAnsi="Times New Roman"/>
          <w:b/>
          <w:color w:val="000000" w:themeColor="text1"/>
        </w:rPr>
        <w:t xml:space="preserve">Table 3-5.1: Summary of Information </w:t>
      </w:r>
      <w:r w:rsidR="00C4073A">
        <w:rPr>
          <w:rFonts w:ascii="Times New Roman" w:hAnsi="Times New Roman"/>
          <w:b/>
          <w:color w:val="000000" w:themeColor="text1"/>
        </w:rPr>
        <w:t xml:space="preserve">formally </w:t>
      </w:r>
      <w:r w:rsidRPr="00161492">
        <w:rPr>
          <w:rFonts w:ascii="Times New Roman" w:hAnsi="Times New Roman"/>
          <w:b/>
          <w:color w:val="000000" w:themeColor="text1"/>
        </w:rPr>
        <w:t xml:space="preserve">included in </w:t>
      </w:r>
      <w:r w:rsidR="00C4073A">
        <w:rPr>
          <w:rFonts w:ascii="Times New Roman" w:hAnsi="Times New Roman"/>
          <w:b/>
          <w:color w:val="000000" w:themeColor="text1"/>
        </w:rPr>
        <w:t>the State Budget implementation documentation submitted to the NA)</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350"/>
        <w:gridCol w:w="4920"/>
      </w:tblGrid>
      <w:tr w:rsidR="00FA34B4" w:rsidRPr="000B7CDB" w14:paraId="424AC11E" w14:textId="77777777" w:rsidTr="00C4073A">
        <w:trPr>
          <w:jc w:val="center"/>
        </w:trPr>
        <w:tc>
          <w:tcPr>
            <w:tcW w:w="4045" w:type="dxa"/>
            <w:shd w:val="clear" w:color="auto" w:fill="D9D9D9" w:themeFill="background1" w:themeFillShade="D9"/>
            <w:tcMar>
              <w:top w:w="57" w:type="dxa"/>
              <w:bottom w:w="57" w:type="dxa"/>
            </w:tcMar>
            <w:vAlign w:val="center"/>
          </w:tcPr>
          <w:p w14:paraId="4EE45ADD" w14:textId="77777777" w:rsidR="00FA34B4" w:rsidRPr="003274DB" w:rsidRDefault="00FA34B4" w:rsidP="007604FD">
            <w:pPr>
              <w:spacing w:before="60" w:after="60"/>
              <w:ind w:left="0"/>
              <w:jc w:val="center"/>
              <w:rPr>
                <w:rFonts w:ascii="Times New Roman" w:hAnsi="Times New Roman"/>
                <w:b/>
              </w:rPr>
            </w:pPr>
            <w:r w:rsidRPr="003274DB">
              <w:rPr>
                <w:rFonts w:ascii="Times New Roman" w:hAnsi="Times New Roman"/>
                <w:b/>
                <w:szCs w:val="22"/>
              </w:rPr>
              <w:t>Basic Elements</w:t>
            </w:r>
          </w:p>
        </w:tc>
        <w:tc>
          <w:tcPr>
            <w:tcW w:w="1350" w:type="dxa"/>
            <w:shd w:val="clear" w:color="auto" w:fill="D9D9D9" w:themeFill="background1" w:themeFillShade="D9"/>
            <w:tcMar>
              <w:top w:w="57" w:type="dxa"/>
              <w:bottom w:w="57" w:type="dxa"/>
            </w:tcMar>
            <w:vAlign w:val="center"/>
          </w:tcPr>
          <w:p w14:paraId="297EB870" w14:textId="77777777" w:rsidR="00FA34B4" w:rsidRPr="003274DB" w:rsidRDefault="00FA34B4" w:rsidP="007604FD">
            <w:pPr>
              <w:spacing w:before="60" w:after="60"/>
              <w:ind w:left="0"/>
              <w:jc w:val="center"/>
              <w:rPr>
                <w:rFonts w:ascii="Times New Roman" w:hAnsi="Times New Roman"/>
                <w:b/>
              </w:rPr>
            </w:pPr>
            <w:r w:rsidRPr="003274DB">
              <w:rPr>
                <w:rFonts w:ascii="Times New Roman" w:hAnsi="Times New Roman"/>
                <w:b/>
                <w:szCs w:val="22"/>
              </w:rPr>
              <w:t>Criterion Fulfilled</w:t>
            </w:r>
          </w:p>
        </w:tc>
        <w:tc>
          <w:tcPr>
            <w:tcW w:w="4920" w:type="dxa"/>
            <w:shd w:val="clear" w:color="auto" w:fill="D9D9D9" w:themeFill="background1" w:themeFillShade="D9"/>
          </w:tcPr>
          <w:p w14:paraId="7D766698" w14:textId="77777777" w:rsidR="00FA34B4" w:rsidRPr="003274DB" w:rsidRDefault="00310D44" w:rsidP="007604FD">
            <w:pPr>
              <w:spacing w:before="60" w:after="60"/>
              <w:ind w:left="0"/>
              <w:jc w:val="center"/>
              <w:rPr>
                <w:rFonts w:ascii="Times New Roman" w:hAnsi="Times New Roman"/>
                <w:b/>
              </w:rPr>
            </w:pPr>
            <w:r w:rsidRPr="00310D44">
              <w:rPr>
                <w:rFonts w:ascii="Times New Roman" w:hAnsi="Times New Roman"/>
                <w:b/>
                <w:szCs w:val="22"/>
              </w:rPr>
              <w:t>Source of Document and Comments on Availability</w:t>
            </w:r>
          </w:p>
        </w:tc>
      </w:tr>
      <w:tr w:rsidR="00FA34B4" w:rsidRPr="000B7CDB" w14:paraId="08860659" w14:textId="77777777" w:rsidTr="00C4073A">
        <w:trPr>
          <w:jc w:val="center"/>
        </w:trPr>
        <w:tc>
          <w:tcPr>
            <w:tcW w:w="4045" w:type="dxa"/>
            <w:shd w:val="clear" w:color="auto" w:fill="F2F2F2" w:themeFill="background1" w:themeFillShade="F2"/>
            <w:tcMar>
              <w:top w:w="57" w:type="dxa"/>
              <w:bottom w:w="57" w:type="dxa"/>
            </w:tcMar>
          </w:tcPr>
          <w:p w14:paraId="48DF64F4"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1. Forecast of the fiscal deficit or surplus or accrual operating result.</w:t>
            </w:r>
          </w:p>
          <w:p w14:paraId="3D30C24D" w14:textId="77777777" w:rsidR="00FA34B4" w:rsidRPr="003274DB" w:rsidRDefault="00FA34B4" w:rsidP="00161492">
            <w:pPr>
              <w:spacing w:before="0"/>
              <w:ind w:left="0"/>
              <w:rPr>
                <w:rFonts w:ascii="Times New Roman" w:hAnsi="Times New Roman"/>
              </w:rPr>
            </w:pPr>
          </w:p>
        </w:tc>
        <w:tc>
          <w:tcPr>
            <w:tcW w:w="1350" w:type="dxa"/>
            <w:shd w:val="clear" w:color="auto" w:fill="F2F2F2" w:themeFill="background1" w:themeFillShade="F2"/>
            <w:tcMar>
              <w:top w:w="57" w:type="dxa"/>
              <w:bottom w:w="57" w:type="dxa"/>
            </w:tcMar>
          </w:tcPr>
          <w:p w14:paraId="129ADFC3"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Yes</w:t>
            </w:r>
          </w:p>
        </w:tc>
        <w:tc>
          <w:tcPr>
            <w:tcW w:w="4920" w:type="dxa"/>
            <w:shd w:val="clear" w:color="auto" w:fill="F2F2F2" w:themeFill="background1" w:themeFillShade="F2"/>
          </w:tcPr>
          <w:p w14:paraId="5A8702DF"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 xml:space="preserve">The State Budget Statement mentions the overall budget revenue and expenditures and budget balance before financing.  ODA financing is included for the </w:t>
            </w:r>
            <w:r w:rsidRPr="003274DB">
              <w:rPr>
                <w:rFonts w:ascii="Times New Roman" w:eastAsia="ヒラギノ角ゴ Pro W3" w:hAnsi="Times New Roman"/>
                <w:color w:val="000000"/>
                <w:szCs w:val="22"/>
                <w:lang w:eastAsia="en-IN"/>
              </w:rPr>
              <w:lastRenderedPageBreak/>
              <w:t>part recorded by MPI on capital investment but not specified in the aggregate budget figures.</w:t>
            </w:r>
          </w:p>
        </w:tc>
      </w:tr>
      <w:tr w:rsidR="00FA34B4" w:rsidRPr="000B7CDB" w14:paraId="02AF1F79" w14:textId="77777777" w:rsidTr="00C4073A">
        <w:trPr>
          <w:jc w:val="center"/>
        </w:trPr>
        <w:tc>
          <w:tcPr>
            <w:tcW w:w="4045" w:type="dxa"/>
            <w:shd w:val="clear" w:color="auto" w:fill="F2F2F2" w:themeFill="background1" w:themeFillShade="F2"/>
            <w:tcMar>
              <w:top w:w="57" w:type="dxa"/>
              <w:bottom w:w="57" w:type="dxa"/>
            </w:tcMar>
          </w:tcPr>
          <w:p w14:paraId="18AE35F0"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lastRenderedPageBreak/>
              <w:t>2. Previous year’s budget outturn, presented in the same format as the budget proposal.</w:t>
            </w:r>
          </w:p>
          <w:p w14:paraId="6E57F51A" w14:textId="77777777" w:rsidR="00FA34B4" w:rsidRPr="003274DB" w:rsidRDefault="00FA34B4" w:rsidP="00161492">
            <w:pPr>
              <w:spacing w:before="0"/>
              <w:ind w:left="0"/>
              <w:rPr>
                <w:rFonts w:ascii="Times New Roman" w:hAnsi="Times New Roman"/>
              </w:rPr>
            </w:pPr>
          </w:p>
        </w:tc>
        <w:tc>
          <w:tcPr>
            <w:tcW w:w="1350" w:type="dxa"/>
            <w:shd w:val="clear" w:color="auto" w:fill="F2F2F2" w:themeFill="background1" w:themeFillShade="F2"/>
            <w:tcMar>
              <w:top w:w="57" w:type="dxa"/>
              <w:bottom w:w="57" w:type="dxa"/>
            </w:tcMar>
          </w:tcPr>
          <w:p w14:paraId="3F62DA23"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shd w:val="clear" w:color="auto" w:fill="F2F2F2" w:themeFill="background1" w:themeFillShade="F2"/>
          </w:tcPr>
          <w:p w14:paraId="4E573593"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The 2016 budget implementation report is not available at the time of the 2018 budget submission. When it is circulated, it covers the actual budget figures against the revised budget figures for 2016 in the same format as the State budget plan for 2017 and 2018 and reporting revenue and expenditure at aggregate level of administrative classification disaggregated at provincial level and revenue by collecting agencies and category of taxes.</w:t>
            </w:r>
          </w:p>
        </w:tc>
      </w:tr>
      <w:tr w:rsidR="00FA34B4" w:rsidRPr="000B7CDB" w14:paraId="4271814C" w14:textId="77777777" w:rsidTr="00C4073A">
        <w:trPr>
          <w:jc w:val="center"/>
        </w:trPr>
        <w:tc>
          <w:tcPr>
            <w:tcW w:w="4045" w:type="dxa"/>
            <w:shd w:val="clear" w:color="auto" w:fill="F2F2F2" w:themeFill="background1" w:themeFillShade="F2"/>
            <w:tcMar>
              <w:top w:w="57" w:type="dxa"/>
              <w:bottom w:w="57" w:type="dxa"/>
            </w:tcMar>
          </w:tcPr>
          <w:p w14:paraId="13571AFC" w14:textId="77777777" w:rsidR="00FA34B4" w:rsidRPr="003274DB" w:rsidRDefault="00310D44" w:rsidP="00161492">
            <w:pPr>
              <w:spacing w:before="0"/>
              <w:ind w:left="0"/>
              <w:rPr>
                <w:rFonts w:ascii="Times New Roman" w:hAnsi="Times New Roman"/>
              </w:rPr>
            </w:pPr>
            <w:r w:rsidRPr="00310D44">
              <w:rPr>
                <w:rFonts w:ascii="Times New Roman" w:hAnsi="Times New Roman"/>
                <w:b/>
                <w:szCs w:val="22"/>
              </w:rPr>
              <w:t>3. Current fiscal year’s budget presented in the same format as the budget proposal.</w:t>
            </w:r>
            <w:r w:rsidR="00FA34B4" w:rsidRPr="003274DB">
              <w:rPr>
                <w:rFonts w:ascii="Times New Roman" w:hAnsi="Times New Roman"/>
                <w:szCs w:val="22"/>
              </w:rPr>
              <w:t xml:space="preserve"> </w:t>
            </w:r>
          </w:p>
        </w:tc>
        <w:tc>
          <w:tcPr>
            <w:tcW w:w="1350" w:type="dxa"/>
            <w:shd w:val="clear" w:color="auto" w:fill="F2F2F2" w:themeFill="background1" w:themeFillShade="F2"/>
            <w:tcMar>
              <w:top w:w="57" w:type="dxa"/>
              <w:bottom w:w="57" w:type="dxa"/>
            </w:tcMar>
          </w:tcPr>
          <w:p w14:paraId="0FB2E79B"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Yes</w:t>
            </w:r>
          </w:p>
        </w:tc>
        <w:tc>
          <w:tcPr>
            <w:tcW w:w="4920" w:type="dxa"/>
            <w:shd w:val="clear" w:color="auto" w:fill="F2F2F2" w:themeFill="background1" w:themeFillShade="F2"/>
          </w:tcPr>
          <w:p w14:paraId="5D6BD64F" w14:textId="77777777" w:rsidR="00D737E9" w:rsidRDefault="00C4073A">
            <w:pPr>
              <w:spacing w:before="0"/>
              <w:ind w:left="0"/>
              <w:jc w:val="left"/>
              <w:rPr>
                <w:rFonts w:ascii="Times New Roman" w:hAnsi="Times New Roman"/>
              </w:rPr>
            </w:pPr>
            <w:r w:rsidRPr="003274DB">
              <w:rPr>
                <w:rFonts w:ascii="Times New Roman" w:hAnsi="Times New Roman"/>
                <w:szCs w:val="22"/>
              </w:rPr>
              <w:t>This can be either the revised budget or the estimated outturn.</w:t>
            </w:r>
          </w:p>
          <w:p w14:paraId="0D098CF6"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The aggregate budget outturn is presented at aggregate level of economic classification.</w:t>
            </w:r>
          </w:p>
        </w:tc>
      </w:tr>
      <w:tr w:rsidR="00FA34B4" w:rsidRPr="000B7CDB" w14:paraId="3429B26F" w14:textId="77777777" w:rsidTr="00C4073A">
        <w:trPr>
          <w:jc w:val="center"/>
        </w:trPr>
        <w:tc>
          <w:tcPr>
            <w:tcW w:w="4045" w:type="dxa"/>
            <w:shd w:val="clear" w:color="auto" w:fill="F2F2F2" w:themeFill="background1" w:themeFillShade="F2"/>
            <w:tcMar>
              <w:top w:w="57" w:type="dxa"/>
              <w:bottom w:w="57" w:type="dxa"/>
            </w:tcMar>
          </w:tcPr>
          <w:p w14:paraId="177A28D6"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4. Aggregated budget data for both revenue and expenditure according to the main heads of the classifications used, including data for the current and previous year with a detailed breakdown of revenue and expenditure estimates.</w:t>
            </w:r>
          </w:p>
          <w:p w14:paraId="447D669E" w14:textId="77777777" w:rsidR="00FA34B4" w:rsidRPr="003274DB" w:rsidRDefault="00FA34B4" w:rsidP="00161492">
            <w:pPr>
              <w:spacing w:before="0"/>
              <w:ind w:left="0"/>
              <w:rPr>
                <w:rFonts w:ascii="Times New Roman" w:hAnsi="Times New Roman"/>
              </w:rPr>
            </w:pPr>
          </w:p>
        </w:tc>
        <w:tc>
          <w:tcPr>
            <w:tcW w:w="1350" w:type="dxa"/>
            <w:shd w:val="clear" w:color="auto" w:fill="F2F2F2" w:themeFill="background1" w:themeFillShade="F2"/>
            <w:tcMar>
              <w:top w:w="57" w:type="dxa"/>
              <w:bottom w:w="57" w:type="dxa"/>
            </w:tcMar>
          </w:tcPr>
          <w:p w14:paraId="19D6A32D"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shd w:val="clear" w:color="auto" w:fill="F2F2F2" w:themeFill="background1" w:themeFillShade="F2"/>
          </w:tcPr>
          <w:p w14:paraId="5A3EBEC7" w14:textId="77777777" w:rsidR="00D737E9" w:rsidRDefault="00C4073A">
            <w:pPr>
              <w:spacing w:before="0"/>
              <w:ind w:left="0"/>
              <w:jc w:val="left"/>
              <w:rPr>
                <w:rFonts w:ascii="Times New Roman" w:hAnsi="Times New Roman"/>
                <w:b/>
              </w:rPr>
            </w:pPr>
            <w:r>
              <w:rPr>
                <w:rFonts w:ascii="Times New Roman" w:eastAsia="ヒラギノ角ゴ Pro W3" w:hAnsi="Times New Roman"/>
                <w:color w:val="000000"/>
                <w:szCs w:val="22"/>
                <w:lang w:eastAsia="en-IN"/>
              </w:rPr>
              <w:t xml:space="preserve">Justification: </w:t>
            </w:r>
            <w:r w:rsidRPr="003274DB">
              <w:rPr>
                <w:rFonts w:ascii="Times New Roman" w:eastAsia="ヒラギノ角ゴ Pro W3" w:hAnsi="Times New Roman"/>
                <w:color w:val="000000"/>
                <w:szCs w:val="22"/>
                <w:lang w:eastAsia="en-IN"/>
              </w:rPr>
              <w:t>The budget presentation includes the projected revised budget and actual outturn for 2017 are shown at the aggregate level but there is no breakdown or comparison with previous year’s outturn and provides no breakdown at administrative level.</w:t>
            </w:r>
          </w:p>
        </w:tc>
      </w:tr>
      <w:tr w:rsidR="00FA34B4" w:rsidRPr="000B7CDB" w14:paraId="655F8713" w14:textId="77777777" w:rsidTr="00C4073A">
        <w:trPr>
          <w:jc w:val="center"/>
        </w:trPr>
        <w:tc>
          <w:tcPr>
            <w:tcW w:w="5395" w:type="dxa"/>
            <w:gridSpan w:val="2"/>
            <w:shd w:val="clear" w:color="auto" w:fill="D9D9D9" w:themeFill="background1" w:themeFillShade="D9"/>
            <w:tcMar>
              <w:top w:w="57" w:type="dxa"/>
              <w:bottom w:w="57" w:type="dxa"/>
            </w:tcMar>
          </w:tcPr>
          <w:p w14:paraId="3EAF1382" w14:textId="77777777" w:rsidR="00FA34B4" w:rsidRPr="003274DB" w:rsidRDefault="00FA34B4" w:rsidP="007518E4">
            <w:pPr>
              <w:spacing w:before="60" w:after="60"/>
              <w:jc w:val="center"/>
              <w:rPr>
                <w:rFonts w:ascii="Times New Roman" w:hAnsi="Times New Roman"/>
                <w:b/>
              </w:rPr>
            </w:pPr>
            <w:r w:rsidRPr="003274DB">
              <w:rPr>
                <w:rFonts w:ascii="Times New Roman" w:hAnsi="Times New Roman"/>
                <w:b/>
                <w:szCs w:val="22"/>
              </w:rPr>
              <w:t>Additional Elements</w:t>
            </w:r>
          </w:p>
        </w:tc>
        <w:tc>
          <w:tcPr>
            <w:tcW w:w="4920" w:type="dxa"/>
            <w:shd w:val="clear" w:color="auto" w:fill="D9D9D9" w:themeFill="background1" w:themeFillShade="D9"/>
          </w:tcPr>
          <w:p w14:paraId="5D8C2B21" w14:textId="77777777" w:rsidR="00D737E9" w:rsidRDefault="00D737E9">
            <w:pPr>
              <w:spacing w:before="60" w:after="60"/>
              <w:jc w:val="left"/>
              <w:rPr>
                <w:rFonts w:ascii="Times New Roman" w:hAnsi="Times New Roman"/>
                <w:b/>
              </w:rPr>
            </w:pPr>
          </w:p>
        </w:tc>
      </w:tr>
      <w:tr w:rsidR="00FA34B4" w:rsidRPr="000B7CDB" w14:paraId="57D612FF" w14:textId="77777777" w:rsidTr="00C4073A">
        <w:trPr>
          <w:jc w:val="center"/>
        </w:trPr>
        <w:tc>
          <w:tcPr>
            <w:tcW w:w="4045" w:type="dxa"/>
            <w:shd w:val="clear" w:color="auto" w:fill="auto"/>
            <w:tcMar>
              <w:top w:w="57" w:type="dxa"/>
              <w:bottom w:w="57" w:type="dxa"/>
            </w:tcMar>
          </w:tcPr>
          <w:p w14:paraId="1CCDC7EF"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5. Deficit financing, describing its anticipated composition.</w:t>
            </w:r>
          </w:p>
          <w:p w14:paraId="1D7BE21C" w14:textId="7307D5C9"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349E0E2F"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Yes</w:t>
            </w:r>
          </w:p>
        </w:tc>
        <w:tc>
          <w:tcPr>
            <w:tcW w:w="4920" w:type="dxa"/>
          </w:tcPr>
          <w:p w14:paraId="2E92FBE4"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External financing and Resource mobilization for 2018 and anticipated financing composition of the budget deficit is broken down between external (ODA, Bonds, macro balance) and domestic instrument</w:t>
            </w:r>
          </w:p>
        </w:tc>
      </w:tr>
      <w:tr w:rsidR="00FA34B4" w:rsidRPr="000B7CDB" w14:paraId="37AB6B1B" w14:textId="77777777" w:rsidTr="00C4073A">
        <w:trPr>
          <w:jc w:val="center"/>
        </w:trPr>
        <w:tc>
          <w:tcPr>
            <w:tcW w:w="4045" w:type="dxa"/>
            <w:shd w:val="clear" w:color="auto" w:fill="auto"/>
            <w:tcMar>
              <w:top w:w="57" w:type="dxa"/>
              <w:bottom w:w="57" w:type="dxa"/>
            </w:tcMar>
          </w:tcPr>
          <w:p w14:paraId="4AA3B12E"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6. Macroeconomic assumptions, including at least estimates of GDP growth, inflation, interest rates, and the exchange rate.</w:t>
            </w:r>
          </w:p>
          <w:p w14:paraId="04D104CF"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61B23D88"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Yes</w:t>
            </w:r>
          </w:p>
        </w:tc>
        <w:tc>
          <w:tcPr>
            <w:tcW w:w="4920" w:type="dxa"/>
          </w:tcPr>
          <w:p w14:paraId="0DEF7D6D"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GDP growth rates with breakdown by sector is prepared by MPI and MoF and discussed with the NA’s Planning Finance and Audit Committee prior to the session of the budget submission. Exchange rate to the US dollar and interest rate assumptions are explicitly stated in the macroeconomic document prepared by MPI and FPD and specific information is available on the projected debt service/revenue ratio.</w:t>
            </w:r>
          </w:p>
        </w:tc>
      </w:tr>
      <w:tr w:rsidR="00FA34B4" w:rsidRPr="000B7CDB" w14:paraId="5D9E364B" w14:textId="77777777" w:rsidTr="00C4073A">
        <w:trPr>
          <w:jc w:val="center"/>
        </w:trPr>
        <w:tc>
          <w:tcPr>
            <w:tcW w:w="4045" w:type="dxa"/>
            <w:shd w:val="clear" w:color="auto" w:fill="auto"/>
            <w:tcMar>
              <w:top w:w="57" w:type="dxa"/>
              <w:bottom w:w="57" w:type="dxa"/>
            </w:tcMar>
          </w:tcPr>
          <w:p w14:paraId="4638C09A"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 xml:space="preserve">7. Debt stock, including details at least for the beginning of the current fiscal year presented in accordance with GFS or </w:t>
            </w:r>
            <w:proofErr w:type="gramStart"/>
            <w:r w:rsidRPr="00310D44">
              <w:rPr>
                <w:rFonts w:ascii="Times New Roman" w:hAnsi="Times New Roman"/>
                <w:b/>
                <w:szCs w:val="22"/>
              </w:rPr>
              <w:t>other</w:t>
            </w:r>
            <w:proofErr w:type="gramEnd"/>
            <w:r w:rsidRPr="00310D44">
              <w:rPr>
                <w:rFonts w:ascii="Times New Roman" w:hAnsi="Times New Roman"/>
                <w:b/>
                <w:szCs w:val="22"/>
              </w:rPr>
              <w:t xml:space="preserve"> comparable standard.</w:t>
            </w:r>
          </w:p>
          <w:p w14:paraId="0A41ACF7"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14952B1E"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tcPr>
          <w:p w14:paraId="39A3D7E5"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Debt stock information managed by the MoF’s External Finance Department (external) is available but not the stock of domestic debt managed by the Budget department (internal). External Debt Portfolio and Debt stock are presented according to debt instrument and holders of debt based on the DMFAS reporting. The external debt sustainability analysis as well as a cost and risk analysis for both external and domestic debt is performed by the FPD with the IMF assistance (article IV) but not distributed outside MoF senior management (see PI-13).</w:t>
            </w:r>
          </w:p>
        </w:tc>
      </w:tr>
      <w:tr w:rsidR="00FA34B4" w:rsidRPr="000B7CDB" w14:paraId="01DDC810" w14:textId="77777777" w:rsidTr="00C4073A">
        <w:trPr>
          <w:jc w:val="center"/>
        </w:trPr>
        <w:tc>
          <w:tcPr>
            <w:tcW w:w="4045" w:type="dxa"/>
            <w:shd w:val="clear" w:color="auto" w:fill="auto"/>
            <w:tcMar>
              <w:top w:w="57" w:type="dxa"/>
              <w:bottom w:w="57" w:type="dxa"/>
            </w:tcMar>
          </w:tcPr>
          <w:p w14:paraId="1995CDBD"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lastRenderedPageBreak/>
              <w:t xml:space="preserve">8. Financial assets, including details at least for the beginning of the current fiscal year presented in accordance with GFS or </w:t>
            </w:r>
            <w:proofErr w:type="gramStart"/>
            <w:r w:rsidRPr="00310D44">
              <w:rPr>
                <w:rFonts w:ascii="Times New Roman" w:hAnsi="Times New Roman"/>
                <w:b/>
                <w:szCs w:val="22"/>
              </w:rPr>
              <w:t>other</w:t>
            </w:r>
            <w:proofErr w:type="gramEnd"/>
            <w:r w:rsidRPr="00310D44">
              <w:rPr>
                <w:rFonts w:ascii="Times New Roman" w:hAnsi="Times New Roman"/>
                <w:b/>
                <w:szCs w:val="22"/>
              </w:rPr>
              <w:t xml:space="preserve"> comparable standard.</w:t>
            </w:r>
          </w:p>
          <w:p w14:paraId="2302941E"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34F90F2D"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tcPr>
          <w:p w14:paraId="51C807BD"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No information on the government’s holdings of financial assets is provided in the budget documents.</w:t>
            </w:r>
          </w:p>
        </w:tc>
      </w:tr>
      <w:tr w:rsidR="00FA34B4" w:rsidRPr="000B7CDB" w14:paraId="62199543" w14:textId="77777777" w:rsidTr="00C4073A">
        <w:trPr>
          <w:jc w:val="center"/>
        </w:trPr>
        <w:tc>
          <w:tcPr>
            <w:tcW w:w="4045" w:type="dxa"/>
            <w:shd w:val="clear" w:color="auto" w:fill="auto"/>
            <w:tcMar>
              <w:top w:w="57" w:type="dxa"/>
              <w:bottom w:w="57" w:type="dxa"/>
            </w:tcMar>
          </w:tcPr>
          <w:p w14:paraId="3450BE98"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9. Summary information of fiscal risks, including contingent liabilities such as guarantees, and contingent obligations embedded in structure financing instruments such as public-private partnership (PPP) contracts, and so on.</w:t>
            </w:r>
          </w:p>
          <w:p w14:paraId="18AC8A37"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2E3F24EA"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tcPr>
          <w:p w14:paraId="4778030B"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No information is provided on guarantees issued, public-private partnerships which may incorporate indirect guarantees, or any other contingent liabilities,</w:t>
            </w:r>
          </w:p>
        </w:tc>
      </w:tr>
      <w:tr w:rsidR="00FA34B4" w:rsidRPr="000B7CDB" w14:paraId="64E523F5" w14:textId="77777777" w:rsidTr="00C4073A">
        <w:trPr>
          <w:jc w:val="center"/>
        </w:trPr>
        <w:tc>
          <w:tcPr>
            <w:tcW w:w="4045" w:type="dxa"/>
            <w:shd w:val="clear" w:color="auto" w:fill="auto"/>
            <w:tcMar>
              <w:top w:w="57" w:type="dxa"/>
              <w:bottom w:w="57" w:type="dxa"/>
            </w:tcMar>
          </w:tcPr>
          <w:p w14:paraId="0A800422"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10</w:t>
            </w:r>
            <w:r w:rsidR="00FA34B4">
              <w:rPr>
                <w:rFonts w:ascii="Times New Roman" w:hAnsi="Times New Roman"/>
                <w:b/>
                <w:szCs w:val="22"/>
              </w:rPr>
              <w:t>.</w:t>
            </w:r>
            <w:r w:rsidRPr="00310D44">
              <w:rPr>
                <w:rFonts w:ascii="Times New Roman" w:hAnsi="Times New Roman"/>
                <w:b/>
                <w:szCs w:val="22"/>
              </w:rPr>
              <w:t xml:space="preserve"> Explanation of budget implications of new policy initiatives and major new public investments, with estimate of the budgetary impact of all major revenue policy changes and/or major changes to expenditure programs.</w:t>
            </w:r>
          </w:p>
          <w:p w14:paraId="6C2B4931"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53A3C985"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tcPr>
          <w:p w14:paraId="4D76E2BC"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The budget statement by MoF includes a general outline of all proposed new revenue measures but no estimates of the impact on revenue is presented for any of them, except for the wage bill when relevant if there is a policy change.</w:t>
            </w:r>
          </w:p>
        </w:tc>
      </w:tr>
      <w:tr w:rsidR="00FA34B4" w:rsidRPr="000B7CDB" w14:paraId="303DBDA3" w14:textId="77777777" w:rsidTr="00C4073A">
        <w:trPr>
          <w:jc w:val="center"/>
        </w:trPr>
        <w:tc>
          <w:tcPr>
            <w:tcW w:w="4045" w:type="dxa"/>
            <w:shd w:val="clear" w:color="auto" w:fill="auto"/>
            <w:tcMar>
              <w:top w:w="57" w:type="dxa"/>
              <w:bottom w:w="57" w:type="dxa"/>
            </w:tcMar>
          </w:tcPr>
          <w:p w14:paraId="45A149CB"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11. Documentation on the medium-term fiscal forecasts</w:t>
            </w:r>
          </w:p>
          <w:p w14:paraId="5798B7C7"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18CF2EA1"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tcPr>
          <w:p w14:paraId="5F3C8817"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 xml:space="preserve">The budget proposal provides indicative budgets for the next two years and </w:t>
            </w:r>
            <w:proofErr w:type="gramStart"/>
            <w:r w:rsidRPr="003274DB">
              <w:rPr>
                <w:rFonts w:ascii="Times New Roman" w:eastAsia="ヒラギノ角ゴ Pro W3" w:hAnsi="Times New Roman"/>
                <w:color w:val="000000"/>
                <w:szCs w:val="22"/>
                <w:lang w:eastAsia="en-IN"/>
              </w:rPr>
              <w:t>medium term</w:t>
            </w:r>
            <w:proofErr w:type="gramEnd"/>
            <w:r w:rsidRPr="003274DB">
              <w:rPr>
                <w:rFonts w:ascii="Times New Roman" w:eastAsia="ヒラギノ角ゴ Pro W3" w:hAnsi="Times New Roman"/>
                <w:color w:val="000000"/>
                <w:szCs w:val="22"/>
                <w:lang w:eastAsia="en-IN"/>
              </w:rPr>
              <w:t xml:space="preserve"> projections of revenue and expenditure, budget balance and financing i.e. estimates for 2018 and projections for 2019 and 2020 with breakdown by main category of expenditure (chapter 60 to 67), revenue items (by broad revenue categories and collecting agencies) and details of development projects at ministry and provincial level (public investment program). However, forward estimates for 2019 and 2020 are only indicative and based on incremental calculations and not linked to the sector plans nor the MTEF projections.</w:t>
            </w:r>
          </w:p>
        </w:tc>
      </w:tr>
      <w:tr w:rsidR="00FA34B4" w:rsidRPr="000B7CDB" w14:paraId="25272D53" w14:textId="77777777" w:rsidTr="00C4073A">
        <w:trPr>
          <w:jc w:val="center"/>
        </w:trPr>
        <w:tc>
          <w:tcPr>
            <w:tcW w:w="4045" w:type="dxa"/>
            <w:shd w:val="clear" w:color="auto" w:fill="auto"/>
            <w:tcMar>
              <w:top w:w="57" w:type="dxa"/>
              <w:bottom w:w="57" w:type="dxa"/>
            </w:tcMar>
          </w:tcPr>
          <w:p w14:paraId="4BA0E38A" w14:textId="77777777" w:rsidR="00FA34B4" w:rsidRPr="003370A6" w:rsidRDefault="00310D44" w:rsidP="00161492">
            <w:pPr>
              <w:spacing w:before="0"/>
              <w:ind w:left="0"/>
              <w:rPr>
                <w:rFonts w:ascii="Times New Roman" w:hAnsi="Times New Roman"/>
                <w:b/>
              </w:rPr>
            </w:pPr>
            <w:r w:rsidRPr="00310D44">
              <w:rPr>
                <w:rFonts w:ascii="Times New Roman" w:hAnsi="Times New Roman"/>
                <w:b/>
                <w:szCs w:val="22"/>
              </w:rPr>
              <w:t>12. Quantification of tax expenditures</w:t>
            </w:r>
          </w:p>
          <w:p w14:paraId="7646105A" w14:textId="77777777" w:rsidR="00FA34B4" w:rsidRPr="003274DB" w:rsidRDefault="00FA34B4" w:rsidP="00161492">
            <w:pPr>
              <w:spacing w:before="0"/>
              <w:ind w:left="0"/>
              <w:rPr>
                <w:rFonts w:ascii="Times New Roman" w:hAnsi="Times New Roman"/>
              </w:rPr>
            </w:pPr>
          </w:p>
        </w:tc>
        <w:tc>
          <w:tcPr>
            <w:tcW w:w="1350" w:type="dxa"/>
            <w:shd w:val="clear" w:color="auto" w:fill="auto"/>
            <w:tcMar>
              <w:top w:w="57" w:type="dxa"/>
              <w:bottom w:w="57" w:type="dxa"/>
            </w:tcMar>
          </w:tcPr>
          <w:p w14:paraId="78EE4A1F" w14:textId="77777777" w:rsidR="00FA34B4" w:rsidRPr="003274DB" w:rsidRDefault="00FA34B4" w:rsidP="00161492">
            <w:pPr>
              <w:spacing w:before="0"/>
              <w:ind w:left="0"/>
              <w:jc w:val="center"/>
              <w:rPr>
                <w:rFonts w:ascii="Times New Roman" w:hAnsi="Times New Roman"/>
                <w:b/>
              </w:rPr>
            </w:pPr>
            <w:r w:rsidRPr="003274DB">
              <w:rPr>
                <w:rFonts w:ascii="Times New Roman" w:hAnsi="Times New Roman"/>
                <w:b/>
                <w:szCs w:val="22"/>
              </w:rPr>
              <w:t>No</w:t>
            </w:r>
          </w:p>
        </w:tc>
        <w:tc>
          <w:tcPr>
            <w:tcW w:w="4920" w:type="dxa"/>
          </w:tcPr>
          <w:p w14:paraId="689E8A29" w14:textId="77777777" w:rsidR="00D737E9" w:rsidRDefault="00C4073A">
            <w:pPr>
              <w:spacing w:before="0"/>
              <w:ind w:left="0"/>
              <w:jc w:val="left"/>
              <w:rPr>
                <w:rFonts w:ascii="Times New Roman" w:hAnsi="Times New Roman"/>
                <w:b/>
              </w:rPr>
            </w:pPr>
            <w:r w:rsidRPr="003274DB">
              <w:rPr>
                <w:rFonts w:ascii="Times New Roman" w:eastAsia="ヒラギノ角ゴ Pro W3" w:hAnsi="Times New Roman"/>
                <w:color w:val="000000"/>
                <w:szCs w:val="22"/>
                <w:lang w:eastAsia="en-IN"/>
              </w:rPr>
              <w:t>Tax expenditures are not presented in the budget documentation, neither in detailed nor in aggregate format.</w:t>
            </w:r>
          </w:p>
        </w:tc>
      </w:tr>
    </w:tbl>
    <w:p w14:paraId="6B02883D"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161492">
        <w:rPr>
          <w:rFonts w:ascii="Times New Roman" w:eastAsia="ヒラギノ角ゴ Pro W3" w:hAnsi="Times New Roman"/>
          <w:b/>
          <w:color w:val="000000"/>
          <w:sz w:val="24"/>
          <w:lang w:eastAsia="en-IN"/>
        </w:rPr>
        <w:t>Budget documentation for 2018 fulfilled two basic elements and two additional elements i.e. in total 4 of the 12 key elements</w:t>
      </w:r>
      <w:r w:rsidRPr="00FC0B0F">
        <w:rPr>
          <w:rFonts w:ascii="Times New Roman" w:eastAsia="ヒラギノ角ゴ Pro W3" w:hAnsi="Times New Roman"/>
          <w:color w:val="000000"/>
          <w:sz w:val="24"/>
          <w:lang w:eastAsia="en-IN"/>
        </w:rPr>
        <w:t xml:space="preserve">: </w:t>
      </w:r>
      <w:r w:rsidR="00310D44" w:rsidRPr="00310D44">
        <w:rPr>
          <w:rFonts w:ascii="Times New Roman" w:eastAsia="ヒラギノ角ゴ Pro W3" w:hAnsi="Times New Roman"/>
          <w:b/>
          <w:color w:val="000000"/>
          <w:sz w:val="24"/>
          <w:lang w:eastAsia="en-IN"/>
        </w:rPr>
        <w:t>Score D.</w:t>
      </w:r>
      <w:r w:rsidRPr="00FC0B0F">
        <w:rPr>
          <w:rFonts w:ascii="Times New Roman" w:eastAsia="ヒラギノ角ゴ Pro W3" w:hAnsi="Times New Roman"/>
          <w:color w:val="000000"/>
          <w:sz w:val="24"/>
          <w:lang w:eastAsia="en-IN"/>
        </w:rPr>
        <w:t xml:space="preserve"> </w:t>
      </w:r>
    </w:p>
    <w:p w14:paraId="5B318A1D" w14:textId="77777777" w:rsidR="007518E4" w:rsidRPr="00123C8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eastAsia="en-IN"/>
        </w:rPr>
      </w:pPr>
      <w:r w:rsidRPr="00161492">
        <w:rPr>
          <w:rFonts w:ascii="Times New Roman" w:hAnsi="Times New Roman"/>
          <w:b/>
          <w:sz w:val="24"/>
          <w:lang w:eastAsia="en-IN"/>
        </w:rPr>
        <w:t>The SBL 2015 specifies the content of the State Budget that should be presented to NA and includes elements 2), 4) and 7) of the elements required for this indicator.</w:t>
      </w:r>
      <w:r w:rsidRPr="00123C84">
        <w:rPr>
          <w:rFonts w:ascii="Times New Roman" w:hAnsi="Times New Roman"/>
          <w:sz w:val="24"/>
          <w:lang w:eastAsia="en-IN"/>
        </w:rPr>
        <w:t xml:space="preserve"> The Budget department is working on developing the documents accordingly.</w:t>
      </w:r>
    </w:p>
    <w:p w14:paraId="168C616A" w14:textId="77777777" w:rsidR="007518E4" w:rsidRDefault="007518E4" w:rsidP="00161492">
      <w:pPr>
        <w:pStyle w:val="Heading3"/>
        <w:spacing w:after="240"/>
        <w:ind w:left="0"/>
        <w:rPr>
          <w:rFonts w:ascii="Times New Roman" w:eastAsia="Calibri" w:hAnsi="Times New Roman"/>
          <w:b w:val="0"/>
          <w:bCs w:val="0"/>
          <w:color w:val="28C0DA"/>
          <w:spacing w:val="-1"/>
          <w:szCs w:val="28"/>
        </w:rPr>
      </w:pPr>
      <w:bookmarkStart w:id="46" w:name="_Toc518901788"/>
      <w:bookmarkStart w:id="47" w:name="_Toc4148983"/>
      <w:r w:rsidRPr="00FE6ED4">
        <w:rPr>
          <w:rFonts w:ascii="Times New Roman" w:eastAsia="Calibri" w:hAnsi="Times New Roman"/>
          <w:color w:val="28C0DA"/>
          <w:spacing w:val="-1"/>
          <w:szCs w:val="28"/>
        </w:rPr>
        <w:t xml:space="preserve">PI-6. Central </w:t>
      </w:r>
      <w:r>
        <w:rPr>
          <w:rFonts w:ascii="Times New Roman" w:eastAsia="Calibri" w:hAnsi="Times New Roman"/>
          <w:color w:val="28C0DA"/>
          <w:spacing w:val="-1"/>
          <w:szCs w:val="28"/>
        </w:rPr>
        <w:t>g</w:t>
      </w:r>
      <w:r w:rsidRPr="00FE6ED4">
        <w:rPr>
          <w:rFonts w:ascii="Times New Roman" w:eastAsia="Calibri" w:hAnsi="Times New Roman"/>
          <w:color w:val="28C0DA"/>
          <w:spacing w:val="-1"/>
          <w:szCs w:val="28"/>
        </w:rPr>
        <w:t xml:space="preserve">overnment </w:t>
      </w:r>
      <w:r>
        <w:rPr>
          <w:rFonts w:ascii="Times New Roman" w:eastAsia="Calibri" w:hAnsi="Times New Roman"/>
          <w:color w:val="28C0DA"/>
          <w:spacing w:val="-1"/>
          <w:szCs w:val="28"/>
        </w:rPr>
        <w:t>o</w:t>
      </w:r>
      <w:r w:rsidRPr="00FE6ED4">
        <w:rPr>
          <w:rFonts w:ascii="Times New Roman" w:eastAsia="Calibri" w:hAnsi="Times New Roman"/>
          <w:color w:val="28C0DA"/>
          <w:spacing w:val="-1"/>
          <w:szCs w:val="28"/>
        </w:rPr>
        <w:t xml:space="preserve">perations </w:t>
      </w:r>
      <w:r>
        <w:rPr>
          <w:rFonts w:ascii="Times New Roman" w:eastAsia="Calibri" w:hAnsi="Times New Roman"/>
          <w:color w:val="28C0DA"/>
          <w:spacing w:val="-1"/>
          <w:szCs w:val="28"/>
        </w:rPr>
        <w:t>o</w:t>
      </w:r>
      <w:r w:rsidRPr="00FE6ED4">
        <w:rPr>
          <w:rFonts w:ascii="Times New Roman" w:eastAsia="Calibri" w:hAnsi="Times New Roman"/>
          <w:color w:val="28C0DA"/>
          <w:spacing w:val="-1"/>
          <w:szCs w:val="28"/>
        </w:rPr>
        <w:t xml:space="preserve">utside </w:t>
      </w:r>
      <w:r>
        <w:rPr>
          <w:rFonts w:ascii="Times New Roman" w:eastAsia="Calibri" w:hAnsi="Times New Roman"/>
          <w:color w:val="28C0DA"/>
          <w:spacing w:val="-1"/>
          <w:szCs w:val="28"/>
        </w:rPr>
        <w:t>f</w:t>
      </w:r>
      <w:r w:rsidRPr="00FE6ED4">
        <w:rPr>
          <w:rFonts w:ascii="Times New Roman" w:eastAsia="Calibri" w:hAnsi="Times New Roman"/>
          <w:color w:val="28C0DA"/>
          <w:spacing w:val="-1"/>
          <w:szCs w:val="28"/>
        </w:rPr>
        <w:t xml:space="preserve">inancial </w:t>
      </w:r>
      <w:r>
        <w:rPr>
          <w:rFonts w:ascii="Times New Roman" w:eastAsia="Calibri" w:hAnsi="Times New Roman"/>
          <w:color w:val="28C0DA"/>
          <w:spacing w:val="-1"/>
          <w:szCs w:val="28"/>
        </w:rPr>
        <w:t>r</w:t>
      </w:r>
      <w:r w:rsidRPr="00FE6ED4">
        <w:rPr>
          <w:rFonts w:ascii="Times New Roman" w:eastAsia="Calibri" w:hAnsi="Times New Roman"/>
          <w:color w:val="28C0DA"/>
          <w:spacing w:val="-1"/>
          <w:szCs w:val="28"/>
        </w:rPr>
        <w:t>eports</w:t>
      </w:r>
      <w:bookmarkEnd w:id="46"/>
      <w:bookmarkEnd w:id="47"/>
    </w:p>
    <w:p w14:paraId="2281E20C" w14:textId="77777777" w:rsidR="007518E4" w:rsidRPr="00006A75"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161492">
        <w:rPr>
          <w:rFonts w:ascii="Times New Roman" w:hAnsi="Times New Roman"/>
          <w:b/>
          <w:sz w:val="24"/>
        </w:rPr>
        <w:t>This indicator measures the government’s depth of knowledge of revenue and expenditure reported outside the central government budget.</w:t>
      </w:r>
      <w:r w:rsidR="003274DB">
        <w:rPr>
          <w:rFonts w:ascii="Times New Roman" w:hAnsi="Times New Roman"/>
          <w:sz w:val="24"/>
        </w:rPr>
        <w:t xml:space="preserve"> </w:t>
      </w:r>
      <w:r w:rsidRPr="00006A75">
        <w:rPr>
          <w:rFonts w:ascii="Times New Roman" w:hAnsi="Times New Roman"/>
          <w:sz w:val="24"/>
        </w:rPr>
        <w:t>The assessment of this indicator is based on the information and reports avai</w:t>
      </w:r>
      <w:r w:rsidR="003274DB">
        <w:rPr>
          <w:rFonts w:ascii="Times New Roman" w:hAnsi="Times New Roman"/>
          <w:sz w:val="24"/>
        </w:rPr>
        <w:t>lable for fiscal year 201</w:t>
      </w:r>
      <w:r w:rsidR="00AC401A">
        <w:rPr>
          <w:rFonts w:ascii="Times New Roman" w:hAnsi="Times New Roman"/>
          <w:sz w:val="24"/>
        </w:rPr>
        <w:t>7 and 2018</w:t>
      </w:r>
      <w:r w:rsidR="003274DB">
        <w:rPr>
          <w:rFonts w:ascii="Times New Roman" w:hAnsi="Times New Roman"/>
          <w:sz w:val="24"/>
        </w:rPr>
        <w:t xml:space="preserve">. </w:t>
      </w:r>
      <w:r w:rsidRPr="00006A75">
        <w:rPr>
          <w:rFonts w:ascii="Times New Roman" w:hAnsi="Times New Roman"/>
          <w:sz w:val="24"/>
        </w:rPr>
        <w:t xml:space="preserve">The coverage is central government. </w:t>
      </w:r>
    </w:p>
    <w:p w14:paraId="6BC9A539" w14:textId="77777777" w:rsidR="007518E4" w:rsidRPr="00006A75"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161492">
        <w:rPr>
          <w:rFonts w:ascii="Times New Roman" w:eastAsia="ヒラギノ角ゴ Pro W3" w:hAnsi="Times New Roman"/>
          <w:b/>
          <w:color w:val="000000"/>
          <w:sz w:val="24"/>
          <w:lang w:eastAsia="en-IN"/>
        </w:rPr>
        <w:lastRenderedPageBreak/>
        <w:t>In the Lao PDR context, expenditures and revenue not included in the financial reports fall into three categories</w:t>
      </w:r>
      <w:r w:rsidRPr="00006A75">
        <w:rPr>
          <w:rFonts w:ascii="Times New Roman" w:eastAsia="ヒラギノ角ゴ Pro W3" w:hAnsi="Times New Roman"/>
          <w:color w:val="000000"/>
          <w:sz w:val="24"/>
          <w:lang w:eastAsia="en-IN"/>
        </w:rPr>
        <w:t xml:space="preserve">: 1) operations of the central government carried out by </w:t>
      </w:r>
      <w:r>
        <w:rPr>
          <w:rFonts w:ascii="Times New Roman" w:eastAsia="ヒラギノ角ゴ Pro W3" w:hAnsi="Times New Roman"/>
          <w:color w:val="000000"/>
          <w:sz w:val="24"/>
          <w:lang w:eastAsia="en-IN"/>
        </w:rPr>
        <w:t>extrabudgetary</w:t>
      </w:r>
      <w:r w:rsidRPr="00006A75">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entities</w:t>
      </w:r>
      <w:r w:rsidRPr="00006A75">
        <w:rPr>
          <w:rFonts w:ascii="Times New Roman" w:eastAsia="ヒラギノ角ゴ Pro W3" w:hAnsi="Times New Roman"/>
          <w:color w:val="000000"/>
          <w:sz w:val="24"/>
          <w:lang w:eastAsia="en-IN"/>
        </w:rPr>
        <w:t xml:space="preserve"> carrying out government functions and receiving a state budget allocation; 2) technical fees charged by budgetary entities; </w:t>
      </w:r>
      <w:r>
        <w:rPr>
          <w:rFonts w:ascii="Times New Roman" w:eastAsia="ヒラギノ角ゴ Pro W3" w:hAnsi="Times New Roman"/>
          <w:color w:val="000000"/>
          <w:sz w:val="24"/>
          <w:lang w:eastAsia="en-IN"/>
        </w:rPr>
        <w:t>and 3)</w:t>
      </w:r>
      <w:r w:rsidRPr="00006A75">
        <w:rPr>
          <w:rFonts w:ascii="Times New Roman" w:eastAsia="ヒラギノ角ゴ Pro W3" w:hAnsi="Times New Roman"/>
          <w:color w:val="000000"/>
          <w:sz w:val="24"/>
          <w:lang w:eastAsia="en-IN"/>
        </w:rPr>
        <w:t xml:space="preserve"> ODA-funded expenditures implemented by development projects.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3"/>
        <w:gridCol w:w="1271"/>
        <w:gridCol w:w="4932"/>
      </w:tblGrid>
      <w:tr w:rsidR="007518E4" w:rsidRPr="00930334" w14:paraId="3E9CB447" w14:textId="77777777" w:rsidTr="007518E4">
        <w:trPr>
          <w:trHeight w:val="397"/>
          <w:jc w:val="center"/>
        </w:trPr>
        <w:tc>
          <w:tcPr>
            <w:tcW w:w="15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D464C2" w14:textId="77777777" w:rsidR="007518E4" w:rsidRPr="00006A75" w:rsidRDefault="007518E4" w:rsidP="003274DB">
            <w:pPr>
              <w:spacing w:before="0"/>
              <w:ind w:hanging="539"/>
              <w:jc w:val="center"/>
              <w:rPr>
                <w:rFonts w:ascii="Times New Roman" w:hAnsi="Times New Roman"/>
              </w:rPr>
            </w:pPr>
            <w:r w:rsidRPr="00006A75">
              <w:rPr>
                <w:rFonts w:ascii="Times New Roman" w:hAnsi="Times New Roman"/>
              </w:rPr>
              <w:t>Indicator/Dimension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A336E" w14:textId="77777777" w:rsidR="007518E4" w:rsidRPr="00006A75" w:rsidRDefault="007518E4" w:rsidP="003274DB">
            <w:pPr>
              <w:spacing w:before="0"/>
              <w:ind w:hanging="539"/>
              <w:jc w:val="center"/>
              <w:rPr>
                <w:rFonts w:ascii="Times New Roman" w:hAnsi="Times New Roman"/>
              </w:rPr>
            </w:pPr>
            <w:r w:rsidRPr="00006A75">
              <w:rPr>
                <w:rFonts w:ascii="Times New Roman" w:hAnsi="Times New Roman"/>
              </w:rPr>
              <w:t>Score</w:t>
            </w:r>
          </w:p>
        </w:tc>
        <w:tc>
          <w:tcPr>
            <w:tcW w:w="2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03CB58" w14:textId="77777777" w:rsidR="007518E4" w:rsidRPr="00006A75" w:rsidRDefault="007518E4" w:rsidP="003274DB">
            <w:pPr>
              <w:spacing w:before="0"/>
              <w:ind w:hanging="539"/>
              <w:jc w:val="center"/>
              <w:rPr>
                <w:rFonts w:ascii="Times New Roman" w:hAnsi="Times New Roman"/>
              </w:rPr>
            </w:pPr>
            <w:r w:rsidRPr="00006A75">
              <w:rPr>
                <w:rFonts w:ascii="Times New Roman" w:hAnsi="Times New Roman"/>
              </w:rPr>
              <w:t>Brief Explanation</w:t>
            </w:r>
          </w:p>
        </w:tc>
      </w:tr>
      <w:tr w:rsidR="007518E4" w:rsidRPr="00930334" w14:paraId="24590597" w14:textId="77777777" w:rsidTr="007518E4">
        <w:trPr>
          <w:trHeight w:val="647"/>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1CBCE24F" w14:textId="77777777" w:rsidR="007518E4" w:rsidRPr="00006A75" w:rsidRDefault="007518E4" w:rsidP="00161492">
            <w:pPr>
              <w:spacing w:before="0"/>
              <w:ind w:left="0"/>
              <w:rPr>
                <w:rFonts w:ascii="Times New Roman" w:hAnsi="Times New Roman"/>
              </w:rPr>
            </w:pPr>
            <w:r w:rsidRPr="00006A75">
              <w:rPr>
                <w:rFonts w:ascii="Times New Roman" w:hAnsi="Times New Roman"/>
                <w:bCs/>
              </w:rPr>
              <w:t xml:space="preserve">PI-6 Central Government operations outside financial reports </w:t>
            </w:r>
          </w:p>
        </w:tc>
        <w:tc>
          <w:tcPr>
            <w:tcW w:w="705" w:type="pct"/>
            <w:tcBorders>
              <w:top w:val="single" w:sz="4" w:space="0" w:color="auto"/>
              <w:left w:val="single" w:sz="4" w:space="0" w:color="auto"/>
              <w:bottom w:val="single" w:sz="4" w:space="0" w:color="auto"/>
              <w:right w:val="single" w:sz="4" w:space="0" w:color="auto"/>
            </w:tcBorders>
            <w:vAlign w:val="center"/>
            <w:hideMark/>
          </w:tcPr>
          <w:p w14:paraId="1542B45D" w14:textId="77777777" w:rsidR="007518E4" w:rsidRPr="00006A75" w:rsidRDefault="007518E4" w:rsidP="00161492">
            <w:pPr>
              <w:spacing w:before="0"/>
              <w:ind w:left="0"/>
              <w:jc w:val="center"/>
              <w:rPr>
                <w:rFonts w:ascii="Times New Roman" w:hAnsi="Times New Roman"/>
              </w:rPr>
            </w:pPr>
            <w:r w:rsidRPr="00006A75">
              <w:rPr>
                <w:rFonts w:ascii="Times New Roman" w:hAnsi="Times New Roman"/>
              </w:rPr>
              <w:t>D</w:t>
            </w:r>
            <w:r w:rsidR="00C36076">
              <w:rPr>
                <w:rFonts w:ascii="Times New Roman" w:hAnsi="Times New Roman"/>
              </w:rPr>
              <w:t>+</w:t>
            </w:r>
          </w:p>
        </w:tc>
        <w:tc>
          <w:tcPr>
            <w:tcW w:w="2735" w:type="pct"/>
            <w:tcBorders>
              <w:top w:val="single" w:sz="4" w:space="0" w:color="auto"/>
              <w:left w:val="single" w:sz="4" w:space="0" w:color="auto"/>
              <w:bottom w:val="single" w:sz="4" w:space="0" w:color="auto"/>
              <w:right w:val="single" w:sz="4" w:space="0" w:color="auto"/>
            </w:tcBorders>
            <w:vAlign w:val="center"/>
            <w:hideMark/>
          </w:tcPr>
          <w:p w14:paraId="3B0E0816" w14:textId="77777777" w:rsidR="007518E4" w:rsidRPr="00006A75" w:rsidRDefault="007518E4" w:rsidP="00161492">
            <w:pPr>
              <w:spacing w:before="0"/>
              <w:ind w:left="0"/>
              <w:rPr>
                <w:rFonts w:ascii="Times New Roman" w:hAnsi="Times New Roman"/>
              </w:rPr>
            </w:pPr>
            <w:r w:rsidRPr="00006A75">
              <w:rPr>
                <w:rFonts w:ascii="Times New Roman" w:hAnsi="Times New Roman"/>
              </w:rPr>
              <w:t>Dimension scores combined by Method M2 (average)</w:t>
            </w:r>
          </w:p>
        </w:tc>
      </w:tr>
      <w:tr w:rsidR="007518E4" w:rsidRPr="00930334" w14:paraId="659CC200" w14:textId="77777777" w:rsidTr="007518E4">
        <w:trPr>
          <w:trHeight w:val="647"/>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06384448" w14:textId="77777777" w:rsidR="007518E4" w:rsidRPr="00006A75" w:rsidRDefault="007518E4" w:rsidP="00161492">
            <w:pPr>
              <w:spacing w:before="0"/>
              <w:ind w:left="0"/>
              <w:rPr>
                <w:rFonts w:ascii="Times New Roman" w:hAnsi="Times New Roman"/>
                <w:color w:val="000000"/>
              </w:rPr>
            </w:pPr>
            <w:r w:rsidRPr="00006A75">
              <w:rPr>
                <w:rFonts w:ascii="Times New Roman" w:hAnsi="Times New Roman"/>
                <w:color w:val="000000"/>
              </w:rPr>
              <w:t>6.1 Expenditure outside financial reports</w:t>
            </w:r>
          </w:p>
        </w:tc>
        <w:tc>
          <w:tcPr>
            <w:tcW w:w="705" w:type="pct"/>
            <w:tcBorders>
              <w:top w:val="single" w:sz="4" w:space="0" w:color="auto"/>
              <w:left w:val="single" w:sz="4" w:space="0" w:color="auto"/>
              <w:bottom w:val="single" w:sz="4" w:space="0" w:color="auto"/>
              <w:right w:val="single" w:sz="4" w:space="0" w:color="auto"/>
            </w:tcBorders>
            <w:vAlign w:val="center"/>
          </w:tcPr>
          <w:p w14:paraId="37A02A24" w14:textId="77777777" w:rsidR="007518E4" w:rsidRPr="00006A75" w:rsidRDefault="007518E4" w:rsidP="00161492">
            <w:pPr>
              <w:spacing w:before="0"/>
              <w:ind w:left="0"/>
              <w:jc w:val="center"/>
              <w:rPr>
                <w:rFonts w:ascii="Times New Roman" w:hAnsi="Times New Roman"/>
              </w:rPr>
            </w:pPr>
            <w:r w:rsidRPr="00006A75">
              <w:rPr>
                <w:rFonts w:ascii="Times New Roman" w:hAnsi="Times New Roman"/>
              </w:rPr>
              <w:t>D</w:t>
            </w:r>
          </w:p>
        </w:tc>
        <w:tc>
          <w:tcPr>
            <w:tcW w:w="2735" w:type="pct"/>
            <w:tcBorders>
              <w:top w:val="single" w:sz="4" w:space="0" w:color="auto"/>
              <w:left w:val="single" w:sz="4" w:space="0" w:color="auto"/>
              <w:bottom w:val="single" w:sz="4" w:space="0" w:color="auto"/>
              <w:right w:val="single" w:sz="4" w:space="0" w:color="auto"/>
            </w:tcBorders>
            <w:vAlign w:val="center"/>
          </w:tcPr>
          <w:p w14:paraId="167D7275" w14:textId="77777777" w:rsidR="007518E4" w:rsidRPr="00F02A88" w:rsidRDefault="007518E4" w:rsidP="00161492">
            <w:pPr>
              <w:spacing w:before="0"/>
              <w:ind w:left="0"/>
              <w:rPr>
                <w:rFonts w:ascii="Times New Roman" w:hAnsi="Times New Roman"/>
                <w:highlight w:val="yellow"/>
                <w:lang w:eastAsia="en-IN"/>
              </w:rPr>
            </w:pPr>
            <w:r w:rsidRPr="00F02A88">
              <w:rPr>
                <w:rFonts w:ascii="Times New Roman" w:hAnsi="Times New Roman"/>
              </w:rPr>
              <w:t xml:space="preserve">The amount of </w:t>
            </w:r>
            <w:r>
              <w:rPr>
                <w:rFonts w:ascii="Times New Roman" w:hAnsi="Times New Roman"/>
              </w:rPr>
              <w:t>extrabudgetary</w:t>
            </w:r>
            <w:r w:rsidRPr="00F02A88">
              <w:rPr>
                <w:rFonts w:ascii="Times New Roman" w:hAnsi="Times New Roman"/>
              </w:rPr>
              <w:t xml:space="preserve"> expenditure that remains off-budget and not on government financial records but reported separately are related to externally financed projects, and the expenditures from the statutory </w:t>
            </w:r>
            <w:r>
              <w:rPr>
                <w:rFonts w:ascii="Times New Roman" w:hAnsi="Times New Roman"/>
              </w:rPr>
              <w:t>extrabudgetary</w:t>
            </w:r>
            <w:r w:rsidRPr="00F02A88">
              <w:rPr>
                <w:rFonts w:ascii="Times New Roman" w:hAnsi="Times New Roman"/>
              </w:rPr>
              <w:t xml:space="preserve"> funds.  For 2016 and 2017, the amount of unreported expenditures cannot be fully estimated but is likely to be more than 10% of total government budget expenditure</w:t>
            </w:r>
            <w:r>
              <w:rPr>
                <w:rFonts w:ascii="Times New Roman" w:hAnsi="Times New Roman"/>
              </w:rPr>
              <w:t>.</w:t>
            </w:r>
          </w:p>
        </w:tc>
      </w:tr>
      <w:tr w:rsidR="007518E4" w:rsidRPr="00930334" w14:paraId="0FDA71A0" w14:textId="77777777" w:rsidTr="007518E4">
        <w:trPr>
          <w:trHeight w:val="260"/>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49CB6F7D" w14:textId="77777777" w:rsidR="007518E4" w:rsidRPr="00006A75" w:rsidRDefault="007518E4" w:rsidP="00161492">
            <w:pPr>
              <w:spacing w:before="0"/>
              <w:ind w:left="0"/>
              <w:rPr>
                <w:rFonts w:ascii="Times New Roman" w:hAnsi="Times New Roman"/>
                <w:color w:val="000000"/>
              </w:rPr>
            </w:pPr>
            <w:r w:rsidRPr="00006A75">
              <w:rPr>
                <w:rFonts w:ascii="Times New Roman" w:hAnsi="Times New Roman"/>
                <w:color w:val="000000"/>
              </w:rPr>
              <w:t xml:space="preserve">6.2 Revenue outside financial reports </w:t>
            </w:r>
          </w:p>
        </w:tc>
        <w:tc>
          <w:tcPr>
            <w:tcW w:w="705" w:type="pct"/>
            <w:tcBorders>
              <w:top w:val="single" w:sz="4" w:space="0" w:color="auto"/>
              <w:left w:val="single" w:sz="4" w:space="0" w:color="auto"/>
              <w:bottom w:val="single" w:sz="4" w:space="0" w:color="auto"/>
              <w:right w:val="single" w:sz="4" w:space="0" w:color="auto"/>
            </w:tcBorders>
            <w:vAlign w:val="center"/>
          </w:tcPr>
          <w:p w14:paraId="1C80E10F" w14:textId="77777777" w:rsidR="007518E4" w:rsidRPr="00006A75" w:rsidRDefault="007518E4" w:rsidP="00161492">
            <w:pPr>
              <w:spacing w:before="0"/>
              <w:ind w:left="0"/>
              <w:jc w:val="center"/>
              <w:rPr>
                <w:rFonts w:ascii="Times New Roman" w:hAnsi="Times New Roman"/>
              </w:rPr>
            </w:pPr>
            <w:r w:rsidRPr="00006A75">
              <w:rPr>
                <w:rFonts w:ascii="Times New Roman" w:hAnsi="Times New Roman"/>
              </w:rPr>
              <w:t>D</w:t>
            </w:r>
          </w:p>
        </w:tc>
        <w:tc>
          <w:tcPr>
            <w:tcW w:w="2735" w:type="pct"/>
            <w:tcBorders>
              <w:top w:val="single" w:sz="4" w:space="0" w:color="auto"/>
              <w:left w:val="single" w:sz="4" w:space="0" w:color="auto"/>
              <w:bottom w:val="single" w:sz="4" w:space="0" w:color="auto"/>
              <w:right w:val="single" w:sz="4" w:space="0" w:color="auto"/>
            </w:tcBorders>
            <w:vAlign w:val="center"/>
          </w:tcPr>
          <w:p w14:paraId="1746BD57" w14:textId="77777777" w:rsidR="007518E4" w:rsidRPr="00F02A88" w:rsidRDefault="007518E4" w:rsidP="00161492">
            <w:pPr>
              <w:spacing w:before="0"/>
              <w:ind w:left="0"/>
              <w:rPr>
                <w:rFonts w:ascii="Times New Roman" w:hAnsi="Times New Roman"/>
                <w:lang w:eastAsia="en-IN"/>
              </w:rPr>
            </w:pPr>
            <w:r w:rsidRPr="00F02A88">
              <w:rPr>
                <w:rFonts w:ascii="Times New Roman" w:hAnsi="Times New Roman"/>
                <w:lang w:eastAsia="en-IN"/>
              </w:rPr>
              <w:t>Government financial reports concerning revenue from grants and loans from Development Partners have not been produced systematically and timely and the amount involved is likely to be in the order of 25% of total budgetary central government revenue. The technical revenue generated by service fees and charges from budgetary entities is consolidated at ministry level.</w:t>
            </w:r>
          </w:p>
        </w:tc>
      </w:tr>
      <w:tr w:rsidR="007518E4" w:rsidRPr="00930334" w14:paraId="3295A7D2" w14:textId="77777777" w:rsidTr="007518E4">
        <w:trPr>
          <w:trHeight w:val="530"/>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14:paraId="4A45B162" w14:textId="77777777" w:rsidR="007518E4" w:rsidRPr="00006A75" w:rsidRDefault="007518E4" w:rsidP="00161492">
            <w:pPr>
              <w:spacing w:before="0"/>
              <w:ind w:left="0"/>
              <w:rPr>
                <w:rFonts w:ascii="Times New Roman" w:hAnsi="Times New Roman"/>
                <w:color w:val="000000"/>
              </w:rPr>
            </w:pPr>
            <w:r w:rsidRPr="00006A75">
              <w:rPr>
                <w:rFonts w:ascii="Times New Roman" w:hAnsi="Times New Roman"/>
                <w:color w:val="000000"/>
              </w:rPr>
              <w:t>6.3 Financial reports of extra budgetary unit</w:t>
            </w:r>
          </w:p>
        </w:tc>
        <w:tc>
          <w:tcPr>
            <w:tcW w:w="705" w:type="pct"/>
            <w:tcBorders>
              <w:top w:val="single" w:sz="4" w:space="0" w:color="auto"/>
              <w:left w:val="single" w:sz="4" w:space="0" w:color="auto"/>
              <w:bottom w:val="single" w:sz="4" w:space="0" w:color="auto"/>
              <w:right w:val="single" w:sz="4" w:space="0" w:color="auto"/>
            </w:tcBorders>
            <w:vAlign w:val="center"/>
          </w:tcPr>
          <w:p w14:paraId="6EB2E786" w14:textId="77777777" w:rsidR="007518E4" w:rsidRPr="00006A75" w:rsidRDefault="00C36076" w:rsidP="00161492">
            <w:pPr>
              <w:spacing w:before="0"/>
              <w:ind w:left="0"/>
              <w:jc w:val="center"/>
              <w:rPr>
                <w:rFonts w:ascii="Times New Roman" w:hAnsi="Times New Roman"/>
              </w:rPr>
            </w:pPr>
            <w:r>
              <w:rPr>
                <w:rFonts w:ascii="Times New Roman" w:hAnsi="Times New Roman"/>
              </w:rPr>
              <w:t>C</w:t>
            </w:r>
          </w:p>
        </w:tc>
        <w:tc>
          <w:tcPr>
            <w:tcW w:w="2735" w:type="pct"/>
            <w:tcBorders>
              <w:top w:val="single" w:sz="4" w:space="0" w:color="auto"/>
              <w:left w:val="single" w:sz="4" w:space="0" w:color="auto"/>
              <w:bottom w:val="single" w:sz="4" w:space="0" w:color="auto"/>
              <w:right w:val="single" w:sz="4" w:space="0" w:color="auto"/>
            </w:tcBorders>
            <w:vAlign w:val="center"/>
          </w:tcPr>
          <w:p w14:paraId="6068E13C" w14:textId="65B25197" w:rsidR="007518E4" w:rsidRPr="00006A75" w:rsidRDefault="007518E4" w:rsidP="00C36076">
            <w:pPr>
              <w:spacing w:before="0"/>
              <w:ind w:left="0"/>
              <w:rPr>
                <w:rFonts w:ascii="Times New Roman" w:eastAsia="ヒラギノ角ゴ Pro W3" w:hAnsi="Times New Roman"/>
                <w:color w:val="000000"/>
                <w:lang w:eastAsia="en-IN"/>
              </w:rPr>
            </w:pPr>
            <w:r w:rsidRPr="00006A75">
              <w:rPr>
                <w:rFonts w:ascii="Times New Roman" w:eastAsia="ヒラギノ角ゴ Pro W3" w:hAnsi="Times New Roman"/>
                <w:color w:val="000000"/>
                <w:lang w:eastAsia="en-IN"/>
              </w:rPr>
              <w:t xml:space="preserve">The main </w:t>
            </w:r>
            <w:r w:rsidR="00B17EA8">
              <w:rPr>
                <w:rFonts w:ascii="Times New Roman" w:eastAsia="ヒラギノ角ゴ Pro W3" w:hAnsi="Times New Roman"/>
                <w:color w:val="000000"/>
                <w:lang w:eastAsia="en-IN"/>
              </w:rPr>
              <w:t>2</w:t>
            </w:r>
            <w:r w:rsidRPr="00006A75">
              <w:rPr>
                <w:rFonts w:ascii="Times New Roman" w:eastAsia="ヒラギノ角ゴ Pro W3" w:hAnsi="Times New Roman"/>
                <w:color w:val="000000"/>
                <w:lang w:eastAsia="en-IN"/>
              </w:rPr>
              <w:t xml:space="preserve"> </w:t>
            </w:r>
            <w:r>
              <w:rPr>
                <w:rFonts w:ascii="Times New Roman" w:eastAsia="ヒラギノ角ゴ Pro W3" w:hAnsi="Times New Roman"/>
                <w:color w:val="000000"/>
                <w:lang w:eastAsia="en-IN"/>
              </w:rPr>
              <w:t>extrabudgetary</w:t>
            </w:r>
            <w:r w:rsidRPr="00006A75">
              <w:rPr>
                <w:rFonts w:ascii="Times New Roman" w:eastAsia="ヒラギノ角ゴ Pro W3" w:hAnsi="Times New Roman"/>
                <w:color w:val="000000"/>
                <w:lang w:eastAsia="en-IN"/>
              </w:rPr>
              <w:t xml:space="preserve"> funds representing </w:t>
            </w:r>
            <w:r w:rsidR="00C36076">
              <w:rPr>
                <w:rFonts w:ascii="Times New Roman" w:eastAsia="ヒラギノ角ゴ Pro W3" w:hAnsi="Times New Roman"/>
                <w:color w:val="000000"/>
                <w:lang w:eastAsia="en-IN"/>
              </w:rPr>
              <w:t xml:space="preserve">over 50% but less than 75% </w:t>
            </w:r>
            <w:r w:rsidRPr="00006A75">
              <w:rPr>
                <w:rFonts w:ascii="Times New Roman" w:eastAsia="ヒラギノ角ゴ Pro W3" w:hAnsi="Times New Roman"/>
                <w:color w:val="000000"/>
                <w:lang w:eastAsia="en-IN"/>
              </w:rPr>
              <w:t xml:space="preserve">of the </w:t>
            </w:r>
            <w:r>
              <w:rPr>
                <w:rFonts w:ascii="Times New Roman" w:eastAsia="ヒラギノ角ゴ Pro W3" w:hAnsi="Times New Roman"/>
                <w:color w:val="000000"/>
                <w:lang w:eastAsia="en-IN"/>
              </w:rPr>
              <w:t>extrabudgetary</w:t>
            </w:r>
            <w:r w:rsidRPr="00006A75">
              <w:rPr>
                <w:rFonts w:ascii="Times New Roman" w:eastAsia="ヒラギノ角ゴ Pro W3" w:hAnsi="Times New Roman"/>
                <w:color w:val="000000"/>
                <w:lang w:eastAsia="en-IN"/>
              </w:rPr>
              <w:t xml:space="preserve"> funds combined annual expenditure (from the government fiscal transfers and own resources), have submitted financial reports within 9 months of end of the financial year in 2018.</w:t>
            </w:r>
            <w:r w:rsidRPr="00006A75">
              <w:rPr>
                <w:rFonts w:ascii="Times New Roman" w:hAnsi="Times New Roman"/>
                <w:lang w:eastAsia="en-IN"/>
              </w:rPr>
              <w:t xml:space="preserve"> </w:t>
            </w:r>
          </w:p>
        </w:tc>
      </w:tr>
    </w:tbl>
    <w:p w14:paraId="3253E1C8" w14:textId="77777777" w:rsidR="007518E4" w:rsidRPr="00FE6ED4" w:rsidRDefault="007518E4" w:rsidP="00161492">
      <w:pPr>
        <w:tabs>
          <w:tab w:val="left" w:pos="7740"/>
        </w:tabs>
        <w:spacing w:after="240"/>
        <w:ind w:left="0"/>
        <w:rPr>
          <w:rFonts w:ascii="Times New Roman" w:eastAsia="Calibri" w:hAnsi="Times New Roman"/>
          <w:b/>
          <w:bCs/>
          <w:color w:val="28C0DA"/>
          <w:spacing w:val="-1"/>
          <w:sz w:val="24"/>
        </w:rPr>
      </w:pPr>
      <w:r w:rsidRPr="00FE6ED4">
        <w:rPr>
          <w:rFonts w:ascii="Times New Roman" w:eastAsia="Calibri" w:hAnsi="Times New Roman"/>
          <w:b/>
          <w:bCs/>
          <w:color w:val="28C0DA"/>
          <w:spacing w:val="-1"/>
          <w:sz w:val="24"/>
        </w:rPr>
        <w:t xml:space="preserve">6.1 Expenditure </w:t>
      </w:r>
      <w:r>
        <w:rPr>
          <w:rFonts w:ascii="Times New Roman" w:eastAsia="Calibri" w:hAnsi="Times New Roman"/>
          <w:b/>
          <w:bCs/>
          <w:color w:val="28C0DA"/>
          <w:spacing w:val="-1"/>
          <w:sz w:val="24"/>
        </w:rPr>
        <w:t>o</w:t>
      </w:r>
      <w:r w:rsidRPr="00FE6ED4">
        <w:rPr>
          <w:rFonts w:ascii="Times New Roman" w:eastAsia="Calibri" w:hAnsi="Times New Roman"/>
          <w:b/>
          <w:bCs/>
          <w:color w:val="28C0DA"/>
          <w:spacing w:val="-1"/>
          <w:sz w:val="24"/>
        </w:rPr>
        <w:t xml:space="preserve">utside </w:t>
      </w:r>
      <w:r>
        <w:rPr>
          <w:rFonts w:ascii="Times New Roman" w:eastAsia="Calibri" w:hAnsi="Times New Roman"/>
          <w:b/>
          <w:bCs/>
          <w:color w:val="28C0DA"/>
          <w:spacing w:val="-1"/>
          <w:sz w:val="24"/>
        </w:rPr>
        <w:t>f</w:t>
      </w:r>
      <w:r w:rsidRPr="00FE6ED4">
        <w:rPr>
          <w:rFonts w:ascii="Times New Roman" w:eastAsia="Calibri" w:hAnsi="Times New Roman"/>
          <w:b/>
          <w:bCs/>
          <w:color w:val="28C0DA"/>
          <w:spacing w:val="-1"/>
          <w:sz w:val="24"/>
        </w:rPr>
        <w:t xml:space="preserve">inancial </w:t>
      </w:r>
      <w:r>
        <w:rPr>
          <w:rFonts w:ascii="Times New Roman" w:eastAsia="Calibri" w:hAnsi="Times New Roman"/>
          <w:b/>
          <w:bCs/>
          <w:color w:val="28C0DA"/>
          <w:spacing w:val="-1"/>
          <w:sz w:val="24"/>
        </w:rPr>
        <w:t>r</w:t>
      </w:r>
      <w:r w:rsidRPr="00FE6ED4">
        <w:rPr>
          <w:rFonts w:ascii="Times New Roman" w:eastAsia="Calibri" w:hAnsi="Times New Roman"/>
          <w:b/>
          <w:bCs/>
          <w:color w:val="28C0DA"/>
          <w:spacing w:val="-1"/>
          <w:sz w:val="24"/>
        </w:rPr>
        <w:t>eports</w:t>
      </w:r>
    </w:p>
    <w:p w14:paraId="57097BDD" w14:textId="77777777" w:rsidR="007518E4" w:rsidRPr="009217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921730">
        <w:rPr>
          <w:rFonts w:ascii="Times New Roman" w:hAnsi="Times New Roman"/>
          <w:b/>
          <w:sz w:val="24"/>
        </w:rPr>
        <w:t>There are approximately 15 extrabudgetary funds in Lao PDR</w:t>
      </w:r>
      <w:r w:rsidR="003274DB">
        <w:rPr>
          <w:rFonts w:ascii="Times New Roman" w:hAnsi="Times New Roman"/>
          <w:sz w:val="24"/>
        </w:rPr>
        <w:t xml:space="preserve">. </w:t>
      </w:r>
      <w:r w:rsidRPr="00921730">
        <w:rPr>
          <w:rFonts w:ascii="Times New Roman" w:hAnsi="Times New Roman"/>
          <w:sz w:val="24"/>
        </w:rPr>
        <w:t>These funds can only operate if a law is issued through a specific Prime Minister Decree that establishes their operation.</w:t>
      </w:r>
      <w:r w:rsidRPr="00921730">
        <w:rPr>
          <w:rFonts w:ascii="Times New Roman" w:hAnsi="Times New Roman"/>
          <w:sz w:val="24"/>
          <w:lang w:val="en-MY"/>
        </w:rPr>
        <w:t xml:space="preserve">  Each</w:t>
      </w:r>
      <w:r w:rsidRPr="00921730">
        <w:rPr>
          <w:rFonts w:ascii="Times New Roman" w:hAnsi="Times New Roman"/>
          <w:sz w:val="24"/>
        </w:rPr>
        <w:t xml:space="preserve"> decree includes a specific provision for the statutory funds to submit their financial revenue and expenditure report to their respective Ministry which then should be consolidated.  However, t</w:t>
      </w:r>
      <w:r w:rsidRPr="00921730">
        <w:rPr>
          <w:rFonts w:ascii="Times New Roman" w:hAnsi="Times New Roman"/>
          <w:sz w:val="24"/>
          <w:lang w:val="en-MY"/>
        </w:rPr>
        <w:t xml:space="preserve">he annual State Budget Plan reports only the </w:t>
      </w:r>
      <w:r w:rsidRPr="00921730">
        <w:rPr>
          <w:rFonts w:ascii="Times New Roman" w:hAnsi="Times New Roman"/>
          <w:sz w:val="24"/>
        </w:rPr>
        <w:t xml:space="preserve">main extrabudgetary funds that have </w:t>
      </w:r>
      <w:r w:rsidRPr="00921730">
        <w:rPr>
          <w:rFonts w:ascii="Times New Roman" w:hAnsi="Times New Roman"/>
          <w:sz w:val="24"/>
          <w:lang w:val="en-MY"/>
        </w:rPr>
        <w:t>submitted information to MoF on time for the budget planning</w:t>
      </w:r>
      <w:r w:rsidRPr="00921730">
        <w:rPr>
          <w:rFonts w:ascii="Times New Roman" w:hAnsi="Times New Roman"/>
          <w:sz w:val="24"/>
        </w:rPr>
        <w:t xml:space="preserve"> (see below)</w:t>
      </w:r>
      <w:r w:rsidRPr="00921730">
        <w:rPr>
          <w:rStyle w:val="FootnoteReference"/>
          <w:rFonts w:ascii="Times New Roman" w:hAnsi="Times New Roman"/>
          <w:sz w:val="24"/>
        </w:rPr>
        <w:footnoteReference w:id="24"/>
      </w:r>
      <w:r w:rsidRPr="00921730">
        <w:rPr>
          <w:rFonts w:ascii="Times New Roman" w:hAnsi="Times New Roman"/>
          <w:sz w:val="24"/>
        </w:rPr>
        <w:t>:</w:t>
      </w:r>
    </w:p>
    <w:p w14:paraId="21E1AEB2"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rPr>
        <w:t>Ministry of Education:</w:t>
      </w:r>
      <w:r w:rsidRPr="00006A75">
        <w:rPr>
          <w:rFonts w:ascii="Times New Roman" w:hAnsi="Times New Roman" w:cs="Times New Roman"/>
        </w:rPr>
        <w:t xml:space="preserve"> provincial universities and school fees collected </w:t>
      </w:r>
    </w:p>
    <w:p w14:paraId="69F79B3C"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rPr>
        <w:t>Ministry of Health:</w:t>
      </w:r>
      <w:r w:rsidRPr="00006A75">
        <w:rPr>
          <w:rFonts w:ascii="Times New Roman" w:hAnsi="Times New Roman" w:cs="Times New Roman"/>
        </w:rPr>
        <w:t xml:space="preserve"> Health Fund, originally covering the activities of the Health Equity Funds (HEFs), community health and pro-poor health insurance and free maternal and child health services in selected provinces. The new integrated National Health Insurance scheme which has been launched and piloted since September 2017 in </w:t>
      </w:r>
      <w:r w:rsidRPr="00006A75">
        <w:rPr>
          <w:rFonts w:ascii="Times New Roman" w:hAnsi="Times New Roman" w:cs="Times New Roman"/>
        </w:rPr>
        <w:lastRenderedPageBreak/>
        <w:t>selected provinces is currently financed through contributions from both the public and private sectors.</w:t>
      </w:r>
    </w:p>
    <w:p w14:paraId="5B0B2BF4"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lang w:val="en-MY"/>
        </w:rPr>
        <w:t>Ministry of Public Works:</w:t>
      </w:r>
      <w:r w:rsidRPr="00006A75">
        <w:rPr>
          <w:rFonts w:ascii="Times New Roman" w:hAnsi="Times New Roman" w:cs="Times New Roman"/>
          <w:lang w:val="en-MY"/>
        </w:rPr>
        <w:t xml:space="preserve">  covering the Road Fund governed by the Decree on Road Fund dated 1 June 2016 financed through levies on fuel prices integrated to the budget revenue (0.5% of GDP). </w:t>
      </w:r>
    </w:p>
    <w:p w14:paraId="56A223B4"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lang w:val="en-MY"/>
        </w:rPr>
        <w:t>Ministry of Agriculture and Forestry:</w:t>
      </w:r>
      <w:r w:rsidRPr="00006A75">
        <w:rPr>
          <w:rFonts w:ascii="Times New Roman" w:hAnsi="Times New Roman" w:cs="Times New Roman"/>
          <w:lang w:val="en-MY"/>
        </w:rPr>
        <w:t xml:space="preserve"> covering the Forestry Development Fund and more recently the Poverty Reduction Fund, financed by the donors, governed by the Decree on Poverty Reduction Fund dated 3 August 2017.</w:t>
      </w:r>
    </w:p>
    <w:p w14:paraId="25409818"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lang w:val="en-MY"/>
        </w:rPr>
        <w:t>The Ministry of Energy and Mining:</w:t>
      </w:r>
      <w:r w:rsidRPr="00006A75">
        <w:rPr>
          <w:rFonts w:ascii="Times New Roman" w:hAnsi="Times New Roman" w:cs="Times New Roman"/>
          <w:lang w:val="en-MY"/>
        </w:rPr>
        <w:t xml:space="preserve"> Renewable Energy Fund.</w:t>
      </w:r>
    </w:p>
    <w:p w14:paraId="3A17932E"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lang w:val="en-MY"/>
        </w:rPr>
        <w:t>Ministry of Labour:</w:t>
      </w:r>
      <w:r w:rsidRPr="00006A75">
        <w:rPr>
          <w:rFonts w:ascii="Times New Roman" w:hAnsi="Times New Roman" w:cs="Times New Roman"/>
          <w:lang w:val="en-MY"/>
        </w:rPr>
        <w:t xml:space="preserve"> covering the Social Security Fund established through Decree dated 17 October 2012.</w:t>
      </w:r>
    </w:p>
    <w:p w14:paraId="357629F9" w14:textId="77777777" w:rsidR="007518E4" w:rsidRPr="009217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921730">
        <w:rPr>
          <w:rFonts w:ascii="Times New Roman" w:hAnsi="Times New Roman"/>
          <w:b/>
          <w:sz w:val="24"/>
          <w:lang w:val="en-MY"/>
        </w:rPr>
        <w:t>Other major extrabudgetary funds operat</w:t>
      </w:r>
      <w:r w:rsidR="00161492" w:rsidRPr="00921730">
        <w:rPr>
          <w:rFonts w:ascii="Times New Roman" w:hAnsi="Times New Roman"/>
          <w:b/>
          <w:sz w:val="24"/>
          <w:lang w:val="en-MY"/>
        </w:rPr>
        <w:t>e</w:t>
      </w:r>
      <w:r w:rsidRPr="00921730">
        <w:rPr>
          <w:rFonts w:ascii="Times New Roman" w:hAnsi="Times New Roman"/>
          <w:b/>
          <w:sz w:val="24"/>
          <w:lang w:val="en-MY"/>
        </w:rPr>
        <w:t xml:space="preserve"> under their respective decree</w:t>
      </w:r>
      <w:r w:rsidR="003274DB">
        <w:rPr>
          <w:rFonts w:ascii="Times New Roman" w:hAnsi="Times New Roman"/>
          <w:sz w:val="24"/>
          <w:lang w:val="en-MY"/>
        </w:rPr>
        <w:t xml:space="preserve">. </w:t>
      </w:r>
      <w:r w:rsidR="00161492" w:rsidRPr="00921730">
        <w:rPr>
          <w:rFonts w:ascii="Times New Roman" w:hAnsi="Times New Roman"/>
          <w:sz w:val="24"/>
          <w:lang w:val="en-MY"/>
        </w:rPr>
        <w:t>These a</w:t>
      </w:r>
      <w:r w:rsidRPr="00921730">
        <w:rPr>
          <w:rFonts w:ascii="Times New Roman" w:hAnsi="Times New Roman"/>
          <w:sz w:val="24"/>
          <w:lang w:val="en-MY"/>
        </w:rPr>
        <w:t>re financed directly through own resources from private sector or DPs, and established as:</w:t>
      </w:r>
    </w:p>
    <w:p w14:paraId="1134FC44"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006A75">
        <w:rPr>
          <w:rFonts w:ascii="Times New Roman" w:hAnsi="Times New Roman" w:cs="Times New Roman"/>
          <w:b/>
          <w:lang w:val="en-MY"/>
        </w:rPr>
        <w:t>Environmental Protection Fund</w:t>
      </w:r>
      <w:r w:rsidRPr="00006A75">
        <w:rPr>
          <w:rFonts w:ascii="Times New Roman" w:hAnsi="Times New Roman" w:cs="Times New Roman"/>
          <w:lang w:val="en-MY"/>
        </w:rPr>
        <w:t xml:space="preserve"> governed by the Decree on Environment Protection dated 8 March 2017 </w:t>
      </w:r>
      <w:r w:rsidRPr="00006A75">
        <w:rPr>
          <w:rFonts w:ascii="Times New Roman" w:hAnsi="Times New Roman" w:cs="Times New Roman"/>
          <w:color w:val="auto"/>
          <w:lang w:val="en-MY"/>
        </w:rPr>
        <w:t xml:space="preserve">and mostly funded by development partners </w:t>
      </w:r>
      <w:r>
        <w:rPr>
          <w:rFonts w:ascii="Times New Roman" w:hAnsi="Times New Roman" w:cs="Times New Roman"/>
          <w:color w:val="auto"/>
          <w:lang w:val="en-MY"/>
        </w:rPr>
        <w:t xml:space="preserve">and </w:t>
      </w:r>
      <w:r w:rsidRPr="00006A75">
        <w:rPr>
          <w:rFonts w:ascii="Times New Roman" w:hAnsi="Times New Roman" w:cs="Times New Roman"/>
        </w:rPr>
        <w:t>established as an autonomous organization, both financially and administratively.</w:t>
      </w:r>
    </w:p>
    <w:p w14:paraId="38BE8921" w14:textId="77777777" w:rsidR="007518E4" w:rsidRPr="00006A75" w:rsidRDefault="007518E4" w:rsidP="008037D9">
      <w:pPr>
        <w:pStyle w:val="Default"/>
        <w:numPr>
          <w:ilvl w:val="0"/>
          <w:numId w:val="46"/>
        </w:numPr>
        <w:spacing w:before="0"/>
        <w:rPr>
          <w:rFonts w:ascii="Times New Roman" w:hAnsi="Times New Roman" w:cs="Times New Roman"/>
          <w:lang w:val="en-MY"/>
        </w:rPr>
      </w:pPr>
      <w:r w:rsidRPr="00161492">
        <w:rPr>
          <w:rFonts w:ascii="Times New Roman" w:hAnsi="Times New Roman" w:cs="Times New Roman"/>
          <w:b/>
          <w:lang w:val="en-MY"/>
        </w:rPr>
        <w:t>Other Fund</w:t>
      </w:r>
      <w:r w:rsidRPr="00006A75">
        <w:rPr>
          <w:rFonts w:ascii="Times New Roman" w:hAnsi="Times New Roman" w:cs="Times New Roman"/>
          <w:lang w:val="en-MY"/>
        </w:rPr>
        <w:t>s such as the Tobacco Control Fund (decree dated 21 May 2013), the SME Fund, the T</w:t>
      </w:r>
      <w:r>
        <w:rPr>
          <w:rFonts w:ascii="Times New Roman" w:hAnsi="Times New Roman" w:cs="Times New Roman"/>
          <w:lang w:val="en-MY"/>
        </w:rPr>
        <w:t>o</w:t>
      </w:r>
      <w:r w:rsidRPr="00006A75">
        <w:rPr>
          <w:rFonts w:ascii="Times New Roman" w:hAnsi="Times New Roman" w:cs="Times New Roman"/>
          <w:lang w:val="en-MY"/>
        </w:rPr>
        <w:t xml:space="preserve">urism Fund, etc. </w:t>
      </w:r>
    </w:p>
    <w:p w14:paraId="009F9B52" w14:textId="77777777" w:rsidR="007518E4" w:rsidRPr="009217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921730">
        <w:rPr>
          <w:rFonts w:ascii="Times New Roman" w:hAnsi="Times New Roman"/>
          <w:b/>
          <w:sz w:val="24"/>
        </w:rPr>
        <w:t>Table 6.1 below summarizes additional information available on the MoF website on extrabudgetary funds for 2017 and 2018</w:t>
      </w:r>
      <w:r w:rsidRPr="00921730">
        <w:rPr>
          <w:rFonts w:ascii="Times New Roman" w:hAnsi="Times New Roman"/>
          <w:sz w:val="24"/>
        </w:rPr>
        <w:t>, and reports an amount corresponding to approximately 2.5% of the estimated expenditure for 2017 as follows:</w:t>
      </w:r>
    </w:p>
    <w:tbl>
      <w:tblPr>
        <w:tblW w:w="5000" w:type="pct"/>
        <w:tblCellMar>
          <w:left w:w="70" w:type="dxa"/>
          <w:right w:w="70" w:type="dxa"/>
        </w:tblCellMar>
        <w:tblLook w:val="04A0" w:firstRow="1" w:lastRow="0" w:firstColumn="1" w:lastColumn="0" w:noHBand="0" w:noVBand="1"/>
      </w:tblPr>
      <w:tblGrid>
        <w:gridCol w:w="902"/>
        <w:gridCol w:w="3346"/>
        <w:gridCol w:w="1113"/>
        <w:gridCol w:w="1392"/>
        <w:gridCol w:w="1066"/>
        <w:gridCol w:w="1207"/>
      </w:tblGrid>
      <w:tr w:rsidR="007518E4" w:rsidRPr="00006A75" w14:paraId="21B7B006" w14:textId="77777777" w:rsidTr="007518E4">
        <w:trPr>
          <w:trHeight w:val="288"/>
        </w:trPr>
        <w:tc>
          <w:tcPr>
            <w:tcW w:w="5000" w:type="pct"/>
            <w:gridSpan w:val="6"/>
            <w:tcBorders>
              <w:top w:val="nil"/>
              <w:left w:val="nil"/>
              <w:bottom w:val="nil"/>
              <w:right w:val="nil"/>
            </w:tcBorders>
            <w:shd w:val="clear" w:color="auto" w:fill="auto"/>
            <w:vAlign w:val="bottom"/>
            <w:hideMark/>
          </w:tcPr>
          <w:p w14:paraId="06165496" w14:textId="77777777" w:rsidR="007518E4" w:rsidRPr="00161492" w:rsidRDefault="007518E4" w:rsidP="003274DB">
            <w:pPr>
              <w:spacing w:before="0"/>
              <w:jc w:val="center"/>
              <w:rPr>
                <w:rFonts w:ascii="Times New Roman" w:hAnsi="Times New Roman"/>
                <w:b/>
                <w:color w:val="000000" w:themeColor="text1"/>
                <w:sz w:val="20"/>
                <w:szCs w:val="20"/>
                <w:lang w:val="en-MY" w:eastAsia="fr-FR"/>
              </w:rPr>
            </w:pPr>
            <w:r w:rsidRPr="00161492">
              <w:rPr>
                <w:rFonts w:ascii="Times New Roman" w:hAnsi="Times New Roman"/>
                <w:b/>
                <w:color w:val="000000" w:themeColor="text1"/>
                <w:sz w:val="20"/>
                <w:szCs w:val="20"/>
                <w:lang w:val="en-MY" w:eastAsia="fr-FR"/>
              </w:rPr>
              <w:t>Table 6.1 - 2017 and 2018 Budget Expenditure of Extrabudgetary Funds</w:t>
            </w:r>
          </w:p>
        </w:tc>
      </w:tr>
      <w:tr w:rsidR="00161492" w:rsidRPr="00006A75" w14:paraId="5C0DAD94" w14:textId="77777777" w:rsidTr="00306AC5">
        <w:trPr>
          <w:trHeight w:val="255"/>
        </w:trPr>
        <w:tc>
          <w:tcPr>
            <w:tcW w:w="5000" w:type="pct"/>
            <w:gridSpan w:val="6"/>
            <w:tcBorders>
              <w:top w:val="nil"/>
              <w:left w:val="nil"/>
              <w:bottom w:val="nil"/>
              <w:right w:val="nil"/>
            </w:tcBorders>
            <w:shd w:val="clear" w:color="auto" w:fill="auto"/>
            <w:noWrap/>
            <w:hideMark/>
          </w:tcPr>
          <w:p w14:paraId="1EE897A1" w14:textId="77777777" w:rsidR="00161492" w:rsidRPr="00006A75" w:rsidRDefault="00161492" w:rsidP="003274DB">
            <w:pPr>
              <w:spacing w:before="0"/>
              <w:jc w:val="center"/>
              <w:rPr>
                <w:rFonts w:ascii="Times New Roman" w:hAnsi="Times New Roman"/>
                <w:sz w:val="20"/>
                <w:szCs w:val="20"/>
                <w:lang w:val="fr-FR" w:eastAsia="fr-FR"/>
              </w:rPr>
            </w:pPr>
            <w:r w:rsidRPr="00006A75">
              <w:rPr>
                <w:rFonts w:ascii="Times New Roman" w:hAnsi="Times New Roman"/>
                <w:color w:val="000000"/>
                <w:sz w:val="20"/>
                <w:szCs w:val="20"/>
                <w:lang w:val="fr-FR" w:eastAsia="fr-FR"/>
              </w:rPr>
              <w:t>In million kip</w:t>
            </w:r>
          </w:p>
        </w:tc>
      </w:tr>
      <w:tr w:rsidR="007518E4" w:rsidRPr="00006A75" w14:paraId="485C55CD" w14:textId="77777777" w:rsidTr="007604FD">
        <w:trPr>
          <w:trHeight w:val="288"/>
        </w:trPr>
        <w:tc>
          <w:tcPr>
            <w:tcW w:w="502" w:type="pct"/>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3C8DDCC"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No.</w:t>
            </w:r>
          </w:p>
        </w:tc>
        <w:tc>
          <w:tcPr>
            <w:tcW w:w="1856" w:type="pct"/>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BF1A0CC"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Description</w:t>
            </w:r>
          </w:p>
        </w:tc>
        <w:tc>
          <w:tcPr>
            <w:tcW w:w="1392" w:type="pct"/>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1FB262BD" w14:textId="77777777" w:rsidR="007518E4" w:rsidRPr="003B7706" w:rsidRDefault="007518E4" w:rsidP="00161492">
            <w:pPr>
              <w:spacing w:before="0"/>
              <w:ind w:left="0"/>
              <w:jc w:val="center"/>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2017</w:t>
            </w:r>
          </w:p>
        </w:tc>
        <w:tc>
          <w:tcPr>
            <w:tcW w:w="1250" w:type="pct"/>
            <w:gridSpan w:val="2"/>
            <w:tcBorders>
              <w:top w:val="single" w:sz="4" w:space="0" w:color="auto"/>
              <w:left w:val="nil"/>
              <w:bottom w:val="single" w:sz="4" w:space="0" w:color="auto"/>
              <w:right w:val="single" w:sz="4" w:space="0" w:color="auto"/>
            </w:tcBorders>
            <w:shd w:val="clear" w:color="000000" w:fill="DDD9C4"/>
            <w:noWrap/>
            <w:vAlign w:val="bottom"/>
            <w:hideMark/>
          </w:tcPr>
          <w:p w14:paraId="1982C215" w14:textId="77777777" w:rsidR="007518E4" w:rsidRPr="003B7706" w:rsidRDefault="007518E4" w:rsidP="00161492">
            <w:pPr>
              <w:spacing w:before="0"/>
              <w:ind w:left="0"/>
              <w:jc w:val="center"/>
              <w:rPr>
                <w:rFonts w:ascii="Times New Roman" w:hAnsi="Times New Roman"/>
                <w:b/>
                <w:bCs/>
                <w:sz w:val="20"/>
                <w:szCs w:val="20"/>
                <w:lang w:eastAsia="fr-FR"/>
              </w:rPr>
            </w:pPr>
            <w:r w:rsidRPr="003B7706">
              <w:rPr>
                <w:rFonts w:ascii="Times New Roman" w:hAnsi="Times New Roman"/>
                <w:b/>
                <w:bCs/>
                <w:sz w:val="20"/>
                <w:szCs w:val="20"/>
                <w:lang w:eastAsia="fr-FR"/>
              </w:rPr>
              <w:t>2018</w:t>
            </w:r>
          </w:p>
        </w:tc>
      </w:tr>
      <w:tr w:rsidR="007518E4" w:rsidRPr="00006A75" w14:paraId="35DCA4DA" w14:textId="77777777" w:rsidTr="007604FD">
        <w:trPr>
          <w:trHeight w:val="288"/>
        </w:trPr>
        <w:tc>
          <w:tcPr>
            <w:tcW w:w="502" w:type="pct"/>
            <w:vMerge/>
            <w:tcBorders>
              <w:top w:val="single" w:sz="4" w:space="0" w:color="auto"/>
              <w:left w:val="single" w:sz="4" w:space="0" w:color="auto"/>
              <w:bottom w:val="single" w:sz="4" w:space="0" w:color="auto"/>
              <w:right w:val="single" w:sz="4" w:space="0" w:color="auto"/>
            </w:tcBorders>
            <w:vAlign w:val="center"/>
            <w:hideMark/>
          </w:tcPr>
          <w:p w14:paraId="19547FD4"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1856" w:type="pct"/>
            <w:vMerge/>
            <w:tcBorders>
              <w:top w:val="single" w:sz="4" w:space="0" w:color="auto"/>
              <w:left w:val="single" w:sz="4" w:space="0" w:color="auto"/>
              <w:bottom w:val="single" w:sz="4" w:space="0" w:color="auto"/>
              <w:right w:val="single" w:sz="4" w:space="0" w:color="auto"/>
            </w:tcBorders>
            <w:vAlign w:val="center"/>
            <w:hideMark/>
          </w:tcPr>
          <w:p w14:paraId="59B8A023"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619" w:type="pct"/>
            <w:tcBorders>
              <w:top w:val="nil"/>
              <w:left w:val="nil"/>
              <w:bottom w:val="single" w:sz="4" w:space="0" w:color="auto"/>
              <w:right w:val="single" w:sz="4" w:space="0" w:color="auto"/>
            </w:tcBorders>
            <w:shd w:val="clear" w:color="auto" w:fill="F2F2F2" w:themeFill="background1" w:themeFillShade="F2"/>
            <w:noWrap/>
            <w:vAlign w:val="bottom"/>
            <w:hideMark/>
          </w:tcPr>
          <w:p w14:paraId="1AE43A6E"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Plan</w:t>
            </w:r>
          </w:p>
        </w:tc>
        <w:tc>
          <w:tcPr>
            <w:tcW w:w="773" w:type="pct"/>
            <w:tcBorders>
              <w:top w:val="nil"/>
              <w:left w:val="nil"/>
              <w:bottom w:val="single" w:sz="4" w:space="0" w:color="auto"/>
              <w:right w:val="single" w:sz="4" w:space="0" w:color="auto"/>
            </w:tcBorders>
            <w:shd w:val="clear" w:color="auto" w:fill="F2F2F2" w:themeFill="background1" w:themeFillShade="F2"/>
            <w:noWrap/>
            <w:vAlign w:val="bottom"/>
            <w:hideMark/>
          </w:tcPr>
          <w:p w14:paraId="40A24E06"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Expenditure</w:t>
            </w:r>
          </w:p>
        </w:tc>
        <w:tc>
          <w:tcPr>
            <w:tcW w:w="592" w:type="pct"/>
            <w:tcBorders>
              <w:top w:val="nil"/>
              <w:left w:val="nil"/>
              <w:bottom w:val="single" w:sz="4" w:space="0" w:color="auto"/>
              <w:right w:val="single" w:sz="4" w:space="0" w:color="auto"/>
            </w:tcBorders>
            <w:shd w:val="clear" w:color="000000" w:fill="DDD9C4"/>
            <w:noWrap/>
            <w:vAlign w:val="bottom"/>
            <w:hideMark/>
          </w:tcPr>
          <w:p w14:paraId="2D9821A2"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Plan</w:t>
            </w:r>
          </w:p>
        </w:tc>
        <w:tc>
          <w:tcPr>
            <w:tcW w:w="658" w:type="pct"/>
            <w:tcBorders>
              <w:top w:val="nil"/>
              <w:left w:val="nil"/>
              <w:bottom w:val="single" w:sz="4" w:space="0" w:color="auto"/>
              <w:right w:val="single" w:sz="4" w:space="0" w:color="auto"/>
            </w:tcBorders>
            <w:shd w:val="clear" w:color="000000" w:fill="DDD9C4"/>
            <w:noWrap/>
            <w:vAlign w:val="bottom"/>
            <w:hideMark/>
          </w:tcPr>
          <w:p w14:paraId="404F1B71"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Expenditure</w:t>
            </w:r>
          </w:p>
        </w:tc>
      </w:tr>
      <w:tr w:rsidR="007518E4" w:rsidRPr="00006A75" w14:paraId="14C1898C" w14:textId="77777777" w:rsidTr="007604FD">
        <w:trPr>
          <w:trHeight w:val="288"/>
        </w:trPr>
        <w:tc>
          <w:tcPr>
            <w:tcW w:w="502" w:type="pct"/>
            <w:tcBorders>
              <w:top w:val="nil"/>
              <w:left w:val="single" w:sz="4" w:space="0" w:color="auto"/>
              <w:bottom w:val="nil"/>
              <w:right w:val="single" w:sz="4" w:space="0" w:color="auto"/>
            </w:tcBorders>
            <w:shd w:val="clear" w:color="auto" w:fill="FFFFFF" w:themeFill="background1"/>
            <w:noWrap/>
            <w:vAlign w:val="center"/>
            <w:hideMark/>
          </w:tcPr>
          <w:p w14:paraId="6CAD2120" w14:textId="77777777" w:rsidR="007518E4" w:rsidRPr="003B7706" w:rsidRDefault="007518E4" w:rsidP="00161492">
            <w:pPr>
              <w:spacing w:before="0"/>
              <w:ind w:left="0"/>
              <w:jc w:val="left"/>
              <w:rPr>
                <w:rFonts w:ascii="Times New Roman" w:hAnsi="Times New Roman"/>
                <w:color w:val="000000"/>
                <w:sz w:val="20"/>
                <w:szCs w:val="20"/>
                <w:lang w:eastAsia="fr-FR"/>
              </w:rPr>
            </w:pPr>
            <w:r w:rsidRPr="003B7706">
              <w:rPr>
                <w:rFonts w:ascii="Times New Roman" w:hAnsi="Times New Roman"/>
                <w:color w:val="000000"/>
                <w:sz w:val="20"/>
                <w:szCs w:val="20"/>
                <w:lang w:eastAsia="fr-FR"/>
              </w:rPr>
              <w:t>II</w:t>
            </w:r>
          </w:p>
        </w:tc>
        <w:tc>
          <w:tcPr>
            <w:tcW w:w="1856" w:type="pct"/>
            <w:tcBorders>
              <w:top w:val="nil"/>
              <w:left w:val="nil"/>
              <w:bottom w:val="nil"/>
              <w:right w:val="single" w:sz="4" w:space="0" w:color="auto"/>
            </w:tcBorders>
            <w:shd w:val="clear" w:color="auto" w:fill="FFFFFF" w:themeFill="background1"/>
            <w:noWrap/>
            <w:vAlign w:val="center"/>
            <w:hideMark/>
          </w:tcPr>
          <w:p w14:paraId="48DCB1F9"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Revenue-Expenditure Funds</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14:paraId="55A48648"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849,800</w:t>
            </w:r>
          </w:p>
        </w:tc>
        <w:tc>
          <w:tcPr>
            <w:tcW w:w="773" w:type="pct"/>
            <w:tcBorders>
              <w:top w:val="nil"/>
              <w:left w:val="nil"/>
              <w:bottom w:val="single" w:sz="4" w:space="0" w:color="auto"/>
              <w:right w:val="single" w:sz="4" w:space="0" w:color="auto"/>
            </w:tcBorders>
            <w:shd w:val="clear" w:color="auto" w:fill="FFFFFF" w:themeFill="background1"/>
            <w:noWrap/>
            <w:vAlign w:val="center"/>
            <w:hideMark/>
          </w:tcPr>
          <w:p w14:paraId="23C0566B"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849,800</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24C00DAE"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767,637</w:t>
            </w:r>
          </w:p>
        </w:tc>
        <w:tc>
          <w:tcPr>
            <w:tcW w:w="658" w:type="pct"/>
            <w:tcBorders>
              <w:top w:val="nil"/>
              <w:left w:val="nil"/>
              <w:bottom w:val="nil"/>
              <w:right w:val="single" w:sz="4" w:space="0" w:color="auto"/>
            </w:tcBorders>
            <w:shd w:val="clear" w:color="auto" w:fill="FFFFFF" w:themeFill="background1"/>
            <w:noWrap/>
            <w:vAlign w:val="bottom"/>
            <w:hideMark/>
          </w:tcPr>
          <w:p w14:paraId="76D998A3"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703,637</w:t>
            </w:r>
          </w:p>
        </w:tc>
      </w:tr>
      <w:tr w:rsidR="007518E4" w:rsidRPr="00006A75" w14:paraId="10AC3CF2" w14:textId="77777777" w:rsidTr="007604FD">
        <w:trPr>
          <w:trHeight w:val="288"/>
        </w:trPr>
        <w:tc>
          <w:tcPr>
            <w:tcW w:w="502" w:type="pct"/>
            <w:tcBorders>
              <w:top w:val="single" w:sz="4" w:space="0" w:color="auto"/>
              <w:left w:val="single" w:sz="4" w:space="0" w:color="auto"/>
              <w:bottom w:val="nil"/>
              <w:right w:val="single" w:sz="4" w:space="0" w:color="auto"/>
            </w:tcBorders>
            <w:shd w:val="clear" w:color="auto" w:fill="auto"/>
            <w:noWrap/>
            <w:hideMark/>
          </w:tcPr>
          <w:p w14:paraId="5FC67BBA"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1</w:t>
            </w:r>
          </w:p>
        </w:tc>
        <w:tc>
          <w:tcPr>
            <w:tcW w:w="1856" w:type="pct"/>
            <w:tcBorders>
              <w:top w:val="single" w:sz="4" w:space="0" w:color="auto"/>
              <w:left w:val="nil"/>
              <w:bottom w:val="nil"/>
              <w:right w:val="single" w:sz="4" w:space="0" w:color="auto"/>
            </w:tcBorders>
            <w:shd w:val="clear" w:color="auto" w:fill="auto"/>
            <w:noWrap/>
            <w:hideMark/>
          </w:tcPr>
          <w:p w14:paraId="5C856D6E"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Road maintenance Fund</w:t>
            </w:r>
          </w:p>
        </w:tc>
        <w:tc>
          <w:tcPr>
            <w:tcW w:w="619" w:type="pct"/>
            <w:tcBorders>
              <w:top w:val="single" w:sz="4" w:space="0" w:color="auto"/>
              <w:left w:val="nil"/>
              <w:bottom w:val="single" w:sz="4" w:space="0" w:color="auto"/>
              <w:right w:val="single" w:sz="4" w:space="0" w:color="auto"/>
            </w:tcBorders>
            <w:shd w:val="clear" w:color="auto" w:fill="auto"/>
            <w:hideMark/>
          </w:tcPr>
          <w:p w14:paraId="05C3ED28"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660,000</w:t>
            </w:r>
          </w:p>
        </w:tc>
        <w:tc>
          <w:tcPr>
            <w:tcW w:w="773" w:type="pct"/>
            <w:tcBorders>
              <w:top w:val="single" w:sz="4" w:space="0" w:color="auto"/>
              <w:left w:val="nil"/>
              <w:bottom w:val="single" w:sz="4" w:space="0" w:color="auto"/>
              <w:right w:val="single" w:sz="4" w:space="0" w:color="auto"/>
            </w:tcBorders>
            <w:shd w:val="clear" w:color="auto" w:fill="auto"/>
            <w:noWrap/>
            <w:hideMark/>
          </w:tcPr>
          <w:p w14:paraId="486DC2FD"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660,000</w:t>
            </w:r>
          </w:p>
        </w:tc>
        <w:tc>
          <w:tcPr>
            <w:tcW w:w="592" w:type="pct"/>
            <w:tcBorders>
              <w:top w:val="single" w:sz="4" w:space="0" w:color="auto"/>
              <w:left w:val="nil"/>
              <w:bottom w:val="single" w:sz="4" w:space="0" w:color="auto"/>
              <w:right w:val="single" w:sz="4" w:space="0" w:color="auto"/>
            </w:tcBorders>
            <w:shd w:val="clear" w:color="auto" w:fill="auto"/>
            <w:hideMark/>
          </w:tcPr>
          <w:p w14:paraId="35DE4B3D"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724,000</w:t>
            </w:r>
          </w:p>
        </w:tc>
        <w:tc>
          <w:tcPr>
            <w:tcW w:w="658" w:type="pct"/>
            <w:tcBorders>
              <w:top w:val="single" w:sz="4" w:space="0" w:color="auto"/>
              <w:left w:val="nil"/>
              <w:bottom w:val="nil"/>
              <w:right w:val="single" w:sz="4" w:space="0" w:color="auto"/>
            </w:tcBorders>
            <w:shd w:val="clear" w:color="auto" w:fill="auto"/>
            <w:noWrap/>
            <w:hideMark/>
          </w:tcPr>
          <w:p w14:paraId="2BF92925"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660,000</w:t>
            </w:r>
          </w:p>
        </w:tc>
      </w:tr>
      <w:tr w:rsidR="007518E4" w:rsidRPr="00006A75" w14:paraId="5E184100" w14:textId="77777777" w:rsidTr="007604FD">
        <w:trPr>
          <w:trHeight w:val="288"/>
        </w:trPr>
        <w:tc>
          <w:tcPr>
            <w:tcW w:w="502" w:type="pct"/>
            <w:tcBorders>
              <w:top w:val="single" w:sz="4" w:space="0" w:color="auto"/>
              <w:left w:val="single" w:sz="4" w:space="0" w:color="auto"/>
              <w:bottom w:val="nil"/>
              <w:right w:val="single" w:sz="4" w:space="0" w:color="auto"/>
            </w:tcBorders>
            <w:shd w:val="clear" w:color="auto" w:fill="auto"/>
            <w:noWrap/>
            <w:vAlign w:val="bottom"/>
            <w:hideMark/>
          </w:tcPr>
          <w:p w14:paraId="3AAAD4D9"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2</w:t>
            </w:r>
          </w:p>
        </w:tc>
        <w:tc>
          <w:tcPr>
            <w:tcW w:w="1856" w:type="pct"/>
            <w:tcBorders>
              <w:top w:val="single" w:sz="4" w:space="0" w:color="auto"/>
              <w:left w:val="nil"/>
              <w:bottom w:val="nil"/>
              <w:right w:val="single" w:sz="4" w:space="0" w:color="auto"/>
            </w:tcBorders>
            <w:shd w:val="clear" w:color="auto" w:fill="auto"/>
            <w:noWrap/>
            <w:vAlign w:val="bottom"/>
            <w:hideMark/>
          </w:tcPr>
          <w:p w14:paraId="46B466DE"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Forestry Development Fund</w:t>
            </w:r>
          </w:p>
        </w:tc>
        <w:tc>
          <w:tcPr>
            <w:tcW w:w="619" w:type="pct"/>
            <w:tcBorders>
              <w:top w:val="single" w:sz="4" w:space="0" w:color="auto"/>
              <w:left w:val="nil"/>
              <w:bottom w:val="nil"/>
              <w:right w:val="single" w:sz="4" w:space="0" w:color="auto"/>
            </w:tcBorders>
            <w:shd w:val="clear" w:color="auto" w:fill="auto"/>
            <w:noWrap/>
            <w:vAlign w:val="bottom"/>
            <w:hideMark/>
          </w:tcPr>
          <w:p w14:paraId="11DB2AEB"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6,800</w:t>
            </w:r>
          </w:p>
        </w:tc>
        <w:tc>
          <w:tcPr>
            <w:tcW w:w="773" w:type="pct"/>
            <w:tcBorders>
              <w:top w:val="single" w:sz="4" w:space="0" w:color="auto"/>
              <w:left w:val="nil"/>
              <w:bottom w:val="nil"/>
              <w:right w:val="single" w:sz="4" w:space="0" w:color="auto"/>
            </w:tcBorders>
            <w:shd w:val="clear" w:color="auto" w:fill="auto"/>
            <w:noWrap/>
            <w:vAlign w:val="bottom"/>
            <w:hideMark/>
          </w:tcPr>
          <w:p w14:paraId="200A2BCD"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6,800</w:t>
            </w:r>
          </w:p>
        </w:tc>
        <w:tc>
          <w:tcPr>
            <w:tcW w:w="592" w:type="pct"/>
            <w:tcBorders>
              <w:top w:val="single" w:sz="4" w:space="0" w:color="auto"/>
              <w:left w:val="nil"/>
              <w:bottom w:val="nil"/>
              <w:right w:val="single" w:sz="4" w:space="0" w:color="auto"/>
            </w:tcBorders>
            <w:shd w:val="clear" w:color="auto" w:fill="auto"/>
            <w:noWrap/>
            <w:vAlign w:val="bottom"/>
            <w:hideMark/>
          </w:tcPr>
          <w:p w14:paraId="413F145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4,000</w:t>
            </w:r>
          </w:p>
        </w:tc>
        <w:tc>
          <w:tcPr>
            <w:tcW w:w="658" w:type="pct"/>
            <w:tcBorders>
              <w:top w:val="single" w:sz="4" w:space="0" w:color="auto"/>
              <w:left w:val="nil"/>
              <w:bottom w:val="nil"/>
              <w:right w:val="single" w:sz="4" w:space="0" w:color="auto"/>
            </w:tcBorders>
            <w:shd w:val="clear" w:color="auto" w:fill="auto"/>
            <w:noWrap/>
            <w:vAlign w:val="bottom"/>
            <w:hideMark/>
          </w:tcPr>
          <w:p w14:paraId="2BFB2DC9"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4,000</w:t>
            </w:r>
          </w:p>
        </w:tc>
      </w:tr>
      <w:tr w:rsidR="007518E4" w:rsidRPr="00006A75" w14:paraId="446ACCC1" w14:textId="77777777" w:rsidTr="007604FD">
        <w:trPr>
          <w:trHeight w:val="288"/>
        </w:trPr>
        <w:tc>
          <w:tcPr>
            <w:tcW w:w="502" w:type="pct"/>
            <w:tcBorders>
              <w:top w:val="single" w:sz="4" w:space="0" w:color="auto"/>
              <w:left w:val="single" w:sz="4" w:space="0" w:color="auto"/>
              <w:bottom w:val="nil"/>
              <w:right w:val="single" w:sz="4" w:space="0" w:color="auto"/>
            </w:tcBorders>
            <w:shd w:val="clear" w:color="auto" w:fill="auto"/>
            <w:noWrap/>
            <w:vAlign w:val="bottom"/>
            <w:hideMark/>
          </w:tcPr>
          <w:p w14:paraId="638273B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3</w:t>
            </w:r>
          </w:p>
        </w:tc>
        <w:tc>
          <w:tcPr>
            <w:tcW w:w="1856" w:type="pct"/>
            <w:tcBorders>
              <w:top w:val="single" w:sz="4" w:space="0" w:color="auto"/>
              <w:left w:val="nil"/>
              <w:bottom w:val="nil"/>
              <w:right w:val="single" w:sz="4" w:space="0" w:color="auto"/>
            </w:tcBorders>
            <w:shd w:val="clear" w:color="auto" w:fill="auto"/>
            <w:noWrap/>
            <w:vAlign w:val="bottom"/>
            <w:hideMark/>
          </w:tcPr>
          <w:p w14:paraId="1E9D2D36"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Environmental Protection Fund</w:t>
            </w:r>
          </w:p>
        </w:tc>
        <w:tc>
          <w:tcPr>
            <w:tcW w:w="619" w:type="pct"/>
            <w:tcBorders>
              <w:top w:val="single" w:sz="4" w:space="0" w:color="auto"/>
              <w:left w:val="nil"/>
              <w:bottom w:val="nil"/>
              <w:right w:val="single" w:sz="4" w:space="0" w:color="auto"/>
            </w:tcBorders>
            <w:shd w:val="clear" w:color="auto" w:fill="auto"/>
            <w:vAlign w:val="bottom"/>
            <w:hideMark/>
          </w:tcPr>
          <w:p w14:paraId="0EDC3747"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773" w:type="pct"/>
            <w:tcBorders>
              <w:top w:val="single" w:sz="4" w:space="0" w:color="auto"/>
              <w:left w:val="nil"/>
              <w:bottom w:val="nil"/>
              <w:right w:val="single" w:sz="4" w:space="0" w:color="auto"/>
            </w:tcBorders>
            <w:shd w:val="clear" w:color="auto" w:fill="auto"/>
            <w:noWrap/>
            <w:vAlign w:val="bottom"/>
            <w:hideMark/>
          </w:tcPr>
          <w:p w14:paraId="31415D49"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592" w:type="pct"/>
            <w:tcBorders>
              <w:top w:val="single" w:sz="4" w:space="0" w:color="auto"/>
              <w:left w:val="nil"/>
              <w:bottom w:val="nil"/>
              <w:right w:val="single" w:sz="4" w:space="0" w:color="auto"/>
            </w:tcBorders>
            <w:shd w:val="clear" w:color="auto" w:fill="auto"/>
            <w:vAlign w:val="bottom"/>
            <w:hideMark/>
          </w:tcPr>
          <w:p w14:paraId="33A47FBA"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33,035</w:t>
            </w:r>
          </w:p>
        </w:tc>
        <w:tc>
          <w:tcPr>
            <w:tcW w:w="658" w:type="pct"/>
            <w:tcBorders>
              <w:top w:val="single" w:sz="4" w:space="0" w:color="auto"/>
              <w:left w:val="nil"/>
              <w:bottom w:val="nil"/>
              <w:right w:val="single" w:sz="4" w:space="0" w:color="auto"/>
            </w:tcBorders>
            <w:shd w:val="clear" w:color="auto" w:fill="auto"/>
            <w:noWrap/>
            <w:vAlign w:val="bottom"/>
            <w:hideMark/>
          </w:tcPr>
          <w:p w14:paraId="48C4E3FA"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33,035</w:t>
            </w:r>
          </w:p>
        </w:tc>
      </w:tr>
      <w:tr w:rsidR="007518E4" w:rsidRPr="00006A75" w14:paraId="2E400E15" w14:textId="77777777" w:rsidTr="007604FD">
        <w:trPr>
          <w:trHeight w:val="288"/>
        </w:trPr>
        <w:tc>
          <w:tcPr>
            <w:tcW w:w="502" w:type="pct"/>
            <w:tcBorders>
              <w:top w:val="single" w:sz="4" w:space="0" w:color="auto"/>
              <w:left w:val="single" w:sz="4" w:space="0" w:color="auto"/>
              <w:bottom w:val="nil"/>
              <w:right w:val="single" w:sz="4" w:space="0" w:color="auto"/>
            </w:tcBorders>
            <w:shd w:val="clear" w:color="auto" w:fill="auto"/>
            <w:noWrap/>
            <w:vAlign w:val="bottom"/>
            <w:hideMark/>
          </w:tcPr>
          <w:p w14:paraId="503DE746"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4</w:t>
            </w:r>
          </w:p>
        </w:tc>
        <w:tc>
          <w:tcPr>
            <w:tcW w:w="1856" w:type="pct"/>
            <w:tcBorders>
              <w:top w:val="single" w:sz="4" w:space="0" w:color="auto"/>
              <w:left w:val="nil"/>
              <w:bottom w:val="nil"/>
              <w:right w:val="single" w:sz="4" w:space="0" w:color="auto"/>
            </w:tcBorders>
            <w:shd w:val="clear" w:color="auto" w:fill="auto"/>
            <w:noWrap/>
            <w:vAlign w:val="bottom"/>
            <w:hideMark/>
          </w:tcPr>
          <w:p w14:paraId="71DE362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Renewable Energy Fund (MOEM)</w:t>
            </w:r>
          </w:p>
        </w:tc>
        <w:tc>
          <w:tcPr>
            <w:tcW w:w="619" w:type="pct"/>
            <w:tcBorders>
              <w:top w:val="single" w:sz="4" w:space="0" w:color="auto"/>
              <w:left w:val="nil"/>
              <w:bottom w:val="nil"/>
              <w:right w:val="single" w:sz="4" w:space="0" w:color="auto"/>
            </w:tcBorders>
            <w:shd w:val="clear" w:color="auto" w:fill="auto"/>
            <w:vAlign w:val="bottom"/>
            <w:hideMark/>
          </w:tcPr>
          <w:p w14:paraId="74CF77B0"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773" w:type="pct"/>
            <w:tcBorders>
              <w:top w:val="single" w:sz="4" w:space="0" w:color="auto"/>
              <w:left w:val="nil"/>
              <w:bottom w:val="nil"/>
              <w:right w:val="single" w:sz="4" w:space="0" w:color="auto"/>
            </w:tcBorders>
            <w:shd w:val="clear" w:color="auto" w:fill="auto"/>
            <w:noWrap/>
            <w:vAlign w:val="bottom"/>
            <w:hideMark/>
          </w:tcPr>
          <w:p w14:paraId="562F83C3"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592" w:type="pct"/>
            <w:tcBorders>
              <w:top w:val="single" w:sz="4" w:space="0" w:color="auto"/>
              <w:left w:val="nil"/>
              <w:bottom w:val="nil"/>
              <w:right w:val="single" w:sz="4" w:space="0" w:color="auto"/>
            </w:tcBorders>
            <w:shd w:val="clear" w:color="auto" w:fill="auto"/>
            <w:vAlign w:val="bottom"/>
            <w:hideMark/>
          </w:tcPr>
          <w:p w14:paraId="77DEAE2C"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700</w:t>
            </w:r>
          </w:p>
        </w:tc>
        <w:tc>
          <w:tcPr>
            <w:tcW w:w="658" w:type="pct"/>
            <w:tcBorders>
              <w:top w:val="single" w:sz="4" w:space="0" w:color="auto"/>
              <w:left w:val="nil"/>
              <w:bottom w:val="nil"/>
              <w:right w:val="single" w:sz="4" w:space="0" w:color="auto"/>
            </w:tcBorders>
            <w:shd w:val="clear" w:color="auto" w:fill="auto"/>
            <w:noWrap/>
            <w:vAlign w:val="bottom"/>
            <w:hideMark/>
          </w:tcPr>
          <w:p w14:paraId="34CCC220"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700</w:t>
            </w:r>
          </w:p>
        </w:tc>
      </w:tr>
      <w:tr w:rsidR="007518E4" w:rsidRPr="00006A75" w14:paraId="333984C0" w14:textId="77777777" w:rsidTr="007604FD">
        <w:trPr>
          <w:trHeight w:val="288"/>
        </w:trPr>
        <w:tc>
          <w:tcPr>
            <w:tcW w:w="502" w:type="pct"/>
            <w:tcBorders>
              <w:top w:val="single" w:sz="4" w:space="0" w:color="auto"/>
              <w:left w:val="single" w:sz="4" w:space="0" w:color="auto"/>
              <w:bottom w:val="nil"/>
              <w:right w:val="single" w:sz="4" w:space="0" w:color="auto"/>
            </w:tcBorders>
            <w:shd w:val="clear" w:color="auto" w:fill="auto"/>
            <w:noWrap/>
            <w:vAlign w:val="bottom"/>
            <w:hideMark/>
          </w:tcPr>
          <w:p w14:paraId="6A6907E7"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5</w:t>
            </w:r>
          </w:p>
        </w:tc>
        <w:tc>
          <w:tcPr>
            <w:tcW w:w="1856" w:type="pct"/>
            <w:tcBorders>
              <w:top w:val="single" w:sz="4" w:space="0" w:color="auto"/>
              <w:left w:val="nil"/>
              <w:bottom w:val="nil"/>
              <w:right w:val="single" w:sz="4" w:space="0" w:color="auto"/>
            </w:tcBorders>
            <w:shd w:val="clear" w:color="auto" w:fill="auto"/>
            <w:noWrap/>
            <w:vAlign w:val="bottom"/>
            <w:hideMark/>
          </w:tcPr>
          <w:p w14:paraId="5A6125AC"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SME Fund</w:t>
            </w:r>
          </w:p>
        </w:tc>
        <w:tc>
          <w:tcPr>
            <w:tcW w:w="619" w:type="pct"/>
            <w:tcBorders>
              <w:top w:val="single" w:sz="4" w:space="0" w:color="auto"/>
              <w:left w:val="nil"/>
              <w:bottom w:val="nil"/>
              <w:right w:val="single" w:sz="4" w:space="0" w:color="auto"/>
            </w:tcBorders>
            <w:shd w:val="clear" w:color="auto" w:fill="auto"/>
            <w:vAlign w:val="bottom"/>
            <w:hideMark/>
          </w:tcPr>
          <w:p w14:paraId="5BEF21E2"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773" w:type="pct"/>
            <w:tcBorders>
              <w:top w:val="single" w:sz="4" w:space="0" w:color="auto"/>
              <w:left w:val="nil"/>
              <w:bottom w:val="nil"/>
              <w:right w:val="single" w:sz="4" w:space="0" w:color="auto"/>
            </w:tcBorders>
            <w:shd w:val="clear" w:color="auto" w:fill="auto"/>
            <w:noWrap/>
            <w:vAlign w:val="bottom"/>
            <w:hideMark/>
          </w:tcPr>
          <w:p w14:paraId="7FF3B23D"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592" w:type="pct"/>
            <w:tcBorders>
              <w:top w:val="single" w:sz="4" w:space="0" w:color="auto"/>
              <w:left w:val="nil"/>
              <w:bottom w:val="nil"/>
              <w:right w:val="single" w:sz="4" w:space="0" w:color="auto"/>
            </w:tcBorders>
            <w:shd w:val="clear" w:color="auto" w:fill="auto"/>
            <w:vAlign w:val="bottom"/>
            <w:hideMark/>
          </w:tcPr>
          <w:p w14:paraId="4309D7E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1,902</w:t>
            </w:r>
          </w:p>
        </w:tc>
        <w:tc>
          <w:tcPr>
            <w:tcW w:w="658" w:type="pct"/>
            <w:tcBorders>
              <w:top w:val="single" w:sz="4" w:space="0" w:color="auto"/>
              <w:left w:val="nil"/>
              <w:bottom w:val="nil"/>
              <w:right w:val="single" w:sz="4" w:space="0" w:color="auto"/>
            </w:tcBorders>
            <w:shd w:val="clear" w:color="auto" w:fill="auto"/>
            <w:noWrap/>
            <w:vAlign w:val="bottom"/>
            <w:hideMark/>
          </w:tcPr>
          <w:p w14:paraId="6BABA72E" w14:textId="77777777" w:rsidR="007518E4" w:rsidRPr="003B7706" w:rsidRDefault="007518E4" w:rsidP="00161492">
            <w:pPr>
              <w:spacing w:before="0"/>
              <w:ind w:left="0"/>
              <w:jc w:val="left"/>
              <w:rPr>
                <w:rFonts w:ascii="Times New Roman" w:hAnsi="Times New Roman"/>
                <w:b/>
                <w:bCs/>
                <w:sz w:val="20"/>
                <w:szCs w:val="20"/>
                <w:lang w:eastAsia="fr-FR"/>
              </w:rPr>
            </w:pPr>
            <w:r w:rsidRPr="003B7706">
              <w:rPr>
                <w:rFonts w:ascii="Times New Roman" w:hAnsi="Times New Roman"/>
                <w:b/>
                <w:bCs/>
                <w:sz w:val="20"/>
                <w:szCs w:val="20"/>
                <w:lang w:eastAsia="fr-FR"/>
              </w:rPr>
              <w:t>1,902</w:t>
            </w:r>
          </w:p>
        </w:tc>
      </w:tr>
      <w:tr w:rsidR="007518E4" w:rsidRPr="00006A75" w14:paraId="061C0C5F" w14:textId="77777777" w:rsidTr="007604FD">
        <w:trPr>
          <w:trHeight w:val="288"/>
        </w:trPr>
        <w:tc>
          <w:tcPr>
            <w:tcW w:w="502" w:type="pct"/>
            <w:tcBorders>
              <w:top w:val="single" w:sz="4" w:space="0" w:color="auto"/>
              <w:left w:val="single" w:sz="4" w:space="0" w:color="auto"/>
              <w:bottom w:val="nil"/>
              <w:right w:val="single" w:sz="4" w:space="0" w:color="auto"/>
            </w:tcBorders>
            <w:shd w:val="clear" w:color="auto" w:fill="auto"/>
            <w:noWrap/>
            <w:vAlign w:val="bottom"/>
            <w:hideMark/>
          </w:tcPr>
          <w:p w14:paraId="40A68919"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6</w:t>
            </w:r>
          </w:p>
        </w:tc>
        <w:tc>
          <w:tcPr>
            <w:tcW w:w="1856" w:type="pct"/>
            <w:tcBorders>
              <w:top w:val="single" w:sz="4" w:space="0" w:color="auto"/>
              <w:left w:val="nil"/>
              <w:bottom w:val="nil"/>
              <w:right w:val="single" w:sz="4" w:space="0" w:color="auto"/>
            </w:tcBorders>
            <w:shd w:val="clear" w:color="auto" w:fill="auto"/>
            <w:noWrap/>
            <w:vAlign w:val="bottom"/>
            <w:hideMark/>
          </w:tcPr>
          <w:p w14:paraId="4FE66BA2"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Tourism Fund</w:t>
            </w:r>
          </w:p>
        </w:tc>
        <w:tc>
          <w:tcPr>
            <w:tcW w:w="619" w:type="pct"/>
            <w:tcBorders>
              <w:top w:val="single" w:sz="4" w:space="0" w:color="auto"/>
              <w:left w:val="nil"/>
              <w:bottom w:val="nil"/>
              <w:right w:val="single" w:sz="4" w:space="0" w:color="auto"/>
            </w:tcBorders>
            <w:shd w:val="clear" w:color="auto" w:fill="auto"/>
            <w:vAlign w:val="bottom"/>
            <w:hideMark/>
          </w:tcPr>
          <w:p w14:paraId="55BC00BD"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773" w:type="pct"/>
            <w:tcBorders>
              <w:top w:val="single" w:sz="4" w:space="0" w:color="auto"/>
              <w:left w:val="nil"/>
              <w:bottom w:val="nil"/>
              <w:right w:val="single" w:sz="4" w:space="0" w:color="auto"/>
            </w:tcBorders>
            <w:shd w:val="clear" w:color="auto" w:fill="auto"/>
            <w:noWrap/>
            <w:vAlign w:val="bottom"/>
            <w:hideMark/>
          </w:tcPr>
          <w:p w14:paraId="2875392A"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592" w:type="pct"/>
            <w:tcBorders>
              <w:top w:val="single" w:sz="4" w:space="0" w:color="auto"/>
              <w:left w:val="nil"/>
              <w:bottom w:val="nil"/>
              <w:right w:val="single" w:sz="4" w:space="0" w:color="auto"/>
            </w:tcBorders>
            <w:shd w:val="clear" w:color="auto" w:fill="auto"/>
            <w:vAlign w:val="bottom"/>
            <w:hideMark/>
          </w:tcPr>
          <w:p w14:paraId="341EC65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2,000</w:t>
            </w:r>
          </w:p>
        </w:tc>
        <w:tc>
          <w:tcPr>
            <w:tcW w:w="658" w:type="pct"/>
            <w:tcBorders>
              <w:top w:val="single" w:sz="4" w:space="0" w:color="auto"/>
              <w:left w:val="nil"/>
              <w:bottom w:val="nil"/>
              <w:right w:val="single" w:sz="4" w:space="0" w:color="auto"/>
            </w:tcBorders>
            <w:shd w:val="clear" w:color="auto" w:fill="auto"/>
            <w:noWrap/>
            <w:vAlign w:val="bottom"/>
            <w:hideMark/>
          </w:tcPr>
          <w:p w14:paraId="1BAAE4E6" w14:textId="77777777" w:rsidR="007518E4" w:rsidRPr="00006A75" w:rsidRDefault="007518E4" w:rsidP="00161492">
            <w:pPr>
              <w:spacing w:before="0"/>
              <w:ind w:left="0"/>
              <w:jc w:val="left"/>
              <w:rPr>
                <w:rFonts w:ascii="Times New Roman" w:hAnsi="Times New Roman"/>
                <w:b/>
                <w:bCs/>
                <w:sz w:val="20"/>
                <w:szCs w:val="20"/>
                <w:lang w:val="fr-FR" w:eastAsia="fr-FR"/>
              </w:rPr>
            </w:pPr>
            <w:r w:rsidRPr="00006A75">
              <w:rPr>
                <w:rFonts w:ascii="Times New Roman" w:hAnsi="Times New Roman"/>
                <w:b/>
                <w:bCs/>
                <w:sz w:val="20"/>
                <w:szCs w:val="20"/>
                <w:lang w:val="fr-FR" w:eastAsia="fr-FR"/>
              </w:rPr>
              <w:t>2,000</w:t>
            </w:r>
          </w:p>
        </w:tc>
      </w:tr>
      <w:tr w:rsidR="007518E4" w:rsidRPr="00006A75" w14:paraId="0176A4BF" w14:textId="77777777" w:rsidTr="007604FD">
        <w:trPr>
          <w:trHeight w:val="224"/>
        </w:trPr>
        <w:tc>
          <w:tcPr>
            <w:tcW w:w="502" w:type="pct"/>
            <w:tcBorders>
              <w:top w:val="single" w:sz="4" w:space="0" w:color="auto"/>
              <w:left w:val="single" w:sz="4" w:space="0" w:color="auto"/>
              <w:bottom w:val="nil"/>
              <w:right w:val="single" w:sz="4" w:space="0" w:color="auto"/>
            </w:tcBorders>
            <w:shd w:val="clear" w:color="auto" w:fill="auto"/>
            <w:noWrap/>
            <w:vAlign w:val="bottom"/>
            <w:hideMark/>
          </w:tcPr>
          <w:p w14:paraId="7D13508E"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7</w:t>
            </w:r>
          </w:p>
        </w:tc>
        <w:tc>
          <w:tcPr>
            <w:tcW w:w="1856" w:type="pct"/>
            <w:tcBorders>
              <w:top w:val="single" w:sz="4" w:space="0" w:color="auto"/>
              <w:left w:val="nil"/>
              <w:bottom w:val="nil"/>
              <w:right w:val="single" w:sz="4" w:space="0" w:color="auto"/>
            </w:tcBorders>
            <w:shd w:val="clear" w:color="auto" w:fill="auto"/>
            <w:noWrap/>
            <w:vAlign w:val="bottom"/>
            <w:hideMark/>
          </w:tcPr>
          <w:p w14:paraId="690652B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Health Fund</w:t>
            </w:r>
          </w:p>
        </w:tc>
        <w:tc>
          <w:tcPr>
            <w:tcW w:w="619" w:type="pct"/>
            <w:tcBorders>
              <w:top w:val="single" w:sz="4" w:space="0" w:color="auto"/>
              <w:left w:val="nil"/>
              <w:bottom w:val="nil"/>
              <w:right w:val="single" w:sz="4" w:space="0" w:color="auto"/>
            </w:tcBorders>
            <w:shd w:val="clear" w:color="auto" w:fill="auto"/>
            <w:vAlign w:val="bottom"/>
            <w:hideMark/>
          </w:tcPr>
          <w:p w14:paraId="329F3AED"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183,000</w:t>
            </w:r>
          </w:p>
        </w:tc>
        <w:tc>
          <w:tcPr>
            <w:tcW w:w="773" w:type="pct"/>
            <w:tcBorders>
              <w:top w:val="single" w:sz="4" w:space="0" w:color="auto"/>
              <w:left w:val="nil"/>
              <w:bottom w:val="single" w:sz="4" w:space="0" w:color="auto"/>
              <w:right w:val="single" w:sz="4" w:space="0" w:color="auto"/>
            </w:tcBorders>
            <w:shd w:val="clear" w:color="auto" w:fill="auto"/>
            <w:vAlign w:val="bottom"/>
            <w:hideMark/>
          </w:tcPr>
          <w:p w14:paraId="21A45BC8"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183,000</w:t>
            </w:r>
          </w:p>
        </w:tc>
        <w:tc>
          <w:tcPr>
            <w:tcW w:w="592" w:type="pct"/>
            <w:tcBorders>
              <w:top w:val="single" w:sz="4" w:space="0" w:color="auto"/>
              <w:left w:val="nil"/>
              <w:bottom w:val="single" w:sz="4" w:space="0" w:color="auto"/>
              <w:right w:val="single" w:sz="4" w:space="0" w:color="auto"/>
            </w:tcBorders>
            <w:shd w:val="clear" w:color="auto" w:fill="auto"/>
            <w:vAlign w:val="bottom"/>
            <w:hideMark/>
          </w:tcPr>
          <w:p w14:paraId="3961DEA6"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2,000</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7AA75BB8" w14:textId="77777777" w:rsidR="007518E4" w:rsidRPr="00006A75" w:rsidRDefault="007518E4" w:rsidP="00161492">
            <w:pPr>
              <w:spacing w:before="0"/>
              <w:ind w:left="0"/>
              <w:jc w:val="left"/>
              <w:rPr>
                <w:rFonts w:ascii="Times New Roman" w:hAnsi="Times New Roman"/>
                <w:b/>
                <w:bCs/>
                <w:sz w:val="20"/>
                <w:szCs w:val="20"/>
                <w:lang w:val="fr-FR" w:eastAsia="fr-FR"/>
              </w:rPr>
            </w:pPr>
            <w:r w:rsidRPr="00006A75">
              <w:rPr>
                <w:rFonts w:ascii="Times New Roman" w:hAnsi="Times New Roman"/>
                <w:b/>
                <w:bCs/>
                <w:sz w:val="20"/>
                <w:szCs w:val="20"/>
                <w:lang w:val="fr-FR" w:eastAsia="fr-FR"/>
              </w:rPr>
              <w:t>2,000</w:t>
            </w:r>
          </w:p>
        </w:tc>
      </w:tr>
      <w:tr w:rsidR="007518E4" w:rsidRPr="00006A75" w14:paraId="0616F53D" w14:textId="77777777" w:rsidTr="007604FD">
        <w:trPr>
          <w:trHeight w:val="224"/>
        </w:trPr>
        <w:tc>
          <w:tcPr>
            <w:tcW w:w="502" w:type="pct"/>
            <w:tcBorders>
              <w:top w:val="single" w:sz="4" w:space="0" w:color="auto"/>
              <w:left w:val="single" w:sz="4" w:space="0" w:color="auto"/>
              <w:bottom w:val="nil"/>
              <w:right w:val="single" w:sz="4" w:space="0" w:color="auto"/>
            </w:tcBorders>
            <w:shd w:val="clear" w:color="auto" w:fill="auto"/>
            <w:noWrap/>
            <w:vAlign w:val="bottom"/>
          </w:tcPr>
          <w:p w14:paraId="3F9AF373"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1856" w:type="pct"/>
            <w:tcBorders>
              <w:top w:val="single" w:sz="4" w:space="0" w:color="auto"/>
              <w:left w:val="nil"/>
              <w:bottom w:val="nil"/>
              <w:right w:val="single" w:sz="4" w:space="0" w:color="auto"/>
            </w:tcBorders>
            <w:shd w:val="clear" w:color="auto" w:fill="auto"/>
            <w:noWrap/>
            <w:vAlign w:val="bottom"/>
          </w:tcPr>
          <w:p w14:paraId="367A683B" w14:textId="77777777" w:rsidR="007518E4" w:rsidRPr="003B7706" w:rsidRDefault="007518E4" w:rsidP="00161492">
            <w:pPr>
              <w:spacing w:before="0"/>
              <w:ind w:left="0"/>
              <w:jc w:val="left"/>
              <w:rPr>
                <w:rFonts w:ascii="Times New Roman" w:hAnsi="Times New Roman"/>
                <w:b/>
                <w:bCs/>
                <w:color w:val="000000"/>
                <w:sz w:val="20"/>
                <w:szCs w:val="20"/>
                <w:lang w:eastAsia="fr-FR"/>
              </w:rPr>
            </w:pPr>
          </w:p>
        </w:tc>
        <w:tc>
          <w:tcPr>
            <w:tcW w:w="619" w:type="pct"/>
            <w:tcBorders>
              <w:top w:val="single" w:sz="4" w:space="0" w:color="auto"/>
              <w:left w:val="nil"/>
              <w:bottom w:val="nil"/>
              <w:right w:val="single" w:sz="4" w:space="0" w:color="auto"/>
            </w:tcBorders>
            <w:shd w:val="clear" w:color="auto" w:fill="auto"/>
            <w:vAlign w:val="bottom"/>
          </w:tcPr>
          <w:p w14:paraId="10FD827E"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850,000</w:t>
            </w:r>
          </w:p>
        </w:tc>
        <w:tc>
          <w:tcPr>
            <w:tcW w:w="773" w:type="pct"/>
            <w:tcBorders>
              <w:top w:val="single" w:sz="4" w:space="0" w:color="auto"/>
              <w:left w:val="nil"/>
              <w:bottom w:val="single" w:sz="4" w:space="0" w:color="auto"/>
              <w:right w:val="single" w:sz="4" w:space="0" w:color="auto"/>
            </w:tcBorders>
            <w:shd w:val="clear" w:color="auto" w:fill="auto"/>
            <w:vAlign w:val="bottom"/>
          </w:tcPr>
          <w:p w14:paraId="6883D431"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850,000</w:t>
            </w:r>
          </w:p>
        </w:tc>
        <w:tc>
          <w:tcPr>
            <w:tcW w:w="592" w:type="pct"/>
            <w:tcBorders>
              <w:top w:val="single" w:sz="4" w:space="0" w:color="auto"/>
              <w:left w:val="nil"/>
              <w:bottom w:val="single" w:sz="4" w:space="0" w:color="auto"/>
              <w:right w:val="single" w:sz="4" w:space="0" w:color="auto"/>
            </w:tcBorders>
            <w:shd w:val="clear" w:color="auto" w:fill="auto"/>
            <w:vAlign w:val="bottom"/>
          </w:tcPr>
          <w:p w14:paraId="24705363" w14:textId="77777777" w:rsidR="007518E4" w:rsidRPr="003B7706" w:rsidRDefault="007518E4" w:rsidP="00161492">
            <w:pPr>
              <w:spacing w:before="0"/>
              <w:ind w:left="0"/>
              <w:jc w:val="left"/>
              <w:rPr>
                <w:rFonts w:ascii="Times New Roman" w:hAnsi="Times New Roman"/>
                <w:b/>
                <w:bCs/>
                <w:color w:val="000000"/>
                <w:sz w:val="20"/>
                <w:szCs w:val="20"/>
                <w:lang w:eastAsia="fr-FR"/>
              </w:rPr>
            </w:pPr>
            <w:r w:rsidRPr="003B7706">
              <w:rPr>
                <w:rFonts w:ascii="Times New Roman" w:hAnsi="Times New Roman"/>
                <w:b/>
                <w:bCs/>
                <w:color w:val="000000"/>
                <w:sz w:val="20"/>
                <w:szCs w:val="20"/>
                <w:lang w:eastAsia="fr-FR"/>
              </w:rPr>
              <w:t>767,637</w:t>
            </w:r>
          </w:p>
        </w:tc>
        <w:tc>
          <w:tcPr>
            <w:tcW w:w="658" w:type="pct"/>
            <w:tcBorders>
              <w:top w:val="single" w:sz="4" w:space="0" w:color="auto"/>
              <w:left w:val="nil"/>
              <w:bottom w:val="single" w:sz="4" w:space="0" w:color="auto"/>
              <w:right w:val="single" w:sz="4" w:space="0" w:color="auto"/>
            </w:tcBorders>
            <w:shd w:val="clear" w:color="auto" w:fill="auto"/>
            <w:noWrap/>
            <w:vAlign w:val="bottom"/>
          </w:tcPr>
          <w:p w14:paraId="043BD2E9" w14:textId="77777777" w:rsidR="007518E4" w:rsidRPr="00006A75" w:rsidRDefault="007518E4" w:rsidP="00161492">
            <w:pPr>
              <w:spacing w:before="0"/>
              <w:ind w:left="0"/>
              <w:jc w:val="left"/>
              <w:rPr>
                <w:rFonts w:ascii="Times New Roman" w:hAnsi="Times New Roman"/>
                <w:b/>
                <w:bCs/>
                <w:sz w:val="20"/>
                <w:szCs w:val="20"/>
                <w:lang w:val="fr-FR" w:eastAsia="fr-FR"/>
              </w:rPr>
            </w:pPr>
            <w:r w:rsidRPr="00006A75">
              <w:rPr>
                <w:rFonts w:ascii="Times New Roman" w:hAnsi="Times New Roman"/>
                <w:b/>
                <w:bCs/>
                <w:sz w:val="20"/>
                <w:szCs w:val="20"/>
                <w:lang w:val="fr-FR" w:eastAsia="fr-FR"/>
              </w:rPr>
              <w:t>703,637</w:t>
            </w:r>
          </w:p>
        </w:tc>
      </w:tr>
      <w:tr w:rsidR="00306AC5" w:rsidRPr="00006A75" w14:paraId="33731315" w14:textId="77777777" w:rsidTr="007604FD">
        <w:trPr>
          <w:trHeight w:val="200"/>
        </w:trPr>
        <w:tc>
          <w:tcPr>
            <w:tcW w:w="5000" w:type="pct"/>
            <w:gridSpan w:val="6"/>
            <w:tcBorders>
              <w:top w:val="single" w:sz="4" w:space="0" w:color="auto"/>
              <w:left w:val="nil"/>
              <w:bottom w:val="nil"/>
              <w:right w:val="nil"/>
            </w:tcBorders>
            <w:shd w:val="clear" w:color="auto" w:fill="auto"/>
            <w:noWrap/>
            <w:hideMark/>
          </w:tcPr>
          <w:p w14:paraId="39CAC84D" w14:textId="77777777" w:rsidR="00306AC5" w:rsidRPr="00006A75" w:rsidRDefault="00306AC5" w:rsidP="00306AC5">
            <w:pPr>
              <w:spacing w:before="0"/>
              <w:jc w:val="left"/>
              <w:rPr>
                <w:rFonts w:ascii="Times New Roman" w:hAnsi="Times New Roman"/>
                <w:sz w:val="20"/>
                <w:szCs w:val="20"/>
                <w:lang w:val="en-MY" w:eastAsia="fr-FR"/>
              </w:rPr>
            </w:pPr>
            <w:r w:rsidRPr="00006A75">
              <w:rPr>
                <w:rFonts w:ascii="Times New Roman" w:hAnsi="Times New Roman"/>
                <w:color w:val="000000"/>
                <w:sz w:val="20"/>
                <w:szCs w:val="20"/>
                <w:lang w:val="en-MY" w:eastAsia="fr-FR"/>
              </w:rPr>
              <w:t>Source: Official Gazette and MOF website</w:t>
            </w:r>
          </w:p>
        </w:tc>
      </w:tr>
    </w:tbl>
    <w:p w14:paraId="60AFCFB0" w14:textId="77777777" w:rsidR="007518E4" w:rsidRPr="00F02A8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306AC5">
        <w:rPr>
          <w:rFonts w:ascii="Times New Roman" w:hAnsi="Times New Roman"/>
          <w:b/>
          <w:sz w:val="24"/>
        </w:rPr>
        <w:t>As presented in the State Budget plans, the technical revenues and income collected by extrabudgetary funds are also planned to be spent by the same entity</w:t>
      </w:r>
      <w:r w:rsidR="00306AC5">
        <w:rPr>
          <w:rFonts w:ascii="Times New Roman" w:hAnsi="Times New Roman"/>
          <w:sz w:val="24"/>
        </w:rPr>
        <w:t>.  This</w:t>
      </w:r>
      <w:r w:rsidRPr="00F02A88">
        <w:rPr>
          <w:rFonts w:ascii="Times New Roman" w:hAnsi="Times New Roman"/>
          <w:sz w:val="24"/>
        </w:rPr>
        <w:t xml:space="preserve"> implies that there is no reallocation of these revenues to other budget entities.</w:t>
      </w:r>
    </w:p>
    <w:p w14:paraId="53BF8294" w14:textId="77777777" w:rsidR="007518E4" w:rsidRPr="00306AC5" w:rsidRDefault="007518E4" w:rsidP="00306AC5">
      <w:pPr>
        <w:pStyle w:val="Default"/>
        <w:spacing w:after="240"/>
        <w:ind w:left="0"/>
        <w:rPr>
          <w:rFonts w:ascii="Times New Roman" w:hAnsi="Times New Roman" w:cs="Times New Roman"/>
          <w:b/>
        </w:rPr>
      </w:pPr>
      <w:r w:rsidRPr="00306AC5">
        <w:rPr>
          <w:rFonts w:ascii="Times New Roman" w:hAnsi="Times New Roman" w:cs="Times New Roman"/>
          <w:b/>
        </w:rPr>
        <w:t>Development expenditure funded by Development Partners</w:t>
      </w:r>
    </w:p>
    <w:p w14:paraId="75015A54"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
          <w:sz w:val="24"/>
        </w:rPr>
      </w:pPr>
      <w:r w:rsidRPr="00306AC5">
        <w:rPr>
          <w:rFonts w:ascii="Times New Roman" w:hAnsi="Times New Roman"/>
          <w:b/>
          <w:sz w:val="24"/>
        </w:rPr>
        <w:t>Expenditure from external financing in the form of grants and loans funded by development partners (DP) is only partly covered in government financial reports.</w:t>
      </w:r>
      <w:r w:rsidRPr="00F02A88">
        <w:rPr>
          <w:rFonts w:ascii="Times New Roman" w:hAnsi="Times New Roman"/>
          <w:sz w:val="24"/>
        </w:rPr>
        <w:t xml:space="preserve">  DP funded expenditure channeled through the government’s accounts, such as for capital projects </w:t>
      </w:r>
      <w:r w:rsidRPr="00F02A88">
        <w:rPr>
          <w:rFonts w:ascii="Times New Roman" w:hAnsi="Times New Roman"/>
          <w:sz w:val="24"/>
        </w:rPr>
        <w:lastRenderedPageBreak/>
        <w:t>is consolidated into the State Budget and covered by government reports. However, significant amounts of DP funded expenditure are not incorporated and thus kept off-budget. The exact amount can be estimated from the latest available Foreign Aid Implementation Report 2017 (Semi-annual FAIR 2017) covering information on reported ODA projects, programs and activities and covered by dataset from the ODA management system of the Ministry of Finance, and from the Ministry of Planning and Investment, Department of International Cooperation (DIC). The total amount pledged by 324 active bilateral and multilateral donors for 2017 totals USD 980 million, composed of USD 215.3 million on grants and USD 764.5 million on loans, i.e. approximately 25% of total government budget expenditure from 2017 State Budget.</w:t>
      </w:r>
      <w:r w:rsidRPr="00F02A88">
        <w:rPr>
          <w:rFonts w:ascii="Times New Roman" w:hAnsi="Times New Roman"/>
          <w:b/>
          <w:sz w:val="24"/>
        </w:rPr>
        <w:t xml:space="preserve"> </w:t>
      </w:r>
    </w:p>
    <w:p w14:paraId="4FF33E4D" w14:textId="77777777" w:rsidR="007518E4" w:rsidRPr="00F02A88"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306AC5">
        <w:rPr>
          <w:rFonts w:ascii="Times New Roman" w:hAnsi="Times New Roman"/>
          <w:b/>
          <w:sz w:val="24"/>
        </w:rPr>
        <w:t>Since the implementation of the SBL, planned expenditures – financed by planned technical revenues - by service delivery units are systematically and consistently recorded in the accounts and reported in government financial reports from the ministries and provinces.</w:t>
      </w:r>
      <w:r w:rsidRPr="00F02A88">
        <w:rPr>
          <w:rFonts w:ascii="Times New Roman" w:hAnsi="Times New Roman"/>
          <w:sz w:val="24"/>
        </w:rPr>
        <w:t xml:space="preserve"> The amount of </w:t>
      </w:r>
      <w:r>
        <w:rPr>
          <w:rFonts w:ascii="Times New Roman" w:hAnsi="Times New Roman"/>
          <w:sz w:val="24"/>
        </w:rPr>
        <w:t>extrabudgetary</w:t>
      </w:r>
      <w:r w:rsidRPr="00F02A88">
        <w:rPr>
          <w:rFonts w:ascii="Times New Roman" w:hAnsi="Times New Roman"/>
          <w:sz w:val="24"/>
        </w:rPr>
        <w:t xml:space="preserve"> expenditure that remains off-budget and </w:t>
      </w:r>
      <w:r>
        <w:rPr>
          <w:rFonts w:ascii="Times New Roman" w:hAnsi="Times New Roman"/>
          <w:sz w:val="24"/>
        </w:rPr>
        <w:t xml:space="preserve">not on </w:t>
      </w:r>
      <w:r w:rsidRPr="00F02A88">
        <w:rPr>
          <w:rFonts w:ascii="Times New Roman" w:hAnsi="Times New Roman"/>
          <w:sz w:val="24"/>
        </w:rPr>
        <w:t>government financial records</w:t>
      </w:r>
      <w:r>
        <w:rPr>
          <w:rFonts w:ascii="Times New Roman" w:hAnsi="Times New Roman"/>
          <w:sz w:val="24"/>
        </w:rPr>
        <w:t xml:space="preserve"> but reported separately are related to </w:t>
      </w:r>
      <w:r w:rsidRPr="00F02A88">
        <w:rPr>
          <w:rFonts w:ascii="Times New Roman" w:hAnsi="Times New Roman"/>
          <w:sz w:val="24"/>
        </w:rPr>
        <w:t xml:space="preserve">externally financed projects, and the expenditures from the statutory </w:t>
      </w:r>
      <w:r>
        <w:rPr>
          <w:rFonts w:ascii="Times New Roman" w:hAnsi="Times New Roman"/>
          <w:sz w:val="24"/>
        </w:rPr>
        <w:t>extrabudgetary</w:t>
      </w:r>
      <w:r w:rsidRPr="00F02A88">
        <w:rPr>
          <w:rFonts w:ascii="Times New Roman" w:hAnsi="Times New Roman"/>
          <w:sz w:val="24"/>
        </w:rPr>
        <w:t xml:space="preserve"> funds. </w:t>
      </w:r>
      <w:r>
        <w:rPr>
          <w:rFonts w:ascii="Times New Roman" w:hAnsi="Times New Roman"/>
          <w:sz w:val="24"/>
        </w:rPr>
        <w:t xml:space="preserve"> </w:t>
      </w:r>
      <w:r w:rsidRPr="00F02A88">
        <w:rPr>
          <w:rFonts w:ascii="Times New Roman" w:hAnsi="Times New Roman"/>
          <w:sz w:val="24"/>
        </w:rPr>
        <w:t xml:space="preserve">For 2016 and 2017, the amount of unreported expenditures cannot be fully estimated but is likely to be more than 10% of total government budget expenditure: Score D. </w:t>
      </w:r>
    </w:p>
    <w:p w14:paraId="41A9FE7E" w14:textId="77777777" w:rsidR="007518E4" w:rsidRPr="00FE6ED4" w:rsidRDefault="007518E4" w:rsidP="00306AC5">
      <w:pPr>
        <w:spacing w:after="240"/>
        <w:ind w:left="0"/>
        <w:rPr>
          <w:rFonts w:ascii="Times New Roman" w:eastAsia="Calibri" w:hAnsi="Times New Roman"/>
          <w:b/>
          <w:bCs/>
          <w:color w:val="28C0DA"/>
          <w:spacing w:val="-1"/>
          <w:sz w:val="24"/>
        </w:rPr>
      </w:pPr>
      <w:r w:rsidRPr="00FE6ED4">
        <w:rPr>
          <w:rFonts w:ascii="Times New Roman" w:eastAsia="Calibri" w:hAnsi="Times New Roman"/>
          <w:b/>
          <w:bCs/>
          <w:color w:val="28C0DA"/>
          <w:spacing w:val="-1"/>
          <w:sz w:val="24"/>
        </w:rPr>
        <w:t xml:space="preserve">6.2 Revenue outside </w:t>
      </w:r>
      <w:r>
        <w:rPr>
          <w:rFonts w:ascii="Times New Roman" w:eastAsia="Calibri" w:hAnsi="Times New Roman"/>
          <w:b/>
          <w:bCs/>
          <w:color w:val="28C0DA"/>
          <w:spacing w:val="-1"/>
          <w:sz w:val="24"/>
        </w:rPr>
        <w:t>f</w:t>
      </w:r>
      <w:r w:rsidRPr="00FE6ED4">
        <w:rPr>
          <w:rFonts w:ascii="Times New Roman" w:eastAsia="Calibri" w:hAnsi="Times New Roman"/>
          <w:b/>
          <w:bCs/>
          <w:color w:val="28C0DA"/>
          <w:spacing w:val="-1"/>
          <w:sz w:val="24"/>
        </w:rPr>
        <w:t xml:space="preserve">inancial </w:t>
      </w:r>
      <w:r>
        <w:rPr>
          <w:rFonts w:ascii="Times New Roman" w:eastAsia="Calibri" w:hAnsi="Times New Roman"/>
          <w:b/>
          <w:bCs/>
          <w:color w:val="28C0DA"/>
          <w:spacing w:val="-1"/>
          <w:sz w:val="24"/>
        </w:rPr>
        <w:t>r</w:t>
      </w:r>
      <w:r w:rsidRPr="00FE6ED4">
        <w:rPr>
          <w:rFonts w:ascii="Times New Roman" w:eastAsia="Calibri" w:hAnsi="Times New Roman"/>
          <w:b/>
          <w:bCs/>
          <w:color w:val="28C0DA"/>
          <w:spacing w:val="-1"/>
          <w:sz w:val="24"/>
        </w:rPr>
        <w:t>eports</w:t>
      </w:r>
    </w:p>
    <w:p w14:paraId="3194FE8B" w14:textId="77777777" w:rsidR="007518E4" w:rsidRPr="009217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921730">
        <w:rPr>
          <w:rFonts w:ascii="Times New Roman" w:hAnsi="Times New Roman"/>
          <w:b/>
          <w:sz w:val="24"/>
        </w:rPr>
        <w:t>Article 33 of the SBL stipulates the obligations for all ministries and government agencies to “Supervise the budget units under their responsibility in collecting and transferring technical revenues to the state budget in full and in compliance with the laws and regulations”.</w:t>
      </w:r>
      <w:r w:rsidRPr="00921730">
        <w:rPr>
          <w:rFonts w:ascii="Times New Roman" w:hAnsi="Times New Roman"/>
          <w:sz w:val="24"/>
        </w:rPr>
        <w:t xml:space="preserve"> Since 2016, the State Budget planning covers the various fees that can also be charged by government entities for the delivery of public services, particularly in the Education (registration fees) and Health (patient fees, drugs, etc.) sectors. </w:t>
      </w:r>
    </w:p>
    <w:p w14:paraId="3BF5DB03" w14:textId="77777777" w:rsidR="007518E4" w:rsidRPr="009217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921730">
        <w:rPr>
          <w:rFonts w:ascii="Times New Roman" w:hAnsi="Times New Roman"/>
          <w:b/>
          <w:sz w:val="24"/>
        </w:rPr>
        <w:t>Technical revenue and administrative fees are collected on separate bank accounts at the service delivery collecting point.</w:t>
      </w:r>
      <w:r w:rsidRPr="00921730">
        <w:rPr>
          <w:rFonts w:ascii="Times New Roman" w:hAnsi="Times New Roman"/>
          <w:sz w:val="24"/>
        </w:rPr>
        <w:t xml:space="preserve"> Technical revenues are accounted for in the budget with a provision for carry-over in case there is a surplus at the end of the fiscal year. Ceilings for revenue and expenditures have been approved in the State Budget Plans in 2017 and 2018 with a breakdown for provincial universities and provincial estimates for the school fees’ collection for the Ministry of Education, and charges collected as Out </w:t>
      </w:r>
      <w:proofErr w:type="gramStart"/>
      <w:r w:rsidRPr="00921730">
        <w:rPr>
          <w:rFonts w:ascii="Times New Roman" w:hAnsi="Times New Roman"/>
          <w:sz w:val="24"/>
        </w:rPr>
        <w:t>Of</w:t>
      </w:r>
      <w:proofErr w:type="gramEnd"/>
      <w:r w:rsidRPr="00921730">
        <w:rPr>
          <w:rFonts w:ascii="Times New Roman" w:hAnsi="Times New Roman"/>
          <w:sz w:val="24"/>
        </w:rPr>
        <w:t xml:space="preserve"> Pocket payments from health centers, district and provincial hospitals and the fees collected from the drug revolving fund for the Ministry of Health. The figures reported in the State Budget amount to less than 2% of the aggregate reported expenditure. </w:t>
      </w:r>
    </w:p>
    <w:p w14:paraId="61DFC4A0"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306AC5">
        <w:rPr>
          <w:rFonts w:ascii="Times New Roman" w:hAnsi="Times New Roman"/>
          <w:b/>
          <w:sz w:val="24"/>
        </w:rPr>
        <w:t>At present, data on off-budget revenue from grants and loans from DP are produced at least once a year but technical revenue collected government operations are not systematically and consistently reported by the ministries and provinces.</w:t>
      </w:r>
      <w:r w:rsidRPr="00B84BA7">
        <w:rPr>
          <w:rFonts w:ascii="Times New Roman" w:hAnsi="Times New Roman"/>
          <w:sz w:val="24"/>
        </w:rPr>
        <w:t xml:space="preserve"> The amount of </w:t>
      </w:r>
      <w:r>
        <w:rPr>
          <w:rFonts w:ascii="Times New Roman" w:hAnsi="Times New Roman"/>
          <w:sz w:val="24"/>
        </w:rPr>
        <w:t>extrabudgetary</w:t>
      </w:r>
      <w:r w:rsidRPr="00B84BA7">
        <w:rPr>
          <w:rFonts w:ascii="Times New Roman" w:hAnsi="Times New Roman"/>
          <w:sz w:val="24"/>
        </w:rPr>
        <w:t xml:space="preserve"> revenue that remains unreported for 2017 cannot be fully estimated but is likely to be more than 25% of total government budget revenue: Score D.  </w:t>
      </w:r>
    </w:p>
    <w:p w14:paraId="6087135A" w14:textId="77777777" w:rsidR="00103029" w:rsidRDefault="00103029">
      <w:pPr>
        <w:spacing w:after="240" w:line="276" w:lineRule="auto"/>
        <w:rPr>
          <w:rFonts w:ascii="Times New Roman" w:hAnsi="Times New Roman"/>
          <w:sz w:val="24"/>
        </w:rPr>
      </w:pPr>
      <w:r>
        <w:rPr>
          <w:rFonts w:ascii="Times New Roman" w:hAnsi="Times New Roman"/>
          <w:sz w:val="24"/>
        </w:rPr>
        <w:br w:type="page"/>
      </w:r>
    </w:p>
    <w:p w14:paraId="38FE4CBF" w14:textId="77777777" w:rsidR="007518E4" w:rsidRPr="00FE6ED4" w:rsidRDefault="007518E4" w:rsidP="00306AC5">
      <w:pPr>
        <w:spacing w:after="240"/>
        <w:ind w:left="0"/>
        <w:rPr>
          <w:rFonts w:ascii="Times New Roman" w:eastAsia="Calibri" w:hAnsi="Times New Roman"/>
          <w:b/>
          <w:bCs/>
          <w:color w:val="28C0DA"/>
          <w:spacing w:val="-1"/>
          <w:sz w:val="24"/>
        </w:rPr>
      </w:pPr>
      <w:r w:rsidRPr="00FE6ED4">
        <w:rPr>
          <w:rFonts w:ascii="Times New Roman" w:eastAsia="Calibri" w:hAnsi="Times New Roman"/>
          <w:b/>
          <w:bCs/>
          <w:color w:val="28C0DA"/>
          <w:spacing w:val="-1"/>
          <w:sz w:val="24"/>
        </w:rPr>
        <w:lastRenderedPageBreak/>
        <w:t xml:space="preserve">6.3 Financial </w:t>
      </w:r>
      <w:r>
        <w:rPr>
          <w:rFonts w:ascii="Times New Roman" w:eastAsia="Calibri" w:hAnsi="Times New Roman"/>
          <w:b/>
          <w:bCs/>
          <w:color w:val="28C0DA"/>
          <w:spacing w:val="-1"/>
          <w:sz w:val="24"/>
        </w:rPr>
        <w:t>r</w:t>
      </w:r>
      <w:r w:rsidRPr="00FE6ED4">
        <w:rPr>
          <w:rFonts w:ascii="Times New Roman" w:eastAsia="Calibri" w:hAnsi="Times New Roman"/>
          <w:b/>
          <w:bCs/>
          <w:color w:val="28C0DA"/>
          <w:spacing w:val="-1"/>
          <w:sz w:val="24"/>
        </w:rPr>
        <w:t xml:space="preserve">eports of </w:t>
      </w:r>
      <w:r>
        <w:rPr>
          <w:rFonts w:ascii="Times New Roman" w:eastAsia="Calibri" w:hAnsi="Times New Roman"/>
          <w:b/>
          <w:bCs/>
          <w:color w:val="28C0DA"/>
          <w:spacing w:val="-1"/>
          <w:sz w:val="24"/>
        </w:rPr>
        <w:t>extrabudgetary</w:t>
      </w:r>
      <w:r w:rsidRPr="00FE6ED4">
        <w:rPr>
          <w:rFonts w:ascii="Times New Roman" w:eastAsia="Calibri" w:hAnsi="Times New Roman"/>
          <w:b/>
          <w:bCs/>
          <w:color w:val="28C0DA"/>
          <w:spacing w:val="-1"/>
          <w:sz w:val="24"/>
        </w:rPr>
        <w:t xml:space="preserve"> </w:t>
      </w:r>
      <w:r>
        <w:rPr>
          <w:rFonts w:ascii="Times New Roman" w:eastAsia="Calibri" w:hAnsi="Times New Roman"/>
          <w:b/>
          <w:bCs/>
          <w:color w:val="28C0DA"/>
          <w:spacing w:val="-1"/>
          <w:sz w:val="24"/>
        </w:rPr>
        <w:t>u</w:t>
      </w:r>
      <w:r w:rsidRPr="00FE6ED4">
        <w:rPr>
          <w:rFonts w:ascii="Times New Roman" w:eastAsia="Calibri" w:hAnsi="Times New Roman"/>
          <w:b/>
          <w:bCs/>
          <w:color w:val="28C0DA"/>
          <w:spacing w:val="-1"/>
          <w:sz w:val="24"/>
        </w:rPr>
        <w:t>nits</w:t>
      </w:r>
    </w:p>
    <w:p w14:paraId="0ED30831" w14:textId="77777777" w:rsidR="007518E4" w:rsidRPr="00921730"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921730">
        <w:rPr>
          <w:rFonts w:ascii="Times New Roman" w:hAnsi="Times New Roman"/>
          <w:b/>
          <w:sz w:val="24"/>
        </w:rPr>
        <w:t>Although all Funds and Agencies that receive annual budget allocations from the State Budget are required to submit financial reports on their extrabudgetary expenditure to their respective ministry and to the MoF, there is no clear reporting system and follow up process for tracking such or expenditure.</w:t>
      </w:r>
      <w:r w:rsidRPr="00921730">
        <w:rPr>
          <w:rFonts w:ascii="Times New Roman" w:hAnsi="Times New Roman"/>
          <w:sz w:val="24"/>
        </w:rPr>
        <w:t xml:space="preserve"> </w:t>
      </w:r>
      <w:r w:rsidR="003274DB" w:rsidRPr="00921730">
        <w:rPr>
          <w:rFonts w:ascii="Times New Roman" w:hAnsi="Times New Roman"/>
          <w:sz w:val="24"/>
        </w:rPr>
        <w:t>Thus,</w:t>
      </w:r>
      <w:r w:rsidRPr="00921730">
        <w:rPr>
          <w:rFonts w:ascii="Times New Roman" w:hAnsi="Times New Roman"/>
          <w:sz w:val="24"/>
        </w:rPr>
        <w:t xml:space="preserve"> it is difficult to assess the compliance of the reporting and therefore the significance of the expenditure and revenue t</w:t>
      </w:r>
      <w:r w:rsidR="003274DB">
        <w:rPr>
          <w:rFonts w:ascii="Times New Roman" w:hAnsi="Times New Roman"/>
          <w:sz w:val="24"/>
        </w:rPr>
        <w:t xml:space="preserve">hat remain outside the budget. </w:t>
      </w:r>
      <w:r w:rsidRPr="00921730">
        <w:rPr>
          <w:rFonts w:ascii="Times New Roman" w:hAnsi="Times New Roman"/>
          <w:sz w:val="24"/>
        </w:rPr>
        <w:t>As mentioned above, extrabudgetary funding includes funds from external sources, from additional revenue sources, and from income generated through service fees</w:t>
      </w:r>
      <w:r w:rsidR="003274DB">
        <w:rPr>
          <w:rFonts w:ascii="Times New Roman" w:hAnsi="Times New Roman"/>
          <w:sz w:val="24"/>
        </w:rPr>
        <w:t>.</w:t>
      </w:r>
      <w:r w:rsidRPr="00921730">
        <w:rPr>
          <w:rFonts w:ascii="Times New Roman" w:hAnsi="Times New Roman"/>
          <w:sz w:val="24"/>
        </w:rPr>
        <w:t xml:space="preserve"> Reporting varies from one Fund to another.  Revenues from the Road Fund are, for example, included in the overall figures for tax revenue and a consolidated financial report is prepared and submitted to the NA annually. However, as these funds are not covered by the GFIS accounting system, financial information can be reported with substantial delays.</w:t>
      </w:r>
    </w:p>
    <w:p w14:paraId="50EDFA3F" w14:textId="77777777" w:rsidR="007518E4" w:rsidRPr="00B84BA7"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306AC5">
        <w:rPr>
          <w:rFonts w:ascii="Times New Roman" w:hAnsi="Times New Roman"/>
          <w:b/>
          <w:sz w:val="24"/>
        </w:rPr>
        <w:t>MoF does not carry out a specific oversight or monitoring role of the extrabudgetary funds and units.</w:t>
      </w:r>
      <w:r>
        <w:rPr>
          <w:rFonts w:ascii="Times New Roman" w:hAnsi="Times New Roman"/>
          <w:sz w:val="24"/>
        </w:rPr>
        <w:t xml:space="preserve"> </w:t>
      </w:r>
      <w:r w:rsidRPr="00B84BA7">
        <w:rPr>
          <w:rFonts w:ascii="Times New Roman" w:hAnsi="Times New Roman"/>
          <w:sz w:val="24"/>
        </w:rPr>
        <w:t>Ea</w:t>
      </w:r>
      <w:r>
        <w:rPr>
          <w:rFonts w:ascii="Times New Roman" w:hAnsi="Times New Roman"/>
          <w:sz w:val="24"/>
        </w:rPr>
        <w:t>ch</w:t>
      </w:r>
      <w:r w:rsidRPr="00B84BA7">
        <w:rPr>
          <w:rFonts w:ascii="Times New Roman" w:hAnsi="Times New Roman"/>
          <w:sz w:val="24"/>
        </w:rPr>
        <w:t xml:space="preserve"> decree </w:t>
      </w:r>
      <w:r>
        <w:rPr>
          <w:rFonts w:ascii="Times New Roman" w:hAnsi="Times New Roman"/>
          <w:sz w:val="24"/>
        </w:rPr>
        <w:t xml:space="preserve">that establishes a Fund </w:t>
      </w:r>
      <w:r w:rsidRPr="00B84BA7">
        <w:rPr>
          <w:rFonts w:ascii="Times New Roman" w:hAnsi="Times New Roman"/>
          <w:sz w:val="24"/>
        </w:rPr>
        <w:t>defines the obligations for the annual s</w:t>
      </w:r>
      <w:r>
        <w:rPr>
          <w:rFonts w:ascii="Times New Roman" w:hAnsi="Times New Roman"/>
          <w:sz w:val="24"/>
        </w:rPr>
        <w:t>ubmission of the plans, budget,</w:t>
      </w:r>
      <w:r w:rsidRPr="00B84BA7">
        <w:rPr>
          <w:rFonts w:ascii="Times New Roman" w:hAnsi="Times New Roman"/>
          <w:sz w:val="24"/>
        </w:rPr>
        <w:t xml:space="preserve"> periodic financial reporting, audit and oversight by the NA. In the absence of a designated department with the authority and responsibility to collect from the responsible line Ministry, prepare and submit financial reports to be consolidated in the State Budget Implementation report presented to the NA within nine to ten months of the end of the fiscal year, the reporting obligations are not effectively implemented. </w:t>
      </w:r>
      <w:r>
        <w:rPr>
          <w:rFonts w:ascii="Times New Roman" w:hAnsi="Times New Roman"/>
          <w:sz w:val="24"/>
        </w:rPr>
        <w:t xml:space="preserve"> </w:t>
      </w:r>
      <w:r w:rsidRPr="00B84BA7">
        <w:rPr>
          <w:rFonts w:ascii="Times New Roman" w:hAnsi="Times New Roman"/>
          <w:sz w:val="24"/>
        </w:rPr>
        <w:t xml:space="preserve">This is partly because the supporting instructions, guidelines and policies have not yet been issued by the MoF. </w:t>
      </w:r>
    </w:p>
    <w:p w14:paraId="54A61070" w14:textId="29CCFFA3"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306AC5">
        <w:rPr>
          <w:rFonts w:ascii="Times New Roman" w:hAnsi="Times New Roman"/>
          <w:b/>
          <w:sz w:val="24"/>
        </w:rPr>
        <w:t>The main six extrabudgetary funds (out of approximately 15 extrabudgetary funds), representing 2.5%</w:t>
      </w:r>
      <w:r w:rsidRPr="00306AC5">
        <w:rPr>
          <w:rFonts w:ascii="Times New Roman" w:hAnsi="Times New Roman"/>
          <w:b/>
          <w:color w:val="FF0000"/>
          <w:sz w:val="24"/>
        </w:rPr>
        <w:t xml:space="preserve"> </w:t>
      </w:r>
      <w:r w:rsidRPr="00306AC5">
        <w:rPr>
          <w:rFonts w:ascii="Times New Roman" w:hAnsi="Times New Roman"/>
          <w:b/>
          <w:sz w:val="24"/>
        </w:rPr>
        <w:t>of government annual planned expenditure in 2017 have obligations to submit their financial reports to their respective supervising ministry</w:t>
      </w:r>
      <w:r w:rsidR="00306AC5">
        <w:rPr>
          <w:rFonts w:ascii="Times New Roman" w:hAnsi="Times New Roman"/>
          <w:b/>
          <w:sz w:val="24"/>
        </w:rPr>
        <w:t>.</w:t>
      </w:r>
      <w:r w:rsidRPr="00B84BA7">
        <w:rPr>
          <w:rStyle w:val="FootnoteReference"/>
          <w:rFonts w:ascii="Times New Roman" w:hAnsi="Times New Roman"/>
          <w:sz w:val="24"/>
        </w:rPr>
        <w:footnoteReference w:id="25"/>
      </w:r>
      <w:r w:rsidRPr="00B84BA7">
        <w:rPr>
          <w:rFonts w:ascii="Times New Roman" w:hAnsi="Times New Roman"/>
          <w:sz w:val="24"/>
        </w:rPr>
        <w:t xml:space="preserve">: </w:t>
      </w:r>
      <w:r w:rsidR="00D05A65">
        <w:rPr>
          <w:rFonts w:ascii="Times New Roman" w:hAnsi="Times New Roman"/>
          <w:sz w:val="24"/>
        </w:rPr>
        <w:t xml:space="preserve">The two main funds, namely the Road maintenance fund and the Health Insurance Fund, </w:t>
      </w:r>
      <w:r w:rsidR="000531C9">
        <w:rPr>
          <w:rFonts w:ascii="Times New Roman" w:hAnsi="Times New Roman"/>
          <w:sz w:val="24"/>
        </w:rPr>
        <w:t>have submitted their reports to their respective line ministries in 2017.</w:t>
      </w:r>
      <w:r w:rsidR="00D05A65">
        <w:rPr>
          <w:rFonts w:ascii="Times New Roman" w:hAnsi="Times New Roman"/>
          <w:sz w:val="24"/>
        </w:rPr>
        <w:t xml:space="preserve"> </w:t>
      </w:r>
      <w:r w:rsidRPr="00B84BA7">
        <w:rPr>
          <w:rFonts w:ascii="Times New Roman" w:hAnsi="Times New Roman"/>
          <w:sz w:val="24"/>
        </w:rPr>
        <w:t xml:space="preserve">Score </w:t>
      </w:r>
      <w:r w:rsidR="00C36076">
        <w:rPr>
          <w:rFonts w:ascii="Times New Roman" w:hAnsi="Times New Roman"/>
          <w:sz w:val="24"/>
        </w:rPr>
        <w:t>C as over 50%</w:t>
      </w:r>
      <w:r w:rsidR="000531C9">
        <w:rPr>
          <w:rStyle w:val="FootnoteReference"/>
          <w:rFonts w:ascii="Times New Roman" w:hAnsi="Times New Roman"/>
          <w:sz w:val="24"/>
        </w:rPr>
        <w:footnoteReference w:id="26"/>
      </w:r>
      <w:r w:rsidR="00C36076">
        <w:rPr>
          <w:rFonts w:ascii="Times New Roman" w:hAnsi="Times New Roman"/>
          <w:sz w:val="24"/>
        </w:rPr>
        <w:t xml:space="preserve"> in value of extrabudgetary </w:t>
      </w:r>
      <w:r w:rsidR="00D57A77">
        <w:rPr>
          <w:rFonts w:ascii="Times New Roman" w:hAnsi="Times New Roman"/>
          <w:sz w:val="24"/>
        </w:rPr>
        <w:t>funds</w:t>
      </w:r>
      <w:r w:rsidR="00C36076">
        <w:rPr>
          <w:rFonts w:ascii="Times New Roman" w:hAnsi="Times New Roman"/>
          <w:sz w:val="24"/>
        </w:rPr>
        <w:t xml:space="preserve"> are submitted to government within nine months of the end of the year.</w:t>
      </w:r>
    </w:p>
    <w:p w14:paraId="01D17275" w14:textId="77777777" w:rsidR="007518E4" w:rsidRPr="00B317A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Cs/>
          <w:sz w:val="24"/>
        </w:rPr>
      </w:pPr>
      <w:r w:rsidRPr="00306AC5">
        <w:rPr>
          <w:rFonts w:ascii="Times New Roman" w:hAnsi="Times New Roman"/>
          <w:b/>
          <w:sz w:val="24"/>
        </w:rPr>
        <w:t>MoF has made a priority to include the reporting of the statutory bodies in the government reports.</w:t>
      </w:r>
      <w:r w:rsidRPr="00B317A4">
        <w:rPr>
          <w:rFonts w:ascii="Times New Roman" w:hAnsi="Times New Roman"/>
          <w:sz w:val="24"/>
        </w:rPr>
        <w:t xml:space="preserve"> It is in the process of finalizing and issuing regulations on ownership of Statutory Bodies and obligations to report annual financial implementation to a designated single department or unit to which all information should be forwarded for consolidation and liaison with MoF.   </w:t>
      </w:r>
    </w:p>
    <w:p w14:paraId="5B2096D8" w14:textId="77777777" w:rsidR="007518E4" w:rsidRPr="00B317A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Cs/>
          <w:sz w:val="24"/>
        </w:rPr>
      </w:pPr>
      <w:r w:rsidRPr="00306AC5">
        <w:rPr>
          <w:rFonts w:ascii="Times New Roman" w:hAnsi="Times New Roman"/>
          <w:b/>
          <w:sz w:val="24"/>
        </w:rPr>
        <w:t>Data requirements on receipts and implementation of aid management are currently being developed by MPI to collect information from ministries and DPs so that the ODA reports may be issued with more accuracy and timeliness.</w:t>
      </w:r>
      <w:r>
        <w:rPr>
          <w:rFonts w:ascii="Times New Roman" w:hAnsi="Times New Roman"/>
          <w:sz w:val="24"/>
        </w:rPr>
        <w:t xml:space="preserve"> </w:t>
      </w:r>
      <w:r w:rsidRPr="00B317A4">
        <w:rPr>
          <w:rFonts w:ascii="Times New Roman" w:hAnsi="Times New Roman"/>
          <w:sz w:val="24"/>
        </w:rPr>
        <w:t>Together with the process of reviewing the Prime Minister Decree No. 75 on the management and utilization of Official Development Assistance (ODA), MPI is now developing an online database for ODA Management Information System (</w:t>
      </w:r>
      <w:hyperlink r:id="rId16" w:history="1">
        <w:r w:rsidRPr="00B317A4">
          <w:rPr>
            <w:rStyle w:val="Hyperlink"/>
            <w:rFonts w:ascii="Times New Roman" w:hAnsi="Times New Roman"/>
            <w:sz w:val="24"/>
          </w:rPr>
          <w:t>www.ODA-mis.gov.la</w:t>
        </w:r>
      </w:hyperlink>
      <w:r w:rsidRPr="00B317A4">
        <w:rPr>
          <w:rFonts w:ascii="Times New Roman" w:hAnsi="Times New Roman"/>
          <w:sz w:val="24"/>
        </w:rPr>
        <w:t xml:space="preserve"> ) that will ease and streamline the </w:t>
      </w:r>
      <w:r w:rsidRPr="00B317A4">
        <w:rPr>
          <w:rFonts w:ascii="Times New Roman" w:hAnsi="Times New Roman"/>
          <w:sz w:val="24"/>
        </w:rPr>
        <w:lastRenderedPageBreak/>
        <w:t xml:space="preserve">tracking, monitoring and tracking of ODA project implementation. </w:t>
      </w:r>
      <w:r>
        <w:rPr>
          <w:rFonts w:ascii="Times New Roman" w:hAnsi="Times New Roman"/>
          <w:sz w:val="24"/>
        </w:rPr>
        <w:t xml:space="preserve"> Once fully operational</w:t>
      </w:r>
      <w:r w:rsidRPr="00B317A4">
        <w:rPr>
          <w:rFonts w:ascii="Times New Roman" w:hAnsi="Times New Roman"/>
          <w:sz w:val="24"/>
        </w:rPr>
        <w:t xml:space="preserve">, ODA data will be more accurate </w:t>
      </w:r>
      <w:r w:rsidR="00E343CA">
        <w:rPr>
          <w:rFonts w:ascii="Times New Roman" w:hAnsi="Times New Roman"/>
          <w:sz w:val="24"/>
        </w:rPr>
        <w:t>as well as</w:t>
      </w:r>
      <w:r w:rsidRPr="00B317A4">
        <w:rPr>
          <w:rFonts w:ascii="Times New Roman" w:hAnsi="Times New Roman"/>
          <w:sz w:val="24"/>
        </w:rPr>
        <w:t xml:space="preserve"> timely available. It will also facilitate and expedite the production of the FAIR report by MPI. </w:t>
      </w:r>
    </w:p>
    <w:p w14:paraId="0C47B9FC" w14:textId="77777777" w:rsidR="007518E4" w:rsidRDefault="007518E4" w:rsidP="00306AC5">
      <w:pPr>
        <w:pStyle w:val="Heading3"/>
        <w:spacing w:after="240"/>
        <w:ind w:left="0"/>
        <w:rPr>
          <w:rFonts w:ascii="Times New Roman" w:eastAsia="Calibri" w:hAnsi="Times New Roman"/>
          <w:b w:val="0"/>
          <w:bCs w:val="0"/>
          <w:color w:val="28C0DA"/>
          <w:spacing w:val="-1"/>
          <w:szCs w:val="28"/>
        </w:rPr>
      </w:pPr>
      <w:bookmarkStart w:id="48" w:name="_Toc518901789"/>
      <w:bookmarkStart w:id="49" w:name="_Toc4148984"/>
      <w:r w:rsidRPr="00FE6ED4">
        <w:rPr>
          <w:rFonts w:ascii="Times New Roman" w:eastAsia="Calibri" w:hAnsi="Times New Roman"/>
          <w:color w:val="28C0DA"/>
          <w:spacing w:val="-1"/>
          <w:szCs w:val="28"/>
        </w:rPr>
        <w:t xml:space="preserve">PI-7. </w:t>
      </w:r>
      <w:r>
        <w:rPr>
          <w:rFonts w:ascii="Times New Roman" w:eastAsia="Calibri" w:hAnsi="Times New Roman"/>
          <w:color w:val="28C0DA"/>
          <w:spacing w:val="-1"/>
          <w:szCs w:val="28"/>
        </w:rPr>
        <w:t xml:space="preserve"> </w:t>
      </w:r>
      <w:r w:rsidRPr="00FE6ED4">
        <w:rPr>
          <w:rFonts w:ascii="Times New Roman" w:eastAsia="Calibri" w:hAnsi="Times New Roman"/>
          <w:color w:val="28C0DA"/>
          <w:spacing w:val="-1"/>
          <w:szCs w:val="28"/>
        </w:rPr>
        <w:t xml:space="preserve">Transfers </w:t>
      </w:r>
      <w:r>
        <w:rPr>
          <w:rFonts w:ascii="Times New Roman" w:eastAsia="Calibri" w:hAnsi="Times New Roman"/>
          <w:color w:val="28C0DA"/>
          <w:spacing w:val="-1"/>
          <w:szCs w:val="28"/>
        </w:rPr>
        <w:t>t</w:t>
      </w:r>
      <w:r w:rsidRPr="00FE6ED4">
        <w:rPr>
          <w:rFonts w:ascii="Times New Roman" w:eastAsia="Calibri" w:hAnsi="Times New Roman"/>
          <w:color w:val="28C0DA"/>
          <w:spacing w:val="-1"/>
          <w:szCs w:val="28"/>
        </w:rPr>
        <w:t xml:space="preserve">o </w:t>
      </w:r>
      <w:r>
        <w:rPr>
          <w:rFonts w:ascii="Times New Roman" w:eastAsia="Calibri" w:hAnsi="Times New Roman"/>
          <w:color w:val="28C0DA"/>
          <w:spacing w:val="-1"/>
          <w:szCs w:val="28"/>
        </w:rPr>
        <w:t>s</w:t>
      </w:r>
      <w:r w:rsidRPr="00FE6ED4">
        <w:rPr>
          <w:rFonts w:ascii="Times New Roman" w:eastAsia="Calibri" w:hAnsi="Times New Roman"/>
          <w:color w:val="28C0DA"/>
          <w:spacing w:val="-1"/>
          <w:szCs w:val="28"/>
        </w:rPr>
        <w:t xml:space="preserve">ubnational </w:t>
      </w:r>
      <w:r>
        <w:rPr>
          <w:rFonts w:ascii="Times New Roman" w:eastAsia="Calibri" w:hAnsi="Times New Roman"/>
          <w:color w:val="28C0DA"/>
          <w:spacing w:val="-1"/>
          <w:szCs w:val="28"/>
        </w:rPr>
        <w:t>g</w:t>
      </w:r>
      <w:r w:rsidRPr="00FE6ED4">
        <w:rPr>
          <w:rFonts w:ascii="Times New Roman" w:eastAsia="Calibri" w:hAnsi="Times New Roman"/>
          <w:color w:val="28C0DA"/>
          <w:spacing w:val="-1"/>
          <w:szCs w:val="28"/>
        </w:rPr>
        <w:t>overnments</w:t>
      </w:r>
      <w:bookmarkEnd w:id="48"/>
      <w:bookmarkEnd w:id="49"/>
    </w:p>
    <w:p w14:paraId="36B6B70A" w14:textId="77777777" w:rsidR="007518E4" w:rsidRPr="004E1486"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Calibri" w:hAnsi="Times New Roman"/>
          <w:color w:val="000000"/>
          <w:sz w:val="24"/>
        </w:rPr>
      </w:pPr>
      <w:r w:rsidRPr="00306AC5">
        <w:rPr>
          <w:rFonts w:ascii="Times New Roman" w:hAnsi="Times New Roman"/>
          <w:b/>
          <w:sz w:val="24"/>
        </w:rPr>
        <w:t>This indicator assesses the transparency and timeliness of transfers from central government to sub-national governments with direct financial relationships to it.</w:t>
      </w:r>
      <w:r w:rsidRPr="004E1486">
        <w:rPr>
          <w:rFonts w:ascii="Times New Roman" w:hAnsi="Times New Roman"/>
          <w:sz w:val="24"/>
        </w:rPr>
        <w:t xml:space="preserve">  It considers the basis for transfers from central government and whether sub-national governments receive information on their allocations in time to facilitate budget planning. The assessment of this indicator</w:t>
      </w:r>
      <w:r w:rsidR="003274DB">
        <w:rPr>
          <w:rFonts w:ascii="Times New Roman" w:hAnsi="Times New Roman"/>
          <w:sz w:val="24"/>
        </w:rPr>
        <w:t xml:space="preserve"> is based on fiscal year 2017. </w:t>
      </w:r>
      <w:r w:rsidRPr="004E1486">
        <w:rPr>
          <w:rFonts w:ascii="Times New Roman" w:hAnsi="Times New Roman"/>
          <w:sz w:val="24"/>
        </w:rPr>
        <w:t xml:space="preserve">The coverage is Central Government and the sub-national governments who have direct financial relationship with Central Government.  </w:t>
      </w:r>
    </w:p>
    <w:p w14:paraId="1A98C0D8" w14:textId="77777777" w:rsidR="007518E4" w:rsidRPr="004E1486"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306AC5">
        <w:rPr>
          <w:rFonts w:ascii="Times New Roman" w:eastAsia="Calibri" w:hAnsi="Times New Roman"/>
          <w:b/>
          <w:sz w:val="24"/>
        </w:rPr>
        <w:t>Although the provinces in Lao PDR have locally elected assemblies, they may not at present fully meet the criteria of autonomy from central government.</w:t>
      </w:r>
      <w:r>
        <w:rPr>
          <w:rFonts w:ascii="Times New Roman" w:eastAsia="Calibri" w:hAnsi="Times New Roman"/>
          <w:sz w:val="24"/>
        </w:rPr>
        <w:t xml:space="preserve"> </w:t>
      </w:r>
      <w:r w:rsidRPr="004E1486">
        <w:rPr>
          <w:rFonts w:ascii="Times New Roman" w:eastAsia="Calibri" w:hAnsi="Times New Roman"/>
          <w:color w:val="000000"/>
          <w:sz w:val="24"/>
        </w:rPr>
        <w:t xml:space="preserve">Part IV of the Law on local administration establishes that provinces are not legally independent from central government, as their finances are part of the national budget planning and execution process and at their level of operations are integrated into the GFIS treasury system, except for the district level.  </w:t>
      </w:r>
    </w:p>
    <w:p w14:paraId="712AD982" w14:textId="6189ECB2"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306AC5">
        <w:rPr>
          <w:rFonts w:ascii="Times New Roman" w:eastAsia="Calibri" w:hAnsi="Times New Roman"/>
          <w:b/>
          <w:sz w:val="24"/>
        </w:rPr>
        <w:t>Article 39 of the SBL 2015 states the division of responsibilities over the State Budget</w:t>
      </w:r>
      <w:r w:rsidRPr="004E1486">
        <w:rPr>
          <w:rFonts w:ascii="Times New Roman" w:eastAsia="Calibri" w:hAnsi="Times New Roman"/>
          <w:sz w:val="24"/>
        </w:rPr>
        <w:t xml:space="preserve">: </w:t>
      </w:r>
      <w:r>
        <w:rPr>
          <w:rFonts w:ascii="Times New Roman" w:eastAsia="Calibri" w:hAnsi="Times New Roman"/>
          <w:sz w:val="24"/>
        </w:rPr>
        <w:t>“</w:t>
      </w:r>
      <w:r w:rsidRPr="004E1486">
        <w:rPr>
          <w:rFonts w:ascii="Times New Roman" w:hAnsi="Times New Roman"/>
          <w:sz w:val="24"/>
          <w:lang w:val="en-MY"/>
        </w:rPr>
        <w:t xml:space="preserve">The division of responsibilities between the central and local levels shall follow the principle that the central level is responsible for macro-level management, legal development, supervision, monitoring and support of the state budget execution while the local level has the key responsibility on the budget execution on the basis of centralized state budget. </w:t>
      </w:r>
      <w:r>
        <w:rPr>
          <w:rFonts w:ascii="Times New Roman" w:hAnsi="Times New Roman"/>
          <w:sz w:val="24"/>
          <w:lang w:val="en-MY"/>
        </w:rPr>
        <w:t xml:space="preserve"> </w:t>
      </w:r>
      <w:r w:rsidR="006E28EE">
        <w:rPr>
          <w:rFonts w:ascii="Times New Roman" w:hAnsi="Times New Roman"/>
          <w:sz w:val="24"/>
          <w:lang w:val="en-MY"/>
        </w:rPr>
        <w:t>T</w:t>
      </w:r>
      <w:r w:rsidRPr="004E1486">
        <w:rPr>
          <w:rFonts w:ascii="Times New Roman" w:hAnsi="Times New Roman"/>
          <w:sz w:val="24"/>
          <w:lang w:val="en-MY"/>
        </w:rPr>
        <w:t xml:space="preserve">he division of responsibilities over the state budget revenues and expenditures between the central and local levels shall ensure the unity principle by which the central level plays role in managing and macro-adjusting the budget revenues and expenditures nationwide, making fiscal transfers to deficit provinces, Capital city, districts, municipals and cities which shall enhance their ownership gradually. The local level shall enhance their untapped potentials and capacity </w:t>
      </w:r>
      <w:proofErr w:type="gramStart"/>
      <w:r w:rsidRPr="004E1486">
        <w:rPr>
          <w:rFonts w:ascii="Times New Roman" w:hAnsi="Times New Roman"/>
          <w:sz w:val="24"/>
          <w:lang w:val="en-MY"/>
        </w:rPr>
        <w:t>for the purpose of</w:t>
      </w:r>
      <w:proofErr w:type="gramEnd"/>
      <w:r w:rsidRPr="004E1486">
        <w:rPr>
          <w:rFonts w:ascii="Times New Roman" w:hAnsi="Times New Roman"/>
          <w:sz w:val="24"/>
          <w:lang w:val="en-MY"/>
        </w:rPr>
        <w:t xml:space="preserve"> improving the revenue collection capacity, managing expenditure strictly and responding to the need of the loc</w:t>
      </w:r>
      <w:r>
        <w:rPr>
          <w:rFonts w:ascii="Times New Roman" w:hAnsi="Times New Roman"/>
          <w:sz w:val="24"/>
          <w:lang w:val="en-MY"/>
        </w:rPr>
        <w:t>al socio-economic development.”</w:t>
      </w:r>
    </w:p>
    <w:p w14:paraId="13E75587" w14:textId="77777777" w:rsidR="007518E4" w:rsidRPr="00306AC5"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lang w:val="en-MY"/>
        </w:rPr>
      </w:pPr>
      <w:r w:rsidRPr="00306AC5">
        <w:rPr>
          <w:rFonts w:ascii="Times New Roman" w:eastAsia="Calibri" w:hAnsi="Times New Roman"/>
          <w:b/>
          <w:color w:val="000000"/>
          <w:sz w:val="24"/>
        </w:rPr>
        <w:t>The review of the actual mechanisms established between central government and provinces established that the provincial governments are:</w:t>
      </w:r>
      <w:r w:rsidRPr="005627C9">
        <w:rPr>
          <w:rFonts w:ascii="Times New Roman" w:eastAsia="Calibri" w:hAnsi="Times New Roman"/>
          <w:color w:val="000000"/>
          <w:sz w:val="24"/>
        </w:rPr>
        <w:t xml:space="preserve"> 1) headed by a governor or mayor appointed by the Prime Minister after the provincial assembly is elected, 2) exercise some of the functions of government at a level below that of central government,  3) have the fiscal authority to levy taxes and de facto entitled to spend or allocate some, or possibly all, of the taxes or other revenue that it receives according to its own plans and policies, albeit within the general processes and regulations from central government. </w:t>
      </w:r>
      <w:r w:rsidRPr="00B55892">
        <w:rPr>
          <w:rFonts w:ascii="Times New Roman" w:hAnsi="Times New Roman"/>
          <w:color w:val="000000"/>
          <w:sz w:val="24"/>
          <w:lang w:val="en-MY"/>
        </w:rPr>
        <w:t>The Sam Sang directive, issued in 2012, remains the principle policy directive defining the “decentralization framework”, and the conclusions and recommendations on recent pilots will shape the government evolving policy priorities and objectives and have direct implications for the design and structure of intergovernmental fiscal relations still being developed</w:t>
      </w:r>
      <w:r>
        <w:rPr>
          <w:rFonts w:ascii="Times New Roman" w:hAnsi="Times New Roman"/>
          <w:color w:val="000000"/>
          <w:sz w:val="24"/>
          <w:lang w:val="en-MY"/>
        </w:rPr>
        <w:t>.</w:t>
      </w:r>
    </w:p>
    <w:p w14:paraId="2CC8D4EA" w14:textId="77777777" w:rsidR="00306AC5" w:rsidRDefault="00306AC5">
      <w:pPr>
        <w:spacing w:after="240" w:line="276" w:lineRule="auto"/>
        <w:rPr>
          <w:rFonts w:ascii="Times New Roman" w:eastAsia="Calibri" w:hAnsi="Times New Roman"/>
          <w:b/>
          <w:color w:val="000000"/>
          <w:sz w:val="24"/>
        </w:rPr>
      </w:pPr>
      <w:r>
        <w:rPr>
          <w:rFonts w:ascii="Times New Roman" w:eastAsia="Calibri" w:hAnsi="Times New Roman"/>
          <w:b/>
          <w:color w:val="000000"/>
          <w:sz w:val="24"/>
        </w:rPr>
        <w:br w:type="page"/>
      </w:r>
    </w:p>
    <w:p w14:paraId="2F9CE9AE" w14:textId="77777777" w:rsidR="007518E4" w:rsidRPr="00E67D51"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Calibri" w:hAnsi="Times New Roman"/>
          <w:bCs/>
          <w:spacing w:val="-1"/>
          <w:sz w:val="24"/>
        </w:rPr>
      </w:pPr>
      <w:r w:rsidRPr="00306AC5">
        <w:rPr>
          <w:rFonts w:ascii="Times New Roman" w:eastAsia="Calibri" w:hAnsi="Times New Roman"/>
          <w:b/>
          <w:color w:val="000000"/>
          <w:sz w:val="24"/>
        </w:rPr>
        <w:lastRenderedPageBreak/>
        <w:t>It should be appreciated that the devolution process in Lao PDR is still in its early stages</w:t>
      </w:r>
      <w:r w:rsidRPr="00E67D51">
        <w:rPr>
          <w:rFonts w:ascii="Times New Roman" w:eastAsia="Calibri" w:hAnsi="Times New Roman"/>
          <w:color w:val="000000"/>
          <w:sz w:val="24"/>
        </w:rPr>
        <w:t xml:space="preserve">.  </w:t>
      </w:r>
      <w:r w:rsidR="00835385">
        <w:rPr>
          <w:rFonts w:ascii="Times New Roman" w:eastAsia="Calibri" w:hAnsi="Times New Roman"/>
          <w:color w:val="000000"/>
          <w:sz w:val="24"/>
        </w:rPr>
        <w:t>Ba</w:t>
      </w:r>
      <w:r w:rsidR="00FC037B">
        <w:rPr>
          <w:rFonts w:ascii="Times New Roman" w:eastAsia="Calibri" w:hAnsi="Times New Roman"/>
          <w:color w:val="000000"/>
          <w:sz w:val="24"/>
        </w:rPr>
        <w:t>sed</w:t>
      </w:r>
      <w:r w:rsidR="00835385">
        <w:rPr>
          <w:rFonts w:ascii="Times New Roman" w:eastAsia="Calibri" w:hAnsi="Times New Roman"/>
          <w:color w:val="000000"/>
          <w:sz w:val="24"/>
        </w:rPr>
        <w:t xml:space="preserve"> on the above narrative and Chapter 2.5 PI.7 Transfers to subnational government </w:t>
      </w:r>
      <w:proofErr w:type="gramStart"/>
      <w:r w:rsidR="00835385">
        <w:rPr>
          <w:rFonts w:ascii="Times New Roman" w:eastAsia="Calibri" w:hAnsi="Times New Roman"/>
          <w:color w:val="000000"/>
          <w:sz w:val="24"/>
        </w:rPr>
        <w:t>is considered to be</w:t>
      </w:r>
      <w:proofErr w:type="gramEnd"/>
      <w:r w:rsidR="00835385">
        <w:rPr>
          <w:rFonts w:ascii="Times New Roman" w:eastAsia="Calibri" w:hAnsi="Times New Roman"/>
          <w:color w:val="000000"/>
          <w:sz w:val="24"/>
        </w:rPr>
        <w:t xml:space="preserve"> Not Applicable in Lao DRP.</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878"/>
        <w:gridCol w:w="5737"/>
      </w:tblGrid>
      <w:tr w:rsidR="007518E4" w:rsidRPr="00930334" w14:paraId="79D29065" w14:textId="77777777" w:rsidTr="003274DB">
        <w:trPr>
          <w:trHeight w:val="397"/>
          <w:jc w:val="center"/>
        </w:trPr>
        <w:tc>
          <w:tcPr>
            <w:tcW w:w="12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BD756E" w14:textId="77777777" w:rsidR="007518E4" w:rsidRPr="00E67D51" w:rsidRDefault="007518E4" w:rsidP="00306AC5">
            <w:pPr>
              <w:spacing w:before="0"/>
              <w:ind w:left="0"/>
              <w:rPr>
                <w:rFonts w:ascii="Times New Roman" w:hAnsi="Times New Roman"/>
              </w:rPr>
            </w:pPr>
            <w:r w:rsidRPr="00E67D51">
              <w:rPr>
                <w:rFonts w:ascii="Times New Roman" w:hAnsi="Times New Roman"/>
              </w:rPr>
              <w:t>Indicator/Dimension</w:t>
            </w:r>
          </w:p>
        </w:tc>
        <w:tc>
          <w:tcPr>
            <w:tcW w:w="4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4EBFCC" w14:textId="77777777" w:rsidR="007518E4" w:rsidRPr="00E67D51" w:rsidRDefault="007518E4" w:rsidP="00306AC5">
            <w:pPr>
              <w:spacing w:before="0"/>
              <w:ind w:left="0"/>
              <w:jc w:val="center"/>
              <w:rPr>
                <w:rFonts w:ascii="Times New Roman" w:hAnsi="Times New Roman"/>
              </w:rPr>
            </w:pPr>
            <w:r w:rsidRPr="00E67D51">
              <w:rPr>
                <w:rFonts w:ascii="Times New Roman" w:hAnsi="Times New Roman"/>
              </w:rPr>
              <w:t>Score</w:t>
            </w:r>
          </w:p>
        </w:tc>
        <w:tc>
          <w:tcPr>
            <w:tcW w:w="325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20CFDA" w14:textId="77777777" w:rsidR="007518E4" w:rsidRPr="00E67D51" w:rsidRDefault="007518E4" w:rsidP="00306AC5">
            <w:pPr>
              <w:spacing w:before="0"/>
              <w:ind w:left="0"/>
              <w:jc w:val="center"/>
              <w:rPr>
                <w:rFonts w:ascii="Times New Roman" w:hAnsi="Times New Roman"/>
              </w:rPr>
            </w:pPr>
            <w:r w:rsidRPr="00E67D51">
              <w:rPr>
                <w:rFonts w:ascii="Times New Roman" w:hAnsi="Times New Roman"/>
              </w:rPr>
              <w:t>Brief Explanation</w:t>
            </w:r>
          </w:p>
        </w:tc>
      </w:tr>
      <w:tr w:rsidR="007518E4" w:rsidRPr="00930334" w14:paraId="76F18CBC" w14:textId="77777777" w:rsidTr="003274DB">
        <w:trPr>
          <w:trHeight w:val="720"/>
          <w:jc w:val="center"/>
        </w:trPr>
        <w:tc>
          <w:tcPr>
            <w:tcW w:w="1248" w:type="pct"/>
            <w:tcBorders>
              <w:top w:val="single" w:sz="4" w:space="0" w:color="auto"/>
              <w:left w:val="single" w:sz="4" w:space="0" w:color="auto"/>
              <w:bottom w:val="single" w:sz="4" w:space="0" w:color="auto"/>
              <w:right w:val="single" w:sz="4" w:space="0" w:color="auto"/>
            </w:tcBorders>
            <w:vAlign w:val="center"/>
            <w:hideMark/>
          </w:tcPr>
          <w:p w14:paraId="1DFA675B" w14:textId="77777777" w:rsidR="007518E4" w:rsidRPr="00E67D51" w:rsidRDefault="007518E4" w:rsidP="003274DB">
            <w:pPr>
              <w:spacing w:before="0"/>
              <w:ind w:left="0"/>
              <w:jc w:val="left"/>
              <w:rPr>
                <w:rFonts w:ascii="Times New Roman" w:hAnsi="Times New Roman"/>
              </w:rPr>
            </w:pPr>
            <w:r w:rsidRPr="00E67D51">
              <w:rPr>
                <w:rFonts w:ascii="Times New Roman" w:hAnsi="Times New Roman"/>
              </w:rPr>
              <w:t>PI-7 Transfers to subnational governments</w:t>
            </w:r>
          </w:p>
        </w:tc>
        <w:tc>
          <w:tcPr>
            <w:tcW w:w="498" w:type="pct"/>
            <w:tcBorders>
              <w:top w:val="single" w:sz="4" w:space="0" w:color="auto"/>
              <w:left w:val="single" w:sz="4" w:space="0" w:color="auto"/>
              <w:bottom w:val="single" w:sz="4" w:space="0" w:color="auto"/>
              <w:right w:val="single" w:sz="4" w:space="0" w:color="auto"/>
            </w:tcBorders>
            <w:vAlign w:val="center"/>
          </w:tcPr>
          <w:p w14:paraId="2A5BE0DB" w14:textId="77777777" w:rsidR="007518E4" w:rsidRPr="00E67D51" w:rsidRDefault="00835385" w:rsidP="00306AC5">
            <w:pPr>
              <w:spacing w:before="0"/>
              <w:ind w:left="0"/>
              <w:jc w:val="center"/>
              <w:rPr>
                <w:rFonts w:ascii="Times New Roman" w:hAnsi="Times New Roman"/>
              </w:rPr>
            </w:pPr>
            <w:r>
              <w:rPr>
                <w:rFonts w:ascii="Times New Roman" w:hAnsi="Times New Roman"/>
              </w:rPr>
              <w:t>NA</w:t>
            </w:r>
          </w:p>
        </w:tc>
        <w:tc>
          <w:tcPr>
            <w:tcW w:w="3254" w:type="pct"/>
            <w:tcBorders>
              <w:top w:val="single" w:sz="4" w:space="0" w:color="auto"/>
              <w:left w:val="single" w:sz="4" w:space="0" w:color="auto"/>
              <w:bottom w:val="single" w:sz="4" w:space="0" w:color="auto"/>
              <w:right w:val="single" w:sz="4" w:space="0" w:color="auto"/>
            </w:tcBorders>
            <w:vAlign w:val="center"/>
            <w:hideMark/>
          </w:tcPr>
          <w:p w14:paraId="21CE0063" w14:textId="77777777" w:rsidR="007518E4" w:rsidRPr="00E67D51" w:rsidRDefault="007518E4" w:rsidP="00306AC5">
            <w:pPr>
              <w:spacing w:before="0"/>
              <w:ind w:left="0"/>
              <w:rPr>
                <w:rFonts w:ascii="Times New Roman" w:hAnsi="Times New Roman"/>
              </w:rPr>
            </w:pPr>
            <w:r w:rsidRPr="00E67D51">
              <w:rPr>
                <w:rFonts w:ascii="Times New Roman" w:eastAsia="Calibri" w:hAnsi="Times New Roman"/>
                <w:color w:val="000000"/>
              </w:rPr>
              <w:t xml:space="preserve">Dimension scores combined by M2 (average) </w:t>
            </w:r>
          </w:p>
        </w:tc>
      </w:tr>
      <w:tr w:rsidR="007518E4" w:rsidRPr="00930334" w14:paraId="68A3D2F7" w14:textId="77777777" w:rsidTr="003274DB">
        <w:trPr>
          <w:trHeight w:val="530"/>
          <w:jc w:val="center"/>
        </w:trPr>
        <w:tc>
          <w:tcPr>
            <w:tcW w:w="1248" w:type="pct"/>
            <w:tcBorders>
              <w:top w:val="single" w:sz="4" w:space="0" w:color="auto"/>
              <w:left w:val="single" w:sz="4" w:space="0" w:color="auto"/>
              <w:bottom w:val="single" w:sz="4" w:space="0" w:color="auto"/>
              <w:right w:val="single" w:sz="4" w:space="0" w:color="auto"/>
            </w:tcBorders>
            <w:vAlign w:val="center"/>
            <w:hideMark/>
          </w:tcPr>
          <w:p w14:paraId="2BB10009" w14:textId="77777777" w:rsidR="007518E4" w:rsidRPr="00E67D51" w:rsidRDefault="007518E4" w:rsidP="003274DB">
            <w:pPr>
              <w:spacing w:before="0"/>
              <w:ind w:left="0"/>
              <w:jc w:val="left"/>
              <w:rPr>
                <w:rFonts w:ascii="Times New Roman" w:hAnsi="Times New Roman"/>
              </w:rPr>
            </w:pPr>
            <w:r w:rsidRPr="00E67D51">
              <w:rPr>
                <w:rFonts w:ascii="Times New Roman" w:hAnsi="Times New Roman"/>
              </w:rPr>
              <w:t>7.1 System for allocating transfers</w:t>
            </w:r>
          </w:p>
        </w:tc>
        <w:tc>
          <w:tcPr>
            <w:tcW w:w="498" w:type="pct"/>
            <w:tcBorders>
              <w:top w:val="single" w:sz="4" w:space="0" w:color="auto"/>
              <w:left w:val="single" w:sz="4" w:space="0" w:color="auto"/>
              <w:bottom w:val="single" w:sz="4" w:space="0" w:color="auto"/>
              <w:right w:val="single" w:sz="4" w:space="0" w:color="auto"/>
            </w:tcBorders>
            <w:vAlign w:val="center"/>
          </w:tcPr>
          <w:p w14:paraId="405B16F0" w14:textId="77777777" w:rsidR="007518E4" w:rsidRPr="00E67D51" w:rsidRDefault="00835385" w:rsidP="00306AC5">
            <w:pPr>
              <w:spacing w:before="0"/>
              <w:ind w:left="0"/>
              <w:jc w:val="center"/>
              <w:rPr>
                <w:rFonts w:ascii="Times New Roman" w:hAnsi="Times New Roman"/>
              </w:rPr>
            </w:pPr>
            <w:r>
              <w:rPr>
                <w:rFonts w:ascii="Times New Roman" w:hAnsi="Times New Roman"/>
              </w:rPr>
              <w:t>NA</w:t>
            </w:r>
          </w:p>
        </w:tc>
        <w:tc>
          <w:tcPr>
            <w:tcW w:w="3254" w:type="pct"/>
            <w:tcBorders>
              <w:top w:val="single" w:sz="4" w:space="0" w:color="auto"/>
              <w:left w:val="single" w:sz="4" w:space="0" w:color="auto"/>
              <w:bottom w:val="single" w:sz="4" w:space="0" w:color="auto"/>
              <w:right w:val="single" w:sz="4" w:space="0" w:color="auto"/>
            </w:tcBorders>
            <w:vAlign w:val="center"/>
          </w:tcPr>
          <w:p w14:paraId="018BBB79" w14:textId="77777777" w:rsidR="007518E4" w:rsidRPr="00E67D51" w:rsidRDefault="007518E4" w:rsidP="00306AC5">
            <w:pPr>
              <w:spacing w:before="0"/>
              <w:ind w:left="0"/>
              <w:rPr>
                <w:rFonts w:ascii="Times New Roman" w:eastAsia="Calibri" w:hAnsi="Times New Roman"/>
              </w:rPr>
            </w:pPr>
          </w:p>
        </w:tc>
      </w:tr>
      <w:tr w:rsidR="007518E4" w:rsidRPr="00930334" w14:paraId="0D68D52E" w14:textId="77777777" w:rsidTr="003274DB">
        <w:trPr>
          <w:trHeight w:val="1297"/>
          <w:jc w:val="center"/>
        </w:trPr>
        <w:tc>
          <w:tcPr>
            <w:tcW w:w="1248" w:type="pct"/>
            <w:tcBorders>
              <w:top w:val="single" w:sz="4" w:space="0" w:color="auto"/>
              <w:left w:val="single" w:sz="4" w:space="0" w:color="auto"/>
              <w:bottom w:val="single" w:sz="4" w:space="0" w:color="auto"/>
              <w:right w:val="single" w:sz="4" w:space="0" w:color="auto"/>
            </w:tcBorders>
            <w:vAlign w:val="center"/>
            <w:hideMark/>
          </w:tcPr>
          <w:p w14:paraId="6FE14EE8" w14:textId="77777777" w:rsidR="007518E4" w:rsidRPr="00E67D51" w:rsidRDefault="007518E4" w:rsidP="003274DB">
            <w:pPr>
              <w:spacing w:before="0"/>
              <w:ind w:left="0"/>
              <w:jc w:val="left"/>
              <w:rPr>
                <w:rFonts w:ascii="Times New Roman" w:hAnsi="Times New Roman"/>
              </w:rPr>
            </w:pPr>
            <w:r w:rsidRPr="00E67D51">
              <w:rPr>
                <w:rFonts w:ascii="Times New Roman" w:hAnsi="Times New Roman"/>
              </w:rPr>
              <w:t xml:space="preserve">7.2 </w:t>
            </w:r>
            <w:r w:rsidRPr="00E67D51">
              <w:rPr>
                <w:rFonts w:ascii="Times New Roman" w:hAnsi="Times New Roman"/>
                <w:color w:val="000000"/>
              </w:rPr>
              <w:t>Timeliness of information on transfers</w:t>
            </w:r>
          </w:p>
        </w:tc>
        <w:tc>
          <w:tcPr>
            <w:tcW w:w="498" w:type="pct"/>
            <w:tcBorders>
              <w:top w:val="single" w:sz="4" w:space="0" w:color="auto"/>
              <w:left w:val="single" w:sz="4" w:space="0" w:color="auto"/>
              <w:bottom w:val="single" w:sz="4" w:space="0" w:color="auto"/>
              <w:right w:val="single" w:sz="4" w:space="0" w:color="auto"/>
            </w:tcBorders>
            <w:vAlign w:val="center"/>
          </w:tcPr>
          <w:p w14:paraId="319D0548" w14:textId="77777777" w:rsidR="007518E4" w:rsidRPr="00E67D51" w:rsidRDefault="00835385" w:rsidP="00306AC5">
            <w:pPr>
              <w:spacing w:before="0"/>
              <w:ind w:left="0"/>
              <w:jc w:val="center"/>
              <w:rPr>
                <w:rFonts w:ascii="Times New Roman" w:hAnsi="Times New Roman"/>
              </w:rPr>
            </w:pPr>
            <w:r>
              <w:rPr>
                <w:rFonts w:ascii="Times New Roman" w:hAnsi="Times New Roman"/>
              </w:rPr>
              <w:t>NA</w:t>
            </w:r>
          </w:p>
        </w:tc>
        <w:tc>
          <w:tcPr>
            <w:tcW w:w="3254" w:type="pct"/>
            <w:tcBorders>
              <w:top w:val="single" w:sz="4" w:space="0" w:color="auto"/>
              <w:left w:val="single" w:sz="4" w:space="0" w:color="auto"/>
              <w:bottom w:val="single" w:sz="4" w:space="0" w:color="auto"/>
              <w:right w:val="single" w:sz="4" w:space="0" w:color="auto"/>
            </w:tcBorders>
            <w:vAlign w:val="center"/>
          </w:tcPr>
          <w:p w14:paraId="6FE05D51" w14:textId="77777777" w:rsidR="007518E4" w:rsidRPr="00E67D51" w:rsidRDefault="007518E4" w:rsidP="00306AC5">
            <w:pPr>
              <w:spacing w:before="0"/>
              <w:ind w:left="0"/>
              <w:rPr>
                <w:rFonts w:ascii="Times New Roman" w:hAnsi="Times New Roman"/>
              </w:rPr>
            </w:pPr>
          </w:p>
        </w:tc>
      </w:tr>
    </w:tbl>
    <w:p w14:paraId="09C6F6CB" w14:textId="77777777" w:rsidR="007518E4" w:rsidRPr="00E67D51" w:rsidRDefault="007518E4" w:rsidP="00306AC5">
      <w:pPr>
        <w:pStyle w:val="ListParagraph"/>
        <w:autoSpaceDE w:val="0"/>
        <w:autoSpaceDN w:val="0"/>
        <w:adjustRightInd w:val="0"/>
        <w:spacing w:after="240"/>
        <w:ind w:left="0" w:right="-357"/>
        <w:contextualSpacing w:val="0"/>
        <w:rPr>
          <w:rFonts w:ascii="Times New Roman" w:eastAsia="Calibri" w:hAnsi="Times New Roman"/>
          <w:b/>
          <w:bCs/>
          <w:color w:val="28C0DA"/>
          <w:spacing w:val="-1"/>
          <w:sz w:val="24"/>
        </w:rPr>
      </w:pPr>
      <w:r w:rsidRPr="00E67D51">
        <w:rPr>
          <w:rFonts w:ascii="Times New Roman" w:eastAsia="Calibri" w:hAnsi="Times New Roman"/>
          <w:b/>
          <w:bCs/>
          <w:color w:val="28C0DA"/>
          <w:spacing w:val="-1"/>
          <w:sz w:val="24"/>
        </w:rPr>
        <w:t>7.1 Systems for allocating transfers</w:t>
      </w:r>
    </w:p>
    <w:p w14:paraId="30F67C40" w14:textId="77777777" w:rsidR="007518E4" w:rsidRPr="005627C9" w:rsidRDefault="007518E4" w:rsidP="00C8138C">
      <w:pPr>
        <w:autoSpaceDE w:val="0"/>
        <w:autoSpaceDN w:val="0"/>
        <w:adjustRightInd w:val="0"/>
        <w:spacing w:after="240"/>
        <w:ind w:left="0"/>
        <w:rPr>
          <w:rFonts w:ascii="Times New Roman" w:eastAsia="Calibri" w:hAnsi="Times New Roman"/>
          <w:b/>
          <w:bCs/>
          <w:color w:val="28C0DA"/>
          <w:spacing w:val="-1"/>
          <w:sz w:val="24"/>
        </w:rPr>
      </w:pPr>
      <w:r>
        <w:rPr>
          <w:rFonts w:ascii="Times New Roman" w:eastAsia="Calibri" w:hAnsi="Times New Roman"/>
          <w:b/>
          <w:bCs/>
          <w:color w:val="28C0DA"/>
          <w:spacing w:val="-1"/>
          <w:sz w:val="24"/>
        </w:rPr>
        <w:t xml:space="preserve">7.2 </w:t>
      </w:r>
      <w:r w:rsidRPr="005627C9">
        <w:rPr>
          <w:rFonts w:ascii="Times New Roman" w:eastAsia="Calibri" w:hAnsi="Times New Roman"/>
          <w:b/>
          <w:bCs/>
          <w:color w:val="28C0DA"/>
          <w:spacing w:val="-1"/>
          <w:sz w:val="24"/>
        </w:rPr>
        <w:t>Timeliness of information on transfers</w:t>
      </w:r>
    </w:p>
    <w:p w14:paraId="7B09670F" w14:textId="77777777" w:rsidR="007518E4" w:rsidRDefault="007518E4" w:rsidP="00C8138C">
      <w:pPr>
        <w:pStyle w:val="Heading3"/>
        <w:spacing w:after="240"/>
        <w:ind w:left="0"/>
        <w:rPr>
          <w:rFonts w:ascii="Times New Roman" w:eastAsia="Calibri" w:hAnsi="Times New Roman"/>
          <w:b w:val="0"/>
          <w:bCs w:val="0"/>
          <w:color w:val="28C0DA"/>
          <w:spacing w:val="-1"/>
          <w:szCs w:val="28"/>
        </w:rPr>
      </w:pPr>
      <w:bookmarkStart w:id="50" w:name="_Toc518901790"/>
      <w:bookmarkStart w:id="51" w:name="_Toc4148985"/>
      <w:r w:rsidRPr="00FE6ED4">
        <w:rPr>
          <w:rFonts w:ascii="Times New Roman" w:eastAsia="Calibri" w:hAnsi="Times New Roman"/>
          <w:color w:val="28C0DA"/>
          <w:spacing w:val="-1"/>
          <w:szCs w:val="28"/>
        </w:rPr>
        <w:t xml:space="preserve">PI-8. Performance </w:t>
      </w:r>
      <w:r>
        <w:rPr>
          <w:rFonts w:ascii="Times New Roman" w:eastAsia="Calibri" w:hAnsi="Times New Roman"/>
          <w:color w:val="28C0DA"/>
          <w:spacing w:val="-1"/>
          <w:szCs w:val="28"/>
        </w:rPr>
        <w:t>i</w:t>
      </w:r>
      <w:r w:rsidRPr="00FE6ED4">
        <w:rPr>
          <w:rFonts w:ascii="Times New Roman" w:eastAsia="Calibri" w:hAnsi="Times New Roman"/>
          <w:color w:val="28C0DA"/>
          <w:spacing w:val="-1"/>
          <w:szCs w:val="28"/>
        </w:rPr>
        <w:t xml:space="preserve">nformation for </w:t>
      </w:r>
      <w:r>
        <w:rPr>
          <w:rFonts w:ascii="Times New Roman" w:eastAsia="Calibri" w:hAnsi="Times New Roman"/>
          <w:color w:val="28C0DA"/>
          <w:spacing w:val="-1"/>
          <w:szCs w:val="28"/>
        </w:rPr>
        <w:t>s</w:t>
      </w:r>
      <w:r w:rsidRPr="00FE6ED4">
        <w:rPr>
          <w:rFonts w:ascii="Times New Roman" w:eastAsia="Calibri" w:hAnsi="Times New Roman"/>
          <w:color w:val="28C0DA"/>
          <w:spacing w:val="-1"/>
          <w:szCs w:val="28"/>
        </w:rPr>
        <w:t xml:space="preserve">ervice </w:t>
      </w:r>
      <w:r>
        <w:rPr>
          <w:rFonts w:ascii="Times New Roman" w:eastAsia="Calibri" w:hAnsi="Times New Roman"/>
          <w:color w:val="28C0DA"/>
          <w:spacing w:val="-1"/>
          <w:szCs w:val="28"/>
        </w:rPr>
        <w:t>d</w:t>
      </w:r>
      <w:r w:rsidRPr="00FE6ED4">
        <w:rPr>
          <w:rFonts w:ascii="Times New Roman" w:eastAsia="Calibri" w:hAnsi="Times New Roman"/>
          <w:color w:val="28C0DA"/>
          <w:spacing w:val="-1"/>
          <w:szCs w:val="28"/>
        </w:rPr>
        <w:t>elivery</w:t>
      </w:r>
      <w:bookmarkEnd w:id="50"/>
      <w:bookmarkEnd w:id="51"/>
    </w:p>
    <w:p w14:paraId="32C3930D" w14:textId="77777777" w:rsidR="007518E4" w:rsidRPr="00F51A8E"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86C46">
        <w:rPr>
          <w:rFonts w:ascii="Times New Roman" w:hAnsi="Times New Roman"/>
          <w:b/>
          <w:sz w:val="24"/>
          <w:lang w:val="en-GB"/>
        </w:rPr>
        <w:t>This indicator examines the service delivery performance information in the executive’s budget proposal or its supporting and documentation in year-end reports</w:t>
      </w:r>
      <w:r w:rsidRPr="00FD1C1F">
        <w:rPr>
          <w:rFonts w:ascii="Times New Roman" w:hAnsi="Times New Roman"/>
          <w:sz w:val="24"/>
          <w:lang w:val="en-GB"/>
        </w:rPr>
        <w:t>. It determines whether performance audits or evaluations are carried out. It also assesses the extent to which information on resources received by service delivery units is collected and recorded.</w:t>
      </w:r>
      <w:r>
        <w:rPr>
          <w:rFonts w:ascii="Times New Roman" w:hAnsi="Times New Roman"/>
          <w:sz w:val="24"/>
          <w:lang w:val="en-GB"/>
        </w:rPr>
        <w:t xml:space="preserve"> </w:t>
      </w:r>
      <w:r w:rsidRPr="00F70FF1">
        <w:rPr>
          <w:rFonts w:ascii="Times New Roman" w:hAnsi="Times New Roman"/>
          <w:iCs/>
          <w:sz w:val="24"/>
          <w:lang w:val="en-GB"/>
        </w:rPr>
        <w:t xml:space="preserve">The </w:t>
      </w:r>
      <w:proofErr w:type="gramStart"/>
      <w:r w:rsidRPr="00C834F3">
        <w:rPr>
          <w:rFonts w:ascii="Times New Roman" w:hAnsi="Times New Roman"/>
          <w:iCs/>
          <w:sz w:val="24"/>
          <w:lang w:val="en-GB"/>
        </w:rPr>
        <w:t>time period</w:t>
      </w:r>
      <w:proofErr w:type="gramEnd"/>
      <w:r w:rsidRPr="00C834F3">
        <w:rPr>
          <w:rFonts w:ascii="Times New Roman" w:hAnsi="Times New Roman"/>
          <w:iCs/>
          <w:sz w:val="24"/>
          <w:lang w:val="en-GB"/>
        </w:rPr>
        <w:t xml:space="preserve"> covered: </w:t>
      </w:r>
      <w:r w:rsidRPr="00C834F3">
        <w:rPr>
          <w:rFonts w:ascii="Times New Roman" w:hAnsi="Times New Roman"/>
          <w:bCs/>
          <w:sz w:val="24"/>
          <w:lang w:val="en-GB"/>
        </w:rPr>
        <w:t xml:space="preserve">dimension 8.1: </w:t>
      </w:r>
      <w:r w:rsidRPr="00C834F3">
        <w:rPr>
          <w:rFonts w:ascii="Times New Roman" w:hAnsi="Times New Roman"/>
          <w:sz w:val="24"/>
          <w:lang w:val="en-GB"/>
        </w:rPr>
        <w:t xml:space="preserve">performance indicators and planned outputs and outcomes for the next fiscal year; </w:t>
      </w:r>
      <w:r w:rsidRPr="00C834F3">
        <w:rPr>
          <w:rFonts w:ascii="Times New Roman" w:hAnsi="Times New Roman"/>
          <w:bCs/>
          <w:sz w:val="24"/>
          <w:lang w:val="en-GB"/>
        </w:rPr>
        <w:t xml:space="preserve">dimension 8.2: </w:t>
      </w:r>
      <w:r w:rsidRPr="00C834F3">
        <w:rPr>
          <w:rFonts w:ascii="Times New Roman" w:hAnsi="Times New Roman"/>
          <w:sz w:val="24"/>
          <w:lang w:val="en-GB"/>
        </w:rPr>
        <w:t xml:space="preserve">outputs and outcomes of the last completed fiscal year; </w:t>
      </w:r>
      <w:r w:rsidRPr="00C834F3">
        <w:rPr>
          <w:rFonts w:ascii="Times New Roman" w:hAnsi="Times New Roman"/>
          <w:bCs/>
          <w:sz w:val="24"/>
          <w:lang w:val="en-GB"/>
        </w:rPr>
        <w:t xml:space="preserve">dimensions 8.3 and 8.4 and </w:t>
      </w:r>
      <w:r w:rsidRPr="00C834F3">
        <w:rPr>
          <w:rFonts w:ascii="Times New Roman" w:hAnsi="Times New Roman"/>
          <w:sz w:val="24"/>
          <w:lang w:val="en-GB"/>
        </w:rPr>
        <w:t>last</w:t>
      </w:r>
      <w:r w:rsidR="00F70FF1">
        <w:rPr>
          <w:rFonts w:ascii="Times New Roman" w:hAnsi="Times New Roman"/>
          <w:sz w:val="24"/>
          <w:lang w:val="en-GB"/>
        </w:rPr>
        <w:t xml:space="preserve"> three completed fiscal years. </w:t>
      </w:r>
      <w:r w:rsidRPr="00C834F3">
        <w:rPr>
          <w:rFonts w:ascii="Times New Roman" w:hAnsi="Times New Roman"/>
          <w:sz w:val="24"/>
          <w:lang w:val="en-GB"/>
        </w:rPr>
        <w:t>The c</w:t>
      </w:r>
      <w:r w:rsidRPr="00C834F3">
        <w:rPr>
          <w:rFonts w:ascii="Times New Roman" w:hAnsi="Times New Roman"/>
          <w:iCs/>
          <w:sz w:val="24"/>
          <w:lang w:val="en-GB"/>
        </w:rPr>
        <w:t xml:space="preserve">overage is </w:t>
      </w:r>
      <w:r w:rsidRPr="00C834F3">
        <w:rPr>
          <w:rFonts w:ascii="Times New Roman" w:hAnsi="Times New Roman"/>
          <w:sz w:val="24"/>
          <w:lang w:val="en-GB"/>
        </w:rPr>
        <w:t xml:space="preserve">Central Government Services managed and financed by other tiers of government should be included if the Central Government significantly finances such services through reimbursements or earmarked </w:t>
      </w:r>
      <w:proofErr w:type="gramStart"/>
      <w:r w:rsidRPr="00C834F3">
        <w:rPr>
          <w:rFonts w:ascii="Times New Roman" w:hAnsi="Times New Roman"/>
          <w:sz w:val="24"/>
          <w:lang w:val="en-GB"/>
        </w:rPr>
        <w:t>grants, or</w:t>
      </w:r>
      <w:proofErr w:type="gramEnd"/>
      <w:r w:rsidRPr="00C834F3">
        <w:rPr>
          <w:rFonts w:ascii="Times New Roman" w:hAnsi="Times New Roman"/>
          <w:sz w:val="24"/>
          <w:lang w:val="en-GB"/>
        </w:rPr>
        <w:t xml:space="preserve"> uses other tiers of government as implementing agents.</w:t>
      </w:r>
    </w:p>
    <w:p w14:paraId="13ED2315" w14:textId="77777777" w:rsidR="00BD5D04" w:rsidRPr="00EF35CE"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Cs/>
          <w:sz w:val="24"/>
        </w:rPr>
      </w:pPr>
      <w:r w:rsidRPr="00C86C46">
        <w:rPr>
          <w:rFonts w:ascii="Times New Roman" w:hAnsi="Times New Roman"/>
          <w:b/>
          <w:bCs/>
          <w:sz w:val="24"/>
        </w:rPr>
        <w:t xml:space="preserve">For the assessment, the Education and Health sectors have been selected as </w:t>
      </w:r>
      <w:r w:rsidR="00BD5D04">
        <w:rPr>
          <w:rFonts w:ascii="Times New Roman" w:hAnsi="Times New Roman"/>
          <w:b/>
          <w:bCs/>
          <w:sz w:val="24"/>
        </w:rPr>
        <w:t xml:space="preserve">the two major ministries </w:t>
      </w:r>
      <w:r w:rsidRPr="00C86C46">
        <w:rPr>
          <w:rFonts w:ascii="Times New Roman" w:hAnsi="Times New Roman"/>
          <w:b/>
          <w:bCs/>
          <w:sz w:val="24"/>
        </w:rPr>
        <w:t>to measure the information on service delivery performance available in the budget documentation</w:t>
      </w:r>
      <w:r w:rsidR="00BD5D04">
        <w:rPr>
          <w:rFonts w:ascii="Times New Roman" w:hAnsi="Times New Roman"/>
          <w:b/>
          <w:bCs/>
          <w:sz w:val="24"/>
        </w:rPr>
        <w:t>, as follows:</w:t>
      </w:r>
    </w:p>
    <w:tbl>
      <w:tblPr>
        <w:tblW w:w="5238" w:type="pct"/>
        <w:tblBorders>
          <w:insideH w:val="dotted" w:sz="4" w:space="0" w:color="6CAB64"/>
          <w:insideV w:val="dotted" w:sz="4" w:space="0" w:color="6CAB64"/>
        </w:tblBorders>
        <w:shd w:val="clear" w:color="auto" w:fill="F2F2F2" w:themeFill="background1" w:themeFillShade="F2"/>
        <w:tblLayout w:type="fixed"/>
        <w:tblLook w:val="04A0" w:firstRow="1" w:lastRow="0" w:firstColumn="1" w:lastColumn="0" w:noHBand="0" w:noVBand="1"/>
      </w:tblPr>
      <w:tblGrid>
        <w:gridCol w:w="1886"/>
        <w:gridCol w:w="1169"/>
        <w:gridCol w:w="725"/>
        <w:gridCol w:w="1169"/>
        <w:gridCol w:w="1258"/>
        <w:gridCol w:w="1079"/>
        <w:gridCol w:w="899"/>
        <w:gridCol w:w="1260"/>
      </w:tblGrid>
      <w:tr w:rsidR="00FF412A" w:rsidRPr="00E020E5" w14:paraId="741CA706" w14:textId="77777777" w:rsidTr="002F0630">
        <w:trPr>
          <w:trHeight w:val="288"/>
        </w:trPr>
        <w:tc>
          <w:tcPr>
            <w:tcW w:w="998" w:type="pct"/>
            <w:vMerge w:val="restart"/>
            <w:tcBorders>
              <w:top w:val="single" w:sz="4" w:space="0" w:color="auto"/>
              <w:left w:val="single" w:sz="4" w:space="0" w:color="auto"/>
              <w:bottom w:val="single" w:sz="4" w:space="0" w:color="auto"/>
              <w:right w:val="single" w:sz="4" w:space="0" w:color="auto"/>
            </w:tcBorders>
            <w:shd w:val="clear" w:color="auto" w:fill="003399"/>
            <w:vAlign w:val="center"/>
            <w:hideMark/>
          </w:tcPr>
          <w:p w14:paraId="0B678971"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Ministry/Agency</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003399"/>
            <w:vAlign w:val="center"/>
            <w:hideMark/>
          </w:tcPr>
          <w:p w14:paraId="1E1058FE"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Budget Allocation (</w:t>
            </w:r>
            <w:r w:rsidR="00FF412A">
              <w:rPr>
                <w:rFonts w:ascii="Times New Roman" w:hAnsi="Times New Roman"/>
                <w:b/>
                <w:bCs/>
                <w:color w:val="FFFFFF" w:themeColor="background1"/>
                <w:sz w:val="20"/>
                <w:szCs w:val="20"/>
                <w:lang w:eastAsia="en-GB"/>
              </w:rPr>
              <w:t>Kip M</w:t>
            </w:r>
            <w:r w:rsidRPr="00310D44">
              <w:rPr>
                <w:rFonts w:ascii="Times New Roman" w:hAnsi="Times New Roman"/>
                <w:b/>
                <w:bCs/>
                <w:color w:val="FFFFFF" w:themeColor="background1"/>
                <w:sz w:val="20"/>
                <w:szCs w:val="20"/>
                <w:lang w:eastAsia="en-GB"/>
              </w:rPr>
              <w:t>illion)</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003399"/>
            <w:vAlign w:val="center"/>
            <w:hideMark/>
          </w:tcPr>
          <w:p w14:paraId="7432D0CD"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SD &gt; 50% (Y/N)</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003399"/>
            <w:vAlign w:val="center"/>
            <w:hideMark/>
          </w:tcPr>
          <w:p w14:paraId="5C814214"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Program Objectives</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003399"/>
            <w:vAlign w:val="center"/>
            <w:hideMark/>
          </w:tcPr>
          <w:p w14:paraId="65D0F1F9"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Performance Indicators</w:t>
            </w:r>
          </w:p>
        </w:tc>
        <w:tc>
          <w:tcPr>
            <w:tcW w:w="1715" w:type="pct"/>
            <w:gridSpan w:val="3"/>
            <w:tcBorders>
              <w:top w:val="single" w:sz="4" w:space="0" w:color="auto"/>
              <w:left w:val="single" w:sz="4" w:space="0" w:color="auto"/>
              <w:bottom w:val="single" w:sz="4" w:space="0" w:color="auto"/>
              <w:right w:val="single" w:sz="4" w:space="0" w:color="auto"/>
            </w:tcBorders>
            <w:shd w:val="clear" w:color="auto" w:fill="003399"/>
            <w:vAlign w:val="center"/>
            <w:hideMark/>
          </w:tcPr>
          <w:p w14:paraId="1BDFCF33"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Performance Data for Planned SD Programs</w:t>
            </w:r>
          </w:p>
        </w:tc>
      </w:tr>
      <w:tr w:rsidR="002F0630" w:rsidRPr="00E020E5" w14:paraId="287E85F8" w14:textId="77777777" w:rsidTr="002F0630">
        <w:trPr>
          <w:trHeight w:val="288"/>
        </w:trPr>
        <w:tc>
          <w:tcPr>
            <w:tcW w:w="99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4086AC" w14:textId="77777777" w:rsidR="00D737E9" w:rsidRDefault="00D737E9">
            <w:pPr>
              <w:spacing w:before="0" w:line="256" w:lineRule="auto"/>
              <w:ind w:left="0"/>
              <w:jc w:val="left"/>
              <w:rPr>
                <w:rFonts w:ascii="Times New Roman" w:hAnsi="Times New Roman"/>
                <w:b/>
                <w:bCs/>
                <w:color w:val="FFFFFF" w:themeColor="background1"/>
                <w:sz w:val="20"/>
                <w:szCs w:val="20"/>
                <w:lang w:eastAsia="en-GB"/>
              </w:rPr>
            </w:pPr>
          </w:p>
        </w:tc>
        <w:tc>
          <w:tcPr>
            <w:tcW w:w="61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7B20C4" w14:textId="77777777" w:rsidR="00D737E9" w:rsidRDefault="00D737E9">
            <w:pPr>
              <w:spacing w:before="0" w:line="256" w:lineRule="auto"/>
              <w:ind w:left="0"/>
              <w:jc w:val="left"/>
              <w:rPr>
                <w:rFonts w:ascii="Times New Roman" w:hAnsi="Times New Roman"/>
                <w:b/>
                <w:bCs/>
                <w:color w:val="FFFFFF" w:themeColor="background1"/>
                <w:sz w:val="20"/>
                <w:szCs w:val="20"/>
                <w:lang w:eastAsia="en-GB"/>
              </w:rPr>
            </w:pPr>
          </w:p>
        </w:tc>
        <w:tc>
          <w:tcPr>
            <w:tcW w:w="38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A4E674" w14:textId="77777777" w:rsidR="00D737E9" w:rsidRDefault="00D737E9">
            <w:pPr>
              <w:spacing w:before="0" w:line="256" w:lineRule="auto"/>
              <w:ind w:left="0"/>
              <w:jc w:val="left"/>
              <w:rPr>
                <w:rFonts w:ascii="Times New Roman" w:hAnsi="Times New Roman"/>
                <w:b/>
                <w:bCs/>
                <w:color w:val="FFFFFF" w:themeColor="background1"/>
                <w:sz w:val="20"/>
                <w:szCs w:val="20"/>
                <w:lang w:eastAsia="en-GB"/>
              </w:rPr>
            </w:pPr>
          </w:p>
        </w:tc>
        <w:tc>
          <w:tcPr>
            <w:tcW w:w="61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29D586" w14:textId="77777777" w:rsidR="00D737E9" w:rsidRDefault="00D737E9">
            <w:pPr>
              <w:spacing w:before="0" w:line="256" w:lineRule="auto"/>
              <w:ind w:left="0"/>
              <w:jc w:val="left"/>
              <w:rPr>
                <w:rFonts w:ascii="Times New Roman" w:hAnsi="Times New Roman"/>
                <w:b/>
                <w:bCs/>
                <w:color w:val="FFFFFF" w:themeColor="background1"/>
                <w:sz w:val="20"/>
                <w:szCs w:val="20"/>
                <w:lang w:eastAsia="en-GB"/>
              </w:rPr>
            </w:pPr>
          </w:p>
        </w:tc>
        <w:tc>
          <w:tcPr>
            <w:tcW w:w="66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F11FF0" w14:textId="77777777" w:rsidR="00D737E9" w:rsidRDefault="00D737E9">
            <w:pPr>
              <w:spacing w:before="0" w:line="256" w:lineRule="auto"/>
              <w:ind w:left="0"/>
              <w:jc w:val="left"/>
              <w:rPr>
                <w:rFonts w:ascii="Times New Roman" w:hAnsi="Times New Roman"/>
                <w:b/>
                <w:bCs/>
                <w:color w:val="FFFFFF" w:themeColor="background1"/>
                <w:sz w:val="20"/>
                <w:szCs w:val="20"/>
                <w:lang w:eastAsia="en-GB"/>
              </w:rPr>
            </w:pPr>
          </w:p>
        </w:tc>
        <w:tc>
          <w:tcPr>
            <w:tcW w:w="571" w:type="pct"/>
            <w:tcBorders>
              <w:top w:val="single" w:sz="4" w:space="0" w:color="auto"/>
              <w:left w:val="single" w:sz="4" w:space="0" w:color="auto"/>
              <w:bottom w:val="single" w:sz="4" w:space="0" w:color="auto"/>
              <w:right w:val="single" w:sz="4" w:space="0" w:color="auto"/>
            </w:tcBorders>
            <w:shd w:val="clear" w:color="auto" w:fill="003399"/>
            <w:vAlign w:val="center"/>
            <w:hideMark/>
          </w:tcPr>
          <w:p w14:paraId="0763251D"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Outputs</w:t>
            </w:r>
          </w:p>
        </w:tc>
        <w:tc>
          <w:tcPr>
            <w:tcW w:w="476" w:type="pct"/>
            <w:tcBorders>
              <w:top w:val="single" w:sz="4" w:space="0" w:color="auto"/>
              <w:left w:val="single" w:sz="4" w:space="0" w:color="auto"/>
              <w:bottom w:val="single" w:sz="4" w:space="0" w:color="auto"/>
              <w:right w:val="single" w:sz="4" w:space="0" w:color="auto"/>
            </w:tcBorders>
            <w:shd w:val="clear" w:color="auto" w:fill="003399"/>
            <w:vAlign w:val="center"/>
            <w:hideMark/>
          </w:tcPr>
          <w:p w14:paraId="019384BC"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Outcomes</w:t>
            </w:r>
          </w:p>
        </w:tc>
        <w:tc>
          <w:tcPr>
            <w:tcW w:w="667" w:type="pct"/>
            <w:tcBorders>
              <w:top w:val="single" w:sz="4" w:space="0" w:color="auto"/>
              <w:left w:val="single" w:sz="4" w:space="0" w:color="auto"/>
              <w:bottom w:val="single" w:sz="4" w:space="0" w:color="auto"/>
              <w:right w:val="single" w:sz="4" w:space="0" w:color="auto"/>
            </w:tcBorders>
            <w:shd w:val="clear" w:color="auto" w:fill="003399"/>
            <w:vAlign w:val="center"/>
            <w:hideMark/>
          </w:tcPr>
          <w:p w14:paraId="1357C072" w14:textId="77777777" w:rsidR="00D737E9" w:rsidRDefault="00310D44">
            <w:pPr>
              <w:keepLines/>
              <w:spacing w:before="0"/>
              <w:ind w:left="0"/>
              <w:jc w:val="left"/>
              <w:rPr>
                <w:rFonts w:ascii="Times New Roman" w:hAnsi="Times New Roman"/>
                <w:b/>
                <w:bCs/>
                <w:color w:val="FFFFFF" w:themeColor="background1"/>
                <w:sz w:val="20"/>
                <w:szCs w:val="20"/>
                <w:lang w:eastAsia="en-GB"/>
              </w:rPr>
            </w:pPr>
            <w:r w:rsidRPr="00310D44">
              <w:rPr>
                <w:rFonts w:ascii="Times New Roman" w:hAnsi="Times New Roman"/>
                <w:b/>
                <w:bCs/>
                <w:color w:val="FFFFFF" w:themeColor="background1"/>
                <w:sz w:val="20"/>
                <w:szCs w:val="20"/>
                <w:lang w:eastAsia="en-GB"/>
              </w:rPr>
              <w:t>Activities</w:t>
            </w:r>
          </w:p>
        </w:tc>
      </w:tr>
      <w:tr w:rsidR="002F0630" w:rsidRPr="00E020E5" w14:paraId="2F6550E2" w14:textId="77777777" w:rsidTr="002F0630">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E6550C" w14:textId="77777777" w:rsidR="00D737E9" w:rsidRDefault="00EF35CE">
            <w:pPr>
              <w:keepLines/>
              <w:spacing w:before="0"/>
              <w:ind w:left="0"/>
              <w:jc w:val="left"/>
              <w:rPr>
                <w:rFonts w:ascii="Times New Roman" w:hAnsi="Times New Roman"/>
                <w:bCs/>
                <w:color w:val="000000" w:themeColor="text1"/>
                <w:sz w:val="20"/>
                <w:szCs w:val="20"/>
                <w:lang w:eastAsia="en-GB"/>
              </w:rPr>
            </w:pPr>
            <w:r>
              <w:rPr>
                <w:rFonts w:ascii="Times New Roman" w:hAnsi="Times New Roman"/>
                <w:sz w:val="20"/>
                <w:szCs w:val="20"/>
              </w:rPr>
              <w:t xml:space="preserve">Public </w:t>
            </w:r>
            <w:r w:rsidR="00310D44" w:rsidRPr="00310D44">
              <w:rPr>
                <w:rFonts w:ascii="Times New Roman" w:hAnsi="Times New Roman"/>
                <w:sz w:val="20"/>
                <w:szCs w:val="20"/>
              </w:rPr>
              <w:t>Health</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59764D" w14:textId="77777777" w:rsidR="00D737E9" w:rsidRDefault="00FF412A">
            <w:pPr>
              <w:keepLines/>
              <w:spacing w:before="0"/>
              <w:ind w:left="0"/>
              <w:jc w:val="left"/>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1,294,147</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1C4E5D"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F7149C"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DE81CF" w14:textId="77777777" w:rsidR="00D737E9" w:rsidRDefault="006E511F">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26B393"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C3CBEB"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2D514"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r w:rsidR="004949EA">
              <w:rPr>
                <w:rFonts w:ascii="Times New Roman" w:hAnsi="Times New Roman"/>
                <w:sz w:val="20"/>
                <w:szCs w:val="20"/>
              </w:rPr>
              <w:t xml:space="preserve"> (partial)</w:t>
            </w:r>
          </w:p>
        </w:tc>
      </w:tr>
      <w:tr w:rsidR="002F0630" w:rsidRPr="00E020E5" w14:paraId="0D61461E" w14:textId="77777777" w:rsidTr="002F0630">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DCC83D" w14:textId="77777777" w:rsidR="00FF412A" w:rsidRDefault="00FF412A" w:rsidP="00EF35CE">
            <w:pPr>
              <w:keepLines/>
              <w:spacing w:before="0"/>
              <w:ind w:left="0"/>
              <w:jc w:val="left"/>
              <w:rPr>
                <w:rFonts w:ascii="Times New Roman" w:hAnsi="Times New Roman"/>
                <w:sz w:val="20"/>
                <w:szCs w:val="20"/>
              </w:rPr>
            </w:pPr>
            <w:r>
              <w:rPr>
                <w:rFonts w:ascii="Times New Roman" w:hAnsi="Times New Roman"/>
                <w:sz w:val="20"/>
                <w:szCs w:val="20"/>
              </w:rPr>
              <w:t>Ministry of Education and Sports</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AB9B5" w14:textId="77777777" w:rsidR="00FF412A" w:rsidRDefault="00FF412A" w:rsidP="00EF35CE">
            <w:pPr>
              <w:keepLines/>
              <w:spacing w:before="0"/>
              <w:ind w:left="0"/>
              <w:jc w:val="left"/>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2,729,036</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B31DA8" w14:textId="77777777" w:rsidR="00D737E9" w:rsidRDefault="00FF412A">
            <w:pPr>
              <w:keepLines/>
              <w:spacing w:before="0"/>
              <w:ind w:left="0"/>
              <w:jc w:val="center"/>
              <w:rPr>
                <w:rFonts w:ascii="Times New Roman" w:hAnsi="Times New Roman"/>
                <w:sz w:val="20"/>
                <w:szCs w:val="20"/>
              </w:rPr>
            </w:pPr>
            <w:r>
              <w:rPr>
                <w:rFonts w:ascii="Times New Roman" w:hAnsi="Times New Roman"/>
                <w:sz w:val="20"/>
                <w:szCs w:val="20"/>
              </w:rPr>
              <w:t>Y</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85AC1E" w14:textId="77777777" w:rsidR="00D737E9" w:rsidRDefault="00FF412A">
            <w:pPr>
              <w:keepLines/>
              <w:spacing w:before="0"/>
              <w:ind w:left="0"/>
              <w:jc w:val="center"/>
              <w:rPr>
                <w:rFonts w:ascii="Times New Roman" w:hAnsi="Times New Roman"/>
                <w:sz w:val="20"/>
                <w:szCs w:val="20"/>
              </w:rPr>
            </w:pPr>
            <w:r>
              <w:rPr>
                <w:rFonts w:ascii="Times New Roman" w:hAnsi="Times New Roman"/>
                <w:sz w:val="20"/>
                <w:szCs w:val="20"/>
              </w:rPr>
              <w:t>Y</w:t>
            </w: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8DEED" w14:textId="77777777" w:rsidR="00D737E9" w:rsidRDefault="006E511F">
            <w:pPr>
              <w:keepLines/>
              <w:spacing w:before="0"/>
              <w:ind w:left="0"/>
              <w:jc w:val="center"/>
              <w:rPr>
                <w:rFonts w:ascii="Times New Roman" w:hAnsi="Times New Roman"/>
                <w:sz w:val="20"/>
                <w:szCs w:val="20"/>
              </w:rPr>
            </w:pPr>
            <w:r>
              <w:rPr>
                <w:rFonts w:ascii="Times New Roman" w:hAnsi="Times New Roman"/>
                <w:sz w:val="20"/>
                <w:szCs w:val="20"/>
              </w:rPr>
              <w:t>N</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D16BF" w14:textId="77777777" w:rsidR="00D737E9" w:rsidRDefault="00FF412A">
            <w:pPr>
              <w:keepLines/>
              <w:spacing w:before="0"/>
              <w:ind w:left="0"/>
              <w:jc w:val="center"/>
              <w:rPr>
                <w:rFonts w:ascii="Times New Roman" w:hAnsi="Times New Roman"/>
                <w:sz w:val="20"/>
                <w:szCs w:val="20"/>
              </w:rPr>
            </w:pPr>
            <w:r>
              <w:rPr>
                <w:rFonts w:ascii="Times New Roman" w:hAnsi="Times New Roman"/>
                <w:sz w:val="20"/>
                <w:szCs w:val="20"/>
              </w:rPr>
              <w:t>Y</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E5F8C" w14:textId="77777777" w:rsidR="00D737E9" w:rsidRDefault="00FF412A">
            <w:pPr>
              <w:keepLines/>
              <w:spacing w:before="0"/>
              <w:ind w:left="0"/>
              <w:jc w:val="center"/>
              <w:rPr>
                <w:rFonts w:ascii="Times New Roman" w:hAnsi="Times New Roman"/>
                <w:sz w:val="20"/>
                <w:szCs w:val="20"/>
              </w:rPr>
            </w:pPr>
            <w:r>
              <w:rPr>
                <w:rFonts w:ascii="Times New Roman" w:hAnsi="Times New Roman"/>
                <w:sz w:val="20"/>
                <w:szCs w:val="20"/>
              </w:rPr>
              <w:t>Y</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4669C" w14:textId="77777777" w:rsidR="00D737E9" w:rsidRDefault="00FF412A">
            <w:pPr>
              <w:keepLines/>
              <w:spacing w:before="0"/>
              <w:ind w:left="0"/>
              <w:jc w:val="center"/>
              <w:rPr>
                <w:rFonts w:ascii="Times New Roman" w:hAnsi="Times New Roman"/>
                <w:sz w:val="20"/>
                <w:szCs w:val="20"/>
              </w:rPr>
            </w:pPr>
            <w:r>
              <w:rPr>
                <w:rFonts w:ascii="Times New Roman" w:hAnsi="Times New Roman"/>
                <w:sz w:val="20"/>
                <w:szCs w:val="20"/>
              </w:rPr>
              <w:t>Y</w:t>
            </w:r>
            <w:r w:rsidR="004949EA">
              <w:rPr>
                <w:rFonts w:ascii="Times New Roman" w:hAnsi="Times New Roman"/>
                <w:sz w:val="20"/>
                <w:szCs w:val="20"/>
              </w:rPr>
              <w:t xml:space="preserve"> (partial)</w:t>
            </w:r>
          </w:p>
        </w:tc>
      </w:tr>
      <w:tr w:rsidR="002F0630" w:rsidRPr="00E020E5" w14:paraId="2FAC95D6" w14:textId="77777777" w:rsidTr="002F0630">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CB9F66"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 xml:space="preserve">Public Works and </w:t>
            </w:r>
            <w:r w:rsidR="00EF35CE">
              <w:rPr>
                <w:rFonts w:ascii="Times New Roman" w:hAnsi="Times New Roman"/>
                <w:sz w:val="20"/>
                <w:szCs w:val="20"/>
              </w:rPr>
              <w:t>Transport</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AEF63B" w14:textId="77777777" w:rsidR="00D737E9" w:rsidRDefault="00FF412A">
            <w:pPr>
              <w:keepLines/>
              <w:spacing w:before="0"/>
              <w:ind w:left="0"/>
              <w:jc w:val="left"/>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894,935</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28F7AC"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B24AD6" w14:textId="77777777" w:rsidR="00D737E9" w:rsidRDefault="00FF412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EDED47" w14:textId="77777777" w:rsidR="00D737E9" w:rsidRDefault="00FF412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B4883F" w14:textId="77777777" w:rsidR="00D737E9" w:rsidRDefault="00FF412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DBAF5A" w14:textId="77777777" w:rsidR="00D737E9" w:rsidRDefault="00FF412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E30110" w14:textId="77777777" w:rsidR="00D737E9" w:rsidRDefault="00FF412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r>
      <w:tr w:rsidR="002F0630" w:rsidRPr="00E020E5" w14:paraId="1AB54AF6" w14:textId="77777777" w:rsidTr="002F0630">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FCF01D" w14:textId="77777777" w:rsidR="00D737E9" w:rsidRDefault="00FF412A">
            <w:pPr>
              <w:keepLines/>
              <w:spacing w:before="0"/>
              <w:ind w:left="0"/>
              <w:jc w:val="left"/>
              <w:rPr>
                <w:rFonts w:ascii="Times New Roman" w:hAnsi="Times New Roman"/>
                <w:bCs/>
                <w:color w:val="000000" w:themeColor="text1"/>
                <w:sz w:val="20"/>
                <w:szCs w:val="20"/>
                <w:lang w:eastAsia="en-GB"/>
              </w:rPr>
            </w:pPr>
            <w:r>
              <w:rPr>
                <w:rFonts w:ascii="Times New Roman" w:hAnsi="Times New Roman"/>
                <w:sz w:val="20"/>
                <w:szCs w:val="20"/>
              </w:rPr>
              <w:t>Agriculture and Forestry</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9432F2" w14:textId="77777777" w:rsidR="00D737E9" w:rsidRDefault="00FF412A">
            <w:pPr>
              <w:keepLines/>
              <w:spacing w:before="0"/>
              <w:ind w:left="0"/>
              <w:jc w:val="left"/>
              <w:rPr>
                <w:rFonts w:ascii="Times New Roman" w:hAnsi="Times New Roman"/>
                <w:bCs/>
                <w:color w:val="000000" w:themeColor="text1"/>
                <w:sz w:val="20"/>
                <w:szCs w:val="20"/>
                <w:lang w:eastAsia="en-GB"/>
              </w:rPr>
            </w:pPr>
            <w:r>
              <w:rPr>
                <w:rFonts w:ascii="Times New Roman" w:hAnsi="Times New Roman"/>
                <w:sz w:val="20"/>
                <w:szCs w:val="20"/>
              </w:rPr>
              <w:t>330,628</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734069" w14:textId="77777777" w:rsidR="00D737E9" w:rsidRDefault="00310D44">
            <w:pPr>
              <w:keepLines/>
              <w:spacing w:before="0"/>
              <w:ind w:left="0"/>
              <w:jc w:val="center"/>
              <w:rPr>
                <w:rFonts w:ascii="Times New Roman" w:hAnsi="Times New Roman"/>
                <w:bCs/>
                <w:color w:val="000000" w:themeColor="text1"/>
                <w:sz w:val="20"/>
                <w:szCs w:val="20"/>
                <w:lang w:eastAsia="en-GB"/>
              </w:rPr>
            </w:pPr>
            <w:r w:rsidRPr="00310D44">
              <w:rPr>
                <w:rFonts w:ascii="Times New Roman" w:hAnsi="Times New Roman"/>
                <w:sz w:val="20"/>
                <w:szCs w:val="20"/>
              </w:rPr>
              <w:t>Y</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7AD576" w14:textId="77777777" w:rsidR="00D737E9" w:rsidRDefault="002F0630">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5BD71F" w14:textId="77777777" w:rsidR="00D737E9" w:rsidRDefault="002F0630">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58B680" w14:textId="77777777" w:rsidR="00D737E9" w:rsidRDefault="00586B3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5E181A" w14:textId="77777777" w:rsidR="00D737E9" w:rsidRDefault="00586B3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CF81DA" w14:textId="77777777" w:rsidR="00D737E9" w:rsidRDefault="00586B3A">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N</w:t>
            </w:r>
          </w:p>
        </w:tc>
      </w:tr>
      <w:tr w:rsidR="002F0630" w:rsidRPr="00E020E5" w14:paraId="049588A6" w14:textId="77777777" w:rsidTr="002F0630">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096CC6"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 xml:space="preserve">Total budget value of the </w:t>
            </w:r>
            <w:r w:rsidR="00FF412A">
              <w:rPr>
                <w:rFonts w:ascii="Times New Roman" w:hAnsi="Times New Roman"/>
                <w:sz w:val="20"/>
                <w:szCs w:val="20"/>
              </w:rPr>
              <w:t>Ministries</w:t>
            </w:r>
            <w:r w:rsidRPr="00310D44">
              <w:rPr>
                <w:rFonts w:ascii="Times New Roman" w:hAnsi="Times New Roman"/>
                <w:sz w:val="20"/>
                <w:szCs w:val="20"/>
              </w:rPr>
              <w:t xml:space="preserve"> selected</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9EC49D" w14:textId="77777777" w:rsidR="00D737E9" w:rsidRDefault="00FF412A">
            <w:pPr>
              <w:keepLines/>
              <w:spacing w:before="0"/>
              <w:ind w:left="0"/>
              <w:jc w:val="left"/>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5,248,746</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E9AF53" w14:textId="77777777" w:rsidR="00D737E9" w:rsidRDefault="002F0630">
            <w:pPr>
              <w:keepLines/>
              <w:spacing w:before="0"/>
              <w:ind w:left="0"/>
              <w:jc w:val="center"/>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Y</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F7D966" w14:textId="77777777" w:rsidR="00D737E9" w:rsidRDefault="00D737E9">
            <w:pPr>
              <w:keepLines/>
              <w:spacing w:before="0"/>
              <w:ind w:left="0"/>
              <w:jc w:val="center"/>
              <w:rPr>
                <w:rFonts w:ascii="Times New Roman" w:hAnsi="Times New Roman"/>
                <w:bCs/>
                <w:color w:val="000000" w:themeColor="text1"/>
                <w:sz w:val="20"/>
                <w:szCs w:val="20"/>
                <w:lang w:eastAsia="en-GB"/>
              </w:rPr>
            </w:pP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BD428" w14:textId="77777777" w:rsidR="00D737E9" w:rsidRDefault="00D737E9">
            <w:pPr>
              <w:keepLines/>
              <w:spacing w:before="0"/>
              <w:ind w:left="0"/>
              <w:jc w:val="center"/>
              <w:rPr>
                <w:rFonts w:ascii="Times New Roman" w:hAnsi="Times New Roman"/>
                <w:bCs/>
                <w:color w:val="000000" w:themeColor="text1"/>
                <w:sz w:val="20"/>
                <w:szCs w:val="20"/>
                <w:lang w:eastAsia="en-GB"/>
              </w:rPr>
            </w:pP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E6BB8E" w14:textId="77777777" w:rsidR="00D737E9" w:rsidRDefault="00D737E9">
            <w:pPr>
              <w:keepLines/>
              <w:spacing w:before="0"/>
              <w:ind w:left="0"/>
              <w:jc w:val="center"/>
              <w:rPr>
                <w:rFonts w:ascii="Times New Roman" w:hAnsi="Times New Roman"/>
                <w:bCs/>
                <w:color w:val="000000" w:themeColor="text1"/>
                <w:sz w:val="20"/>
                <w:szCs w:val="20"/>
                <w:lang w:eastAsia="en-GB"/>
              </w:rPr>
            </w:pP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B5F2D4" w14:textId="77777777" w:rsidR="00D737E9" w:rsidRDefault="00D737E9">
            <w:pPr>
              <w:keepLines/>
              <w:spacing w:before="0"/>
              <w:ind w:left="0"/>
              <w:jc w:val="center"/>
              <w:rPr>
                <w:rFonts w:ascii="Times New Roman" w:hAnsi="Times New Roman"/>
                <w:bCs/>
                <w:color w:val="000000" w:themeColor="text1"/>
                <w:sz w:val="20"/>
                <w:szCs w:val="20"/>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318A5B" w14:textId="77777777" w:rsidR="00D737E9" w:rsidRDefault="00D737E9">
            <w:pPr>
              <w:keepLines/>
              <w:spacing w:before="0"/>
              <w:ind w:left="0"/>
              <w:jc w:val="center"/>
              <w:rPr>
                <w:rFonts w:ascii="Times New Roman" w:hAnsi="Times New Roman"/>
                <w:bCs/>
                <w:color w:val="000000" w:themeColor="text1"/>
                <w:sz w:val="20"/>
                <w:szCs w:val="20"/>
                <w:lang w:eastAsia="en-GB"/>
              </w:rPr>
            </w:pPr>
          </w:p>
        </w:tc>
      </w:tr>
      <w:tr w:rsidR="002F0630" w:rsidRPr="00E020E5" w14:paraId="5407F93E" w14:textId="77777777" w:rsidTr="002F0630">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A7F5A2"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lastRenderedPageBreak/>
              <w:t>%age of SD ministries</w:t>
            </w:r>
            <w:r w:rsidR="00FF412A">
              <w:rPr>
                <w:rFonts w:ascii="Times New Roman" w:hAnsi="Times New Roman"/>
                <w:sz w:val="20"/>
                <w:szCs w:val="20"/>
              </w:rPr>
              <w:t xml:space="preserve"> </w:t>
            </w:r>
            <w:r w:rsidRPr="00310D44">
              <w:rPr>
                <w:rFonts w:ascii="Times New Roman" w:hAnsi="Times New Roman"/>
                <w:sz w:val="20"/>
                <w:szCs w:val="20"/>
              </w:rPr>
              <w:t>compliant</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8743F0" w14:textId="77777777" w:rsidR="00D737E9" w:rsidRDefault="00E020E5">
            <w:pPr>
              <w:keepLines/>
              <w:spacing w:before="0"/>
              <w:ind w:left="0"/>
              <w:jc w:val="left"/>
              <w:rPr>
                <w:rFonts w:ascii="Times New Roman" w:hAnsi="Times New Roman"/>
                <w:bCs/>
                <w:color w:val="000000" w:themeColor="text1"/>
                <w:sz w:val="20"/>
                <w:szCs w:val="20"/>
                <w:lang w:eastAsia="en-GB"/>
              </w:rPr>
            </w:pPr>
            <w:r>
              <w:rPr>
                <w:rFonts w:ascii="Times New Roman" w:hAnsi="Times New Roman"/>
                <w:bCs/>
                <w:color w:val="000000" w:themeColor="text1"/>
                <w:sz w:val="20"/>
                <w:szCs w:val="20"/>
                <w:lang w:eastAsia="en-GB"/>
              </w:rPr>
              <w:t>16% of total budget</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45F9DF" w14:textId="77777777" w:rsidR="00D737E9" w:rsidRDefault="00D737E9">
            <w:pPr>
              <w:keepLines/>
              <w:spacing w:before="0"/>
              <w:ind w:left="0"/>
              <w:jc w:val="center"/>
              <w:rPr>
                <w:rFonts w:ascii="Times New Roman" w:hAnsi="Times New Roman"/>
                <w:bCs/>
                <w:color w:val="000000" w:themeColor="text1"/>
                <w:sz w:val="20"/>
                <w:szCs w:val="20"/>
                <w:lang w:eastAsia="en-GB"/>
              </w:rPr>
            </w:pP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8FB5E2" w14:textId="77777777" w:rsidR="00D737E9" w:rsidRDefault="002F0630">
            <w:pPr>
              <w:keepLines/>
              <w:spacing w:before="0"/>
              <w:ind w:left="0"/>
              <w:jc w:val="center"/>
              <w:rPr>
                <w:rFonts w:ascii="Times New Roman" w:hAnsi="Times New Roman"/>
                <w:bCs/>
                <w:color w:val="000000" w:themeColor="text1"/>
                <w:sz w:val="20"/>
                <w:szCs w:val="20"/>
                <w:lang w:eastAsia="en-GB"/>
              </w:rPr>
            </w:pPr>
            <w:r>
              <w:rPr>
                <w:rFonts w:ascii="Times New Roman" w:hAnsi="Times New Roman"/>
                <w:sz w:val="20"/>
                <w:szCs w:val="20"/>
              </w:rPr>
              <w:t>77</w:t>
            </w:r>
            <w:r w:rsidR="00310D44" w:rsidRPr="00310D44">
              <w:rPr>
                <w:rFonts w:ascii="Times New Roman" w:hAnsi="Times New Roman"/>
                <w:sz w:val="20"/>
                <w:szCs w:val="20"/>
              </w:rPr>
              <w:t>%</w:t>
            </w: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41642F" w14:textId="77777777" w:rsidR="00D737E9" w:rsidRDefault="006E511F">
            <w:pPr>
              <w:keepLines/>
              <w:spacing w:before="0"/>
              <w:ind w:left="0"/>
              <w:jc w:val="center"/>
              <w:rPr>
                <w:rFonts w:ascii="Times New Roman" w:hAnsi="Times New Roman"/>
                <w:bCs/>
                <w:color w:val="000000" w:themeColor="text1"/>
                <w:sz w:val="20"/>
                <w:szCs w:val="20"/>
                <w:lang w:eastAsia="en-GB"/>
              </w:rPr>
            </w:pPr>
            <w:r>
              <w:rPr>
                <w:rFonts w:ascii="Times New Roman" w:hAnsi="Times New Roman"/>
                <w:sz w:val="20"/>
                <w:szCs w:val="20"/>
              </w:rPr>
              <w:t>0</w:t>
            </w:r>
            <w:r w:rsidR="00310D44" w:rsidRPr="00310D44">
              <w:rPr>
                <w:rFonts w:ascii="Times New Roman" w:hAnsi="Times New Roman"/>
                <w:sz w:val="20"/>
                <w:szCs w:val="20"/>
              </w:rPr>
              <w:t>%</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AD4B0C" w14:textId="77777777" w:rsidR="00D737E9" w:rsidRDefault="00586B3A">
            <w:pPr>
              <w:keepLines/>
              <w:spacing w:before="0"/>
              <w:ind w:left="0"/>
              <w:jc w:val="center"/>
              <w:rPr>
                <w:rFonts w:ascii="Times New Roman" w:hAnsi="Times New Roman"/>
                <w:bCs/>
                <w:color w:val="000000" w:themeColor="text1"/>
                <w:sz w:val="20"/>
                <w:szCs w:val="20"/>
                <w:lang w:eastAsia="en-GB"/>
              </w:rPr>
            </w:pPr>
            <w:r>
              <w:rPr>
                <w:rFonts w:ascii="Times New Roman" w:hAnsi="Times New Roman"/>
                <w:sz w:val="20"/>
                <w:szCs w:val="20"/>
              </w:rPr>
              <w:t>77</w:t>
            </w:r>
            <w:r w:rsidR="00310D44" w:rsidRPr="00310D44">
              <w:rPr>
                <w:rFonts w:ascii="Times New Roman" w:hAnsi="Times New Roman"/>
                <w:sz w:val="20"/>
                <w:szCs w:val="20"/>
              </w:rPr>
              <w:t>%</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24DB63" w14:textId="77777777" w:rsidR="00D737E9" w:rsidRDefault="00586B3A">
            <w:pPr>
              <w:keepLines/>
              <w:spacing w:before="0"/>
              <w:ind w:left="0"/>
              <w:jc w:val="center"/>
              <w:rPr>
                <w:rFonts w:ascii="Times New Roman" w:hAnsi="Times New Roman"/>
                <w:bCs/>
                <w:color w:val="000000" w:themeColor="text1"/>
                <w:sz w:val="20"/>
                <w:szCs w:val="20"/>
                <w:lang w:eastAsia="en-GB"/>
              </w:rPr>
            </w:pPr>
            <w:r>
              <w:rPr>
                <w:rFonts w:ascii="Times New Roman" w:hAnsi="Times New Roman"/>
                <w:sz w:val="20"/>
                <w:szCs w:val="20"/>
              </w:rPr>
              <w:t>77</w:t>
            </w:r>
            <w:r w:rsidR="006401F0">
              <w:rPr>
                <w:rFonts w:ascii="Times New Roman" w:hAnsi="Times New Roman"/>
                <w:sz w:val="20"/>
                <w:szCs w:val="20"/>
              </w:rPr>
              <w:t>%</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011824" w14:textId="77777777" w:rsidR="00D737E9" w:rsidRDefault="006E511F">
            <w:pPr>
              <w:keepLines/>
              <w:spacing w:before="0"/>
              <w:ind w:left="0"/>
              <w:jc w:val="center"/>
              <w:rPr>
                <w:rFonts w:ascii="Times New Roman" w:hAnsi="Times New Roman"/>
                <w:bCs/>
                <w:color w:val="000000" w:themeColor="text1"/>
                <w:sz w:val="20"/>
                <w:szCs w:val="20"/>
                <w:lang w:eastAsia="en-GB"/>
              </w:rPr>
            </w:pPr>
            <w:r>
              <w:rPr>
                <w:rFonts w:ascii="Times New Roman" w:hAnsi="Times New Roman"/>
                <w:sz w:val="20"/>
                <w:szCs w:val="20"/>
              </w:rPr>
              <w:t xml:space="preserve">Less </w:t>
            </w:r>
            <w:proofErr w:type="spellStart"/>
            <w:r>
              <w:rPr>
                <w:rFonts w:ascii="Times New Roman" w:hAnsi="Times New Roman"/>
                <w:sz w:val="20"/>
                <w:szCs w:val="20"/>
              </w:rPr>
              <w:t>thn</w:t>
            </w:r>
            <w:proofErr w:type="spellEnd"/>
            <w:r>
              <w:rPr>
                <w:rFonts w:ascii="Times New Roman" w:hAnsi="Times New Roman"/>
                <w:sz w:val="20"/>
                <w:szCs w:val="20"/>
              </w:rPr>
              <w:t xml:space="preserve"> </w:t>
            </w:r>
            <w:r w:rsidR="00586B3A">
              <w:rPr>
                <w:rFonts w:ascii="Times New Roman" w:hAnsi="Times New Roman"/>
                <w:sz w:val="20"/>
                <w:szCs w:val="20"/>
              </w:rPr>
              <w:t>77</w:t>
            </w:r>
            <w:r w:rsidR="00310D44" w:rsidRPr="00310D44">
              <w:rPr>
                <w:rFonts w:ascii="Times New Roman" w:hAnsi="Times New Roman"/>
                <w:sz w:val="20"/>
                <w:szCs w:val="20"/>
              </w:rPr>
              <w:t>%</w:t>
            </w:r>
          </w:p>
        </w:tc>
      </w:tr>
      <w:tr w:rsidR="00FF412A" w:rsidRPr="00E020E5" w14:paraId="7D1253B7" w14:textId="77777777" w:rsidTr="002F0630">
        <w:trPr>
          <w:trHeight w:val="288"/>
        </w:trPr>
        <w:tc>
          <w:tcPr>
            <w:tcW w:w="2001"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19A09"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b/>
                <w:sz w:val="20"/>
                <w:szCs w:val="20"/>
              </w:rPr>
              <w:t>Coverage</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AF354B"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All SD ministries (i.e. &gt; 90% by value of SD ministries)</w:t>
            </w:r>
          </w:p>
        </w:tc>
        <w:tc>
          <w:tcPr>
            <w:tcW w:w="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9C58E8"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All SD ministries (i.e. &gt; 90%)</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0BB43F"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All (&gt;90%)</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0E80F2"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Most (&gt;75%)</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759643" w14:textId="77777777" w:rsidR="00D737E9" w:rsidRDefault="00310D44">
            <w:pPr>
              <w:keepLines/>
              <w:spacing w:before="0"/>
              <w:ind w:left="0"/>
              <w:jc w:val="left"/>
              <w:rPr>
                <w:rFonts w:ascii="Times New Roman" w:hAnsi="Times New Roman"/>
                <w:bCs/>
                <w:color w:val="000000" w:themeColor="text1"/>
                <w:sz w:val="20"/>
                <w:szCs w:val="20"/>
                <w:lang w:eastAsia="en-GB"/>
              </w:rPr>
            </w:pPr>
            <w:r w:rsidRPr="00310D44">
              <w:rPr>
                <w:rFonts w:ascii="Times New Roman" w:hAnsi="Times New Roman"/>
                <w:sz w:val="20"/>
                <w:szCs w:val="20"/>
              </w:rPr>
              <w:t>Majority (&gt;50%)</w:t>
            </w:r>
          </w:p>
        </w:tc>
      </w:tr>
    </w:tbl>
    <w:p w14:paraId="43228958" w14:textId="77777777" w:rsidR="00D737E9" w:rsidRDefault="00D737E9">
      <w:pPr>
        <w:pStyle w:val="ListParagraph"/>
        <w:autoSpaceDE w:val="0"/>
        <w:autoSpaceDN w:val="0"/>
        <w:adjustRightInd w:val="0"/>
        <w:spacing w:after="240"/>
        <w:ind w:left="0"/>
        <w:contextualSpacing w:val="0"/>
        <w:rPr>
          <w:rFonts w:ascii="Times New Roman" w:hAnsi="Times New Roman"/>
          <w:bCs/>
          <w:sz w:val="24"/>
        </w:rPr>
      </w:pPr>
    </w:p>
    <w:p w14:paraId="1EFBC42C" w14:textId="77777777" w:rsidR="007518E4" w:rsidRPr="00F51A8E"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Cs/>
          <w:sz w:val="24"/>
        </w:rPr>
      </w:pPr>
      <w:r>
        <w:rPr>
          <w:rFonts w:ascii="Times New Roman" w:hAnsi="Times New Roman"/>
          <w:bCs/>
          <w:sz w:val="24"/>
        </w:rPr>
        <w:t xml:space="preserve"> </w:t>
      </w:r>
      <w:r w:rsidRPr="00F51A8E">
        <w:rPr>
          <w:rFonts w:ascii="Times New Roman" w:hAnsi="Times New Roman"/>
          <w:bCs/>
          <w:sz w:val="24"/>
        </w:rPr>
        <w:t xml:space="preserve">Overall sector spending </w:t>
      </w:r>
      <w:r w:rsidR="004949EA">
        <w:rPr>
          <w:rFonts w:ascii="Times New Roman" w:hAnsi="Times New Roman"/>
          <w:bCs/>
          <w:sz w:val="24"/>
        </w:rPr>
        <w:t xml:space="preserve">(planned) </w:t>
      </w:r>
      <w:r w:rsidRPr="00F51A8E">
        <w:rPr>
          <w:rFonts w:ascii="Times New Roman" w:hAnsi="Times New Roman"/>
          <w:bCs/>
          <w:sz w:val="24"/>
        </w:rPr>
        <w:t>targets have been set in the 8</w:t>
      </w:r>
      <w:r w:rsidRPr="00F51A8E">
        <w:rPr>
          <w:rFonts w:ascii="Times New Roman" w:hAnsi="Times New Roman"/>
          <w:bCs/>
          <w:sz w:val="24"/>
          <w:vertAlign w:val="superscript"/>
        </w:rPr>
        <w:t>th</w:t>
      </w:r>
      <w:r w:rsidRPr="00F51A8E">
        <w:rPr>
          <w:rFonts w:ascii="Times New Roman" w:hAnsi="Times New Roman"/>
          <w:bCs/>
          <w:sz w:val="24"/>
        </w:rPr>
        <w:t xml:space="preserve"> NSEDP endorsed by NA for education and health at respectively 17 and 9 percent of the government budget.</w:t>
      </w:r>
      <w:r w:rsidRPr="00F51A8E">
        <w:rPr>
          <w:rFonts w:ascii="Times New Roman" w:hAnsi="Times New Roman"/>
          <w:sz w:val="24"/>
        </w:rPr>
        <w:t xml:space="preserve"> </w:t>
      </w:r>
      <w:r>
        <w:rPr>
          <w:rFonts w:ascii="Times New Roman" w:hAnsi="Times New Roman"/>
          <w:sz w:val="24"/>
        </w:rPr>
        <w:t xml:space="preserve"> </w:t>
      </w:r>
      <w:r w:rsidRPr="00F51A8E">
        <w:rPr>
          <w:rFonts w:ascii="Times New Roman" w:hAnsi="Times New Roman"/>
          <w:bCs/>
          <w:sz w:val="24"/>
        </w:rPr>
        <w:t xml:space="preserve">Education and health outcomes are considered priority sectors for sustainable future growth of Lao PDR and the NSEDP and NA resolution stipulate that the sectors should receive respectively 17 and 9 percent of the State Budget allocation to build the human capital necessary, alleviate poverty and graduate from LDC status as planned for 2024. </w:t>
      </w:r>
      <w:r>
        <w:rPr>
          <w:rFonts w:ascii="Times New Roman" w:hAnsi="Times New Roman"/>
          <w:bCs/>
          <w:sz w:val="24"/>
        </w:rPr>
        <w:t xml:space="preserve"> </w:t>
      </w:r>
      <w:r w:rsidRPr="00F51A8E">
        <w:rPr>
          <w:rFonts w:ascii="Times New Roman" w:hAnsi="Times New Roman"/>
          <w:color w:val="000000"/>
          <w:sz w:val="24"/>
        </w:rPr>
        <w:t xml:space="preserve">The authorities increased allocations to the social sectors since 2016, however, it is unclear if these have resulted in more services of improved quality. Further significant increases in </w:t>
      </w:r>
      <w:r w:rsidRPr="00F51A8E">
        <w:rPr>
          <w:rFonts w:ascii="Times New Roman" w:hAnsi="Times New Roman"/>
          <w:sz w:val="24"/>
        </w:rPr>
        <w:t>allocations</w:t>
      </w:r>
      <w:r w:rsidRPr="00F51A8E">
        <w:rPr>
          <w:rFonts w:ascii="Times New Roman" w:hAnsi="Times New Roman"/>
          <w:color w:val="000000"/>
          <w:sz w:val="24"/>
        </w:rPr>
        <w:t xml:space="preserve"> are unlikely given the challenging fiscal context of government spending in the upcoming years and the need for strict fiscal consolidation. </w:t>
      </w:r>
      <w:r>
        <w:rPr>
          <w:rFonts w:ascii="Times New Roman" w:hAnsi="Times New Roman"/>
          <w:color w:val="000000"/>
          <w:sz w:val="24"/>
        </w:rPr>
        <w:t xml:space="preserve"> </w:t>
      </w:r>
      <w:r w:rsidRPr="00F51A8E">
        <w:rPr>
          <w:rFonts w:ascii="Times New Roman" w:hAnsi="Times New Roman"/>
          <w:color w:val="000000"/>
          <w:sz w:val="24"/>
        </w:rPr>
        <w:t xml:space="preserve">Improvements in education and health sector outcomes would need to come from improved efficiency of spending. </w:t>
      </w:r>
      <w:r w:rsidRPr="00F51A8E">
        <w:rPr>
          <w:rFonts w:ascii="Times New Roman" w:hAnsi="Times New Roman"/>
          <w:sz w:val="24"/>
        </w:rPr>
        <w:t>These targets were set to simultaneously raise and stabilize allocations which can be erratic due to uncertainty a</w:t>
      </w:r>
      <w:r w:rsidR="00F70FF1">
        <w:rPr>
          <w:rFonts w:ascii="Times New Roman" w:hAnsi="Times New Roman"/>
          <w:sz w:val="24"/>
        </w:rPr>
        <w:t xml:space="preserve">bout aid flows to the sectors. </w:t>
      </w:r>
      <w:r w:rsidRPr="00F51A8E">
        <w:rPr>
          <w:rFonts w:ascii="Times New Roman" w:hAnsi="Times New Roman"/>
          <w:sz w:val="24"/>
        </w:rPr>
        <w:t xml:space="preserve">These, so far, turn out to be overly optimistic and difficult to track in the absence of a programmatic budget structure and as the expenditure of the sector includes the provincial level. </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4"/>
        <w:gridCol w:w="1211"/>
        <w:gridCol w:w="5548"/>
      </w:tblGrid>
      <w:tr w:rsidR="007518E4" w:rsidRPr="00930334" w14:paraId="3845F84C" w14:textId="77777777" w:rsidTr="00F70FF1">
        <w:trPr>
          <w:trHeight w:val="397"/>
          <w:jc w:val="center"/>
        </w:trPr>
        <w:tc>
          <w:tcPr>
            <w:tcW w:w="11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A17F3C" w14:textId="77777777" w:rsidR="007518E4" w:rsidRPr="00F70FF1" w:rsidRDefault="007518E4" w:rsidP="00F70FF1">
            <w:pPr>
              <w:spacing w:before="0"/>
              <w:ind w:hanging="635"/>
              <w:jc w:val="center"/>
              <w:rPr>
                <w:rFonts w:ascii="Times New Roman" w:hAnsi="Times New Roman"/>
                <w:b/>
              </w:rPr>
            </w:pPr>
            <w:r w:rsidRPr="00F70FF1">
              <w:rPr>
                <w:rFonts w:ascii="Times New Roman" w:hAnsi="Times New Roman"/>
                <w:b/>
              </w:rPr>
              <w:t>Indicator/Dimension</w:t>
            </w:r>
          </w:p>
        </w:tc>
        <w:tc>
          <w:tcPr>
            <w:tcW w:w="6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9B03ED" w14:textId="77777777" w:rsidR="007518E4" w:rsidRPr="00F70FF1" w:rsidRDefault="007518E4" w:rsidP="00F70FF1">
            <w:pPr>
              <w:spacing w:before="0"/>
              <w:ind w:hanging="635"/>
              <w:jc w:val="center"/>
              <w:rPr>
                <w:rFonts w:ascii="Times New Roman" w:hAnsi="Times New Roman"/>
                <w:b/>
              </w:rPr>
            </w:pPr>
            <w:r w:rsidRPr="00F70FF1">
              <w:rPr>
                <w:rFonts w:ascii="Times New Roman" w:hAnsi="Times New Roman"/>
                <w:b/>
              </w:rPr>
              <w:t>Score</w:t>
            </w:r>
          </w:p>
        </w:tc>
        <w:tc>
          <w:tcPr>
            <w:tcW w:w="315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F280D9" w14:textId="77777777" w:rsidR="007518E4" w:rsidRPr="00F70FF1" w:rsidRDefault="007518E4" w:rsidP="00F70FF1">
            <w:pPr>
              <w:spacing w:before="0"/>
              <w:ind w:hanging="635"/>
              <w:jc w:val="center"/>
              <w:rPr>
                <w:rFonts w:ascii="Times New Roman" w:hAnsi="Times New Roman"/>
                <w:b/>
              </w:rPr>
            </w:pPr>
            <w:r w:rsidRPr="00F70FF1">
              <w:rPr>
                <w:rFonts w:ascii="Times New Roman" w:hAnsi="Times New Roman"/>
                <w:b/>
              </w:rPr>
              <w:t>Brief Explanation</w:t>
            </w:r>
          </w:p>
        </w:tc>
      </w:tr>
      <w:tr w:rsidR="007518E4" w:rsidRPr="00930334" w14:paraId="57A25585" w14:textId="77777777" w:rsidTr="00F70FF1">
        <w:trPr>
          <w:trHeight w:val="647"/>
          <w:jc w:val="center"/>
        </w:trPr>
        <w:tc>
          <w:tcPr>
            <w:tcW w:w="1149" w:type="pct"/>
            <w:tcBorders>
              <w:top w:val="single" w:sz="4" w:space="0" w:color="auto"/>
              <w:left w:val="single" w:sz="4" w:space="0" w:color="auto"/>
              <w:bottom w:val="single" w:sz="4" w:space="0" w:color="auto"/>
              <w:right w:val="single" w:sz="4" w:space="0" w:color="auto"/>
            </w:tcBorders>
            <w:vAlign w:val="center"/>
            <w:hideMark/>
          </w:tcPr>
          <w:p w14:paraId="6F535200" w14:textId="77777777" w:rsidR="007518E4" w:rsidRPr="00F51A8E" w:rsidRDefault="007518E4" w:rsidP="00F70FF1">
            <w:pPr>
              <w:spacing w:before="0"/>
              <w:ind w:left="0"/>
              <w:jc w:val="left"/>
              <w:rPr>
                <w:rFonts w:ascii="Times New Roman" w:hAnsi="Times New Roman"/>
              </w:rPr>
            </w:pPr>
            <w:r w:rsidRPr="00F51A8E">
              <w:rPr>
                <w:rFonts w:ascii="Times New Roman" w:hAnsi="Times New Roman"/>
                <w:bCs/>
              </w:rPr>
              <w:t>PI-8 Performance information for service delivery</w:t>
            </w:r>
          </w:p>
        </w:tc>
        <w:tc>
          <w:tcPr>
            <w:tcW w:w="697" w:type="pct"/>
            <w:tcBorders>
              <w:top w:val="single" w:sz="4" w:space="0" w:color="auto"/>
              <w:left w:val="single" w:sz="4" w:space="0" w:color="auto"/>
              <w:bottom w:val="single" w:sz="4" w:space="0" w:color="auto"/>
              <w:right w:val="single" w:sz="4" w:space="0" w:color="auto"/>
            </w:tcBorders>
            <w:vAlign w:val="center"/>
          </w:tcPr>
          <w:p w14:paraId="6A7DB465" w14:textId="77777777" w:rsidR="007518E4" w:rsidRPr="00F51A8E" w:rsidRDefault="007518E4" w:rsidP="00C86C46">
            <w:pPr>
              <w:spacing w:before="0"/>
              <w:ind w:left="0"/>
              <w:jc w:val="center"/>
              <w:rPr>
                <w:rFonts w:ascii="Times New Roman" w:hAnsi="Times New Roman"/>
              </w:rPr>
            </w:pPr>
            <w:r w:rsidRPr="00F51A8E">
              <w:rPr>
                <w:rFonts w:ascii="Times New Roman" w:hAnsi="Times New Roman"/>
              </w:rPr>
              <w:t>D</w:t>
            </w:r>
            <w:r w:rsidR="00BE2557">
              <w:rPr>
                <w:rFonts w:ascii="Times New Roman" w:hAnsi="Times New Roman"/>
              </w:rPr>
              <w:t>+</w:t>
            </w:r>
          </w:p>
        </w:tc>
        <w:tc>
          <w:tcPr>
            <w:tcW w:w="3154" w:type="pct"/>
            <w:tcBorders>
              <w:top w:val="single" w:sz="4" w:space="0" w:color="auto"/>
              <w:left w:val="single" w:sz="4" w:space="0" w:color="auto"/>
              <w:bottom w:val="single" w:sz="4" w:space="0" w:color="auto"/>
              <w:right w:val="single" w:sz="4" w:space="0" w:color="auto"/>
            </w:tcBorders>
            <w:vAlign w:val="center"/>
            <w:hideMark/>
          </w:tcPr>
          <w:p w14:paraId="737E8432" w14:textId="77777777" w:rsidR="007518E4" w:rsidRPr="00F51A8E" w:rsidRDefault="007518E4" w:rsidP="00C86C46">
            <w:pPr>
              <w:spacing w:before="0"/>
              <w:ind w:left="0"/>
              <w:rPr>
                <w:rFonts w:ascii="Times New Roman" w:hAnsi="Times New Roman"/>
              </w:rPr>
            </w:pPr>
            <w:r w:rsidRPr="00F51A8E">
              <w:rPr>
                <w:rFonts w:ascii="Times New Roman" w:hAnsi="Times New Roman"/>
              </w:rPr>
              <w:t>Dimension scores combined by Method M2 (average)</w:t>
            </w:r>
          </w:p>
        </w:tc>
      </w:tr>
      <w:tr w:rsidR="007518E4" w:rsidRPr="004366FF" w14:paraId="616C3AC8" w14:textId="77777777" w:rsidTr="00F70FF1">
        <w:trPr>
          <w:trHeight w:val="1898"/>
          <w:jc w:val="center"/>
        </w:trPr>
        <w:tc>
          <w:tcPr>
            <w:tcW w:w="1149" w:type="pct"/>
            <w:tcBorders>
              <w:top w:val="single" w:sz="4" w:space="0" w:color="auto"/>
              <w:left w:val="single" w:sz="4" w:space="0" w:color="auto"/>
              <w:bottom w:val="single" w:sz="4" w:space="0" w:color="auto"/>
              <w:right w:val="single" w:sz="4" w:space="0" w:color="auto"/>
            </w:tcBorders>
            <w:vAlign w:val="center"/>
            <w:hideMark/>
          </w:tcPr>
          <w:p w14:paraId="09B7A3C4" w14:textId="77777777" w:rsidR="007518E4" w:rsidRPr="00F51A8E" w:rsidRDefault="007518E4" w:rsidP="00F70FF1">
            <w:pPr>
              <w:spacing w:before="0"/>
              <w:ind w:left="0"/>
              <w:jc w:val="left"/>
              <w:rPr>
                <w:rFonts w:ascii="Times New Roman" w:hAnsi="Times New Roman"/>
                <w:color w:val="000000"/>
              </w:rPr>
            </w:pPr>
            <w:r w:rsidRPr="00F51A8E">
              <w:rPr>
                <w:rFonts w:ascii="Times New Roman" w:hAnsi="Times New Roman"/>
                <w:color w:val="000000"/>
              </w:rPr>
              <w:t>8.1 Performance plans for service delivery</w:t>
            </w:r>
          </w:p>
        </w:tc>
        <w:tc>
          <w:tcPr>
            <w:tcW w:w="697" w:type="pct"/>
            <w:tcBorders>
              <w:top w:val="single" w:sz="4" w:space="0" w:color="auto"/>
              <w:left w:val="single" w:sz="4" w:space="0" w:color="auto"/>
              <w:bottom w:val="single" w:sz="4" w:space="0" w:color="auto"/>
              <w:right w:val="single" w:sz="4" w:space="0" w:color="auto"/>
            </w:tcBorders>
            <w:vAlign w:val="center"/>
          </w:tcPr>
          <w:p w14:paraId="65123E83" w14:textId="77777777" w:rsidR="007518E4" w:rsidRPr="00F51A8E" w:rsidRDefault="00835385" w:rsidP="00C86C46">
            <w:pPr>
              <w:spacing w:before="0"/>
              <w:ind w:left="0"/>
              <w:jc w:val="center"/>
              <w:rPr>
                <w:rFonts w:ascii="Times New Roman" w:hAnsi="Times New Roman"/>
              </w:rPr>
            </w:pPr>
            <w:r>
              <w:rPr>
                <w:rFonts w:ascii="Times New Roman" w:hAnsi="Times New Roman"/>
              </w:rPr>
              <w:t>C</w:t>
            </w:r>
          </w:p>
        </w:tc>
        <w:tc>
          <w:tcPr>
            <w:tcW w:w="3154" w:type="pct"/>
            <w:tcBorders>
              <w:top w:val="single" w:sz="4" w:space="0" w:color="auto"/>
              <w:left w:val="single" w:sz="4" w:space="0" w:color="auto"/>
              <w:bottom w:val="single" w:sz="4" w:space="0" w:color="auto"/>
              <w:right w:val="single" w:sz="4" w:space="0" w:color="auto"/>
            </w:tcBorders>
            <w:vAlign w:val="center"/>
          </w:tcPr>
          <w:p w14:paraId="07F51D28" w14:textId="77777777" w:rsidR="007518E4" w:rsidRPr="00F51A8E" w:rsidRDefault="007518E4" w:rsidP="00C86C46">
            <w:pPr>
              <w:spacing w:before="0"/>
              <w:ind w:left="0"/>
              <w:rPr>
                <w:rFonts w:ascii="Times New Roman" w:eastAsia="ヒラギノ角ゴ Pro W3" w:hAnsi="Times New Roman"/>
                <w:color w:val="000000"/>
                <w:lang w:eastAsia="en-IN"/>
              </w:rPr>
            </w:pPr>
            <w:r w:rsidRPr="00F51A8E">
              <w:rPr>
                <w:rFonts w:ascii="Times New Roman" w:eastAsia="ヒラギノ角ゴ Pro W3" w:hAnsi="Times New Roman"/>
                <w:color w:val="000000"/>
                <w:lang w:eastAsia="en-IN"/>
              </w:rPr>
              <w:t>Sector strategic plans and reports are published online for the two major service delivery ministries</w:t>
            </w:r>
            <w:r w:rsidR="00BD5D04">
              <w:rPr>
                <w:rFonts w:ascii="Times New Roman" w:eastAsia="ヒラギノ角ゴ Pro W3" w:hAnsi="Times New Roman"/>
                <w:color w:val="000000"/>
                <w:lang w:eastAsia="en-IN"/>
              </w:rPr>
              <w:t xml:space="preserve"> representing</w:t>
            </w:r>
            <w:r w:rsidR="004949EA">
              <w:rPr>
                <w:rFonts w:ascii="Times New Roman" w:eastAsia="ヒラギノ角ゴ Pro W3" w:hAnsi="Times New Roman"/>
                <w:color w:val="000000"/>
                <w:lang w:eastAsia="en-IN"/>
              </w:rPr>
              <w:t xml:space="preserve"> 77% of the SD ministries</w:t>
            </w:r>
            <w:r w:rsidRPr="00F51A8E">
              <w:rPr>
                <w:rFonts w:ascii="Times New Roman" w:eastAsia="ヒラギノ角ゴ Pro W3" w:hAnsi="Times New Roman"/>
                <w:color w:val="000000"/>
                <w:lang w:eastAsia="en-IN"/>
              </w:rPr>
              <w:t>: Education (ESSDP 2016-2020) and Health (HSRSF till 2025) with key performance targets and outputs for key service delivery functions as defined in the sector strategic plans and a broad link with the annual NSEDP at the outcome level. While linkages exist between the budget and the forecasts targets for each budget year, the targets are not part of the budget documentation and annual reports on sector performance report only aggregate allocation of state and ODA resources to the plan</w:t>
            </w:r>
            <w:r w:rsidR="006E511F">
              <w:rPr>
                <w:rFonts w:ascii="Times New Roman" w:eastAsia="ヒラギノ角ゴ Pro W3" w:hAnsi="Times New Roman"/>
                <w:color w:val="000000"/>
                <w:lang w:eastAsia="en-IN"/>
              </w:rPr>
              <w:t xml:space="preserve"> and there are no Key Performance Indicators</w:t>
            </w:r>
          </w:p>
        </w:tc>
      </w:tr>
      <w:tr w:rsidR="007518E4" w:rsidRPr="00044965" w14:paraId="32CBC33A" w14:textId="77777777" w:rsidTr="00F70FF1">
        <w:trPr>
          <w:trHeight w:val="1421"/>
          <w:jc w:val="center"/>
        </w:trPr>
        <w:tc>
          <w:tcPr>
            <w:tcW w:w="1149" w:type="pct"/>
            <w:tcBorders>
              <w:top w:val="single" w:sz="4" w:space="0" w:color="auto"/>
              <w:left w:val="single" w:sz="4" w:space="0" w:color="auto"/>
              <w:bottom w:val="single" w:sz="4" w:space="0" w:color="auto"/>
              <w:right w:val="single" w:sz="4" w:space="0" w:color="auto"/>
            </w:tcBorders>
            <w:vAlign w:val="center"/>
            <w:hideMark/>
          </w:tcPr>
          <w:p w14:paraId="1017EDCA" w14:textId="77777777" w:rsidR="007518E4" w:rsidRPr="00F51A8E" w:rsidRDefault="007518E4" w:rsidP="00F70FF1">
            <w:pPr>
              <w:spacing w:before="0"/>
              <w:ind w:left="0"/>
              <w:jc w:val="left"/>
              <w:rPr>
                <w:rFonts w:ascii="Times New Roman" w:hAnsi="Times New Roman"/>
                <w:color w:val="000000"/>
              </w:rPr>
            </w:pPr>
            <w:r w:rsidRPr="00F51A8E">
              <w:rPr>
                <w:rFonts w:ascii="Times New Roman" w:hAnsi="Times New Roman"/>
                <w:color w:val="000000"/>
              </w:rPr>
              <w:t>8.2 Performance achieved for service delivery</w:t>
            </w:r>
          </w:p>
        </w:tc>
        <w:tc>
          <w:tcPr>
            <w:tcW w:w="697" w:type="pct"/>
            <w:tcBorders>
              <w:top w:val="single" w:sz="4" w:space="0" w:color="auto"/>
              <w:left w:val="single" w:sz="4" w:space="0" w:color="auto"/>
              <w:bottom w:val="single" w:sz="4" w:space="0" w:color="auto"/>
              <w:right w:val="single" w:sz="4" w:space="0" w:color="auto"/>
            </w:tcBorders>
            <w:vAlign w:val="center"/>
          </w:tcPr>
          <w:p w14:paraId="010A1DC7" w14:textId="77777777" w:rsidR="007518E4" w:rsidRPr="00F51A8E" w:rsidRDefault="00835385" w:rsidP="00C86C46">
            <w:pPr>
              <w:spacing w:before="0"/>
              <w:ind w:left="0"/>
              <w:jc w:val="center"/>
              <w:rPr>
                <w:rFonts w:ascii="Times New Roman" w:hAnsi="Times New Roman"/>
              </w:rPr>
            </w:pPr>
            <w:r>
              <w:rPr>
                <w:rFonts w:ascii="Times New Roman" w:hAnsi="Times New Roman"/>
              </w:rPr>
              <w:t>C</w:t>
            </w:r>
          </w:p>
        </w:tc>
        <w:tc>
          <w:tcPr>
            <w:tcW w:w="3154" w:type="pct"/>
            <w:tcBorders>
              <w:top w:val="single" w:sz="4" w:space="0" w:color="auto"/>
              <w:left w:val="single" w:sz="4" w:space="0" w:color="auto"/>
              <w:bottom w:val="single" w:sz="4" w:space="0" w:color="auto"/>
              <w:right w:val="single" w:sz="4" w:space="0" w:color="auto"/>
            </w:tcBorders>
            <w:vAlign w:val="center"/>
          </w:tcPr>
          <w:p w14:paraId="7C250207" w14:textId="6AF65148" w:rsidR="007518E4" w:rsidRPr="00F51A8E" w:rsidRDefault="007518E4" w:rsidP="00C86C46">
            <w:pPr>
              <w:spacing w:before="0"/>
              <w:ind w:left="0"/>
              <w:rPr>
                <w:rFonts w:ascii="Times New Roman" w:eastAsia="ヒラギノ角ゴ Pro W3" w:hAnsi="Times New Roman"/>
                <w:color w:val="000000"/>
                <w:lang w:eastAsia="en-IN"/>
              </w:rPr>
            </w:pPr>
            <w:r w:rsidRPr="00F51A8E">
              <w:rPr>
                <w:rFonts w:ascii="Times New Roman" w:eastAsia="ヒラギノ角ゴ Pro W3" w:hAnsi="Times New Roman"/>
                <w:color w:val="000000"/>
                <w:lang w:eastAsia="en-IN"/>
              </w:rPr>
              <w:t>Annual information on achievement of targets</w:t>
            </w:r>
            <w:r w:rsidR="006E511F">
              <w:rPr>
                <w:rFonts w:ascii="Times New Roman" w:eastAsia="ヒラギノ角ゴ Pro W3" w:hAnsi="Times New Roman"/>
                <w:color w:val="000000"/>
                <w:lang w:eastAsia="en-IN"/>
              </w:rPr>
              <w:t xml:space="preserve"> and main activities</w:t>
            </w:r>
            <w:r w:rsidRPr="00F51A8E">
              <w:rPr>
                <w:rFonts w:ascii="Times New Roman" w:eastAsia="ヒラギノ角ゴ Pro W3" w:hAnsi="Times New Roman"/>
                <w:color w:val="000000"/>
                <w:lang w:eastAsia="en-IN"/>
              </w:rPr>
              <w:t xml:space="preserve"> is prepared by both the </w:t>
            </w:r>
            <w:proofErr w:type="spellStart"/>
            <w:r w:rsidRPr="00F51A8E">
              <w:rPr>
                <w:rFonts w:ascii="Times New Roman" w:eastAsia="ヒラギノ角ゴ Pro W3" w:hAnsi="Times New Roman"/>
                <w:color w:val="000000"/>
                <w:lang w:eastAsia="en-IN"/>
              </w:rPr>
              <w:t>MoES</w:t>
            </w:r>
            <w:proofErr w:type="spellEnd"/>
            <w:r w:rsidRPr="00F51A8E">
              <w:rPr>
                <w:rFonts w:ascii="Times New Roman" w:eastAsia="ヒラギノ角ゴ Pro W3" w:hAnsi="Times New Roman"/>
                <w:color w:val="000000"/>
                <w:lang w:eastAsia="en-IN"/>
              </w:rPr>
              <w:t xml:space="preserve"> and </w:t>
            </w:r>
            <w:proofErr w:type="spellStart"/>
            <w:r w:rsidRPr="00F51A8E">
              <w:rPr>
                <w:rFonts w:ascii="Times New Roman" w:eastAsia="ヒラギノ角ゴ Pro W3" w:hAnsi="Times New Roman"/>
                <w:color w:val="000000"/>
                <w:lang w:eastAsia="en-IN"/>
              </w:rPr>
              <w:t>MoH</w:t>
            </w:r>
            <w:proofErr w:type="spellEnd"/>
            <w:r w:rsidRPr="00F51A8E">
              <w:rPr>
                <w:rFonts w:ascii="Times New Roman" w:eastAsia="ヒラギノ角ゴ Pro W3" w:hAnsi="Times New Roman"/>
                <w:color w:val="000000"/>
                <w:lang w:eastAsia="en-IN"/>
              </w:rPr>
              <w:t xml:space="preserve"> and published in their annual strategic plans available online</w:t>
            </w:r>
            <w:r w:rsidR="006E511F">
              <w:rPr>
                <w:rFonts w:ascii="Times New Roman" w:eastAsia="ヒラギノ角ゴ Pro W3" w:hAnsi="Times New Roman"/>
                <w:color w:val="000000"/>
                <w:lang w:eastAsia="en-IN"/>
              </w:rPr>
              <w:t xml:space="preserve"> print, </w:t>
            </w:r>
            <w:r w:rsidRPr="00F51A8E">
              <w:rPr>
                <w:rFonts w:ascii="Times New Roman" w:eastAsia="ヒラギノ角ゴ Pro W3" w:hAnsi="Times New Roman"/>
                <w:color w:val="000000"/>
                <w:lang w:eastAsia="en-IN"/>
              </w:rPr>
              <w:t xml:space="preserve">describing the targets and estimated achievement for the current year, using the same format and activity-based presentation as their annual plan, with limited financial information at aggregate level. </w:t>
            </w:r>
          </w:p>
        </w:tc>
      </w:tr>
      <w:tr w:rsidR="007518E4" w:rsidRPr="00826232" w14:paraId="79691E96" w14:textId="77777777" w:rsidTr="00F70FF1">
        <w:trPr>
          <w:trHeight w:val="2159"/>
          <w:jc w:val="center"/>
        </w:trPr>
        <w:tc>
          <w:tcPr>
            <w:tcW w:w="1149" w:type="pct"/>
            <w:tcBorders>
              <w:top w:val="single" w:sz="4" w:space="0" w:color="auto"/>
              <w:left w:val="single" w:sz="4" w:space="0" w:color="auto"/>
              <w:bottom w:val="single" w:sz="4" w:space="0" w:color="auto"/>
              <w:right w:val="single" w:sz="4" w:space="0" w:color="auto"/>
            </w:tcBorders>
            <w:vAlign w:val="center"/>
            <w:hideMark/>
          </w:tcPr>
          <w:p w14:paraId="4E0D50AD" w14:textId="77777777" w:rsidR="007518E4" w:rsidRPr="00F51A8E" w:rsidRDefault="007518E4" w:rsidP="00F70FF1">
            <w:pPr>
              <w:spacing w:before="0"/>
              <w:ind w:left="0"/>
              <w:jc w:val="left"/>
              <w:rPr>
                <w:rFonts w:ascii="Times New Roman" w:hAnsi="Times New Roman"/>
                <w:color w:val="000000"/>
              </w:rPr>
            </w:pPr>
            <w:r w:rsidRPr="00F51A8E">
              <w:rPr>
                <w:rFonts w:ascii="Times New Roman" w:hAnsi="Times New Roman"/>
                <w:color w:val="000000"/>
              </w:rPr>
              <w:lastRenderedPageBreak/>
              <w:t xml:space="preserve">8.3 </w:t>
            </w:r>
            <w:r w:rsidRPr="00F51A8E">
              <w:rPr>
                <w:rFonts w:ascii="Times New Roman" w:hAnsi="Times New Roman"/>
              </w:rPr>
              <w:t>Resources received by service delivery units</w:t>
            </w:r>
          </w:p>
        </w:tc>
        <w:tc>
          <w:tcPr>
            <w:tcW w:w="697" w:type="pct"/>
            <w:tcBorders>
              <w:top w:val="single" w:sz="4" w:space="0" w:color="auto"/>
              <w:left w:val="single" w:sz="4" w:space="0" w:color="auto"/>
              <w:bottom w:val="single" w:sz="4" w:space="0" w:color="auto"/>
              <w:right w:val="single" w:sz="4" w:space="0" w:color="auto"/>
            </w:tcBorders>
            <w:vAlign w:val="center"/>
          </w:tcPr>
          <w:p w14:paraId="6FDCD70F" w14:textId="77777777" w:rsidR="007518E4" w:rsidRPr="00F51A8E" w:rsidRDefault="007518E4" w:rsidP="00C86C46">
            <w:pPr>
              <w:spacing w:before="0"/>
              <w:ind w:left="0"/>
              <w:jc w:val="center"/>
              <w:rPr>
                <w:rFonts w:ascii="Times New Roman" w:hAnsi="Times New Roman"/>
              </w:rPr>
            </w:pPr>
            <w:r w:rsidRPr="00F51A8E">
              <w:rPr>
                <w:rFonts w:ascii="Times New Roman" w:hAnsi="Times New Roman"/>
              </w:rPr>
              <w:t>D</w:t>
            </w:r>
          </w:p>
        </w:tc>
        <w:tc>
          <w:tcPr>
            <w:tcW w:w="3154" w:type="pct"/>
            <w:tcBorders>
              <w:top w:val="single" w:sz="4" w:space="0" w:color="auto"/>
              <w:left w:val="single" w:sz="4" w:space="0" w:color="auto"/>
              <w:bottom w:val="single" w:sz="4" w:space="0" w:color="auto"/>
              <w:right w:val="single" w:sz="4" w:space="0" w:color="auto"/>
            </w:tcBorders>
            <w:vAlign w:val="center"/>
          </w:tcPr>
          <w:p w14:paraId="06334EF7" w14:textId="77777777" w:rsidR="007518E4" w:rsidRPr="00F51A8E" w:rsidRDefault="007518E4" w:rsidP="00C86C46">
            <w:pPr>
              <w:spacing w:before="0"/>
              <w:ind w:left="0"/>
              <w:rPr>
                <w:rFonts w:ascii="Times New Roman" w:eastAsia="ヒラギノ角ゴ Pro W3" w:hAnsi="Times New Roman"/>
                <w:color w:val="000000"/>
                <w:lang w:eastAsia="en-IN"/>
              </w:rPr>
            </w:pPr>
            <w:r w:rsidRPr="00F51A8E">
              <w:rPr>
                <w:rFonts w:ascii="Times New Roman" w:eastAsia="ヒラギノ角ゴ Pro W3" w:hAnsi="Times New Roman"/>
                <w:color w:val="000000"/>
                <w:lang w:eastAsia="en-IN"/>
              </w:rPr>
              <w:t>Budget classification and chart of accounts do not include cost center codes at the level of government service delivery units. Ad hoc reports can be produced at the ministry level on actual government transfers to or expenditure by service delivery units, but do not include the substantial off-budget funding of service delivery through technical revenues or donors’ funding and all fragmented sources of financing in major service functions such as health and education are not consolidated.</w:t>
            </w:r>
          </w:p>
        </w:tc>
      </w:tr>
      <w:tr w:rsidR="007518E4" w:rsidRPr="005672F2" w14:paraId="1AD86B5C" w14:textId="77777777" w:rsidTr="00F70FF1">
        <w:trPr>
          <w:trHeight w:val="530"/>
          <w:jc w:val="center"/>
        </w:trPr>
        <w:tc>
          <w:tcPr>
            <w:tcW w:w="1149" w:type="pct"/>
            <w:tcBorders>
              <w:top w:val="single" w:sz="4" w:space="0" w:color="auto"/>
              <w:left w:val="single" w:sz="4" w:space="0" w:color="auto"/>
              <w:bottom w:val="single" w:sz="4" w:space="0" w:color="auto"/>
              <w:right w:val="single" w:sz="4" w:space="0" w:color="auto"/>
            </w:tcBorders>
            <w:vAlign w:val="center"/>
            <w:hideMark/>
          </w:tcPr>
          <w:p w14:paraId="50C75DEC" w14:textId="77777777" w:rsidR="007518E4" w:rsidRPr="00F51A8E" w:rsidRDefault="007518E4" w:rsidP="00F70FF1">
            <w:pPr>
              <w:spacing w:before="0"/>
              <w:ind w:left="0"/>
              <w:jc w:val="left"/>
              <w:rPr>
                <w:rFonts w:ascii="Times New Roman" w:hAnsi="Times New Roman"/>
                <w:color w:val="000000"/>
              </w:rPr>
            </w:pPr>
            <w:r w:rsidRPr="00F51A8E">
              <w:rPr>
                <w:rFonts w:ascii="Times New Roman" w:hAnsi="Times New Roman"/>
                <w:color w:val="000000"/>
              </w:rPr>
              <w:t>8.4 Performance evaluation for service delivery units</w:t>
            </w:r>
          </w:p>
        </w:tc>
        <w:tc>
          <w:tcPr>
            <w:tcW w:w="697" w:type="pct"/>
            <w:tcBorders>
              <w:top w:val="single" w:sz="4" w:space="0" w:color="auto"/>
              <w:left w:val="single" w:sz="4" w:space="0" w:color="auto"/>
              <w:bottom w:val="single" w:sz="4" w:space="0" w:color="auto"/>
              <w:right w:val="single" w:sz="4" w:space="0" w:color="auto"/>
            </w:tcBorders>
            <w:vAlign w:val="center"/>
          </w:tcPr>
          <w:p w14:paraId="0B6B0346" w14:textId="77777777" w:rsidR="007518E4" w:rsidRPr="00F51A8E" w:rsidRDefault="007518E4" w:rsidP="00C86C46">
            <w:pPr>
              <w:spacing w:before="0"/>
              <w:ind w:left="0"/>
              <w:jc w:val="center"/>
              <w:rPr>
                <w:rFonts w:ascii="Times New Roman" w:hAnsi="Times New Roman"/>
              </w:rPr>
            </w:pPr>
            <w:r>
              <w:rPr>
                <w:rFonts w:ascii="Times New Roman" w:hAnsi="Times New Roman"/>
              </w:rPr>
              <w:t>D</w:t>
            </w:r>
          </w:p>
        </w:tc>
        <w:tc>
          <w:tcPr>
            <w:tcW w:w="3154" w:type="pct"/>
            <w:tcBorders>
              <w:top w:val="single" w:sz="4" w:space="0" w:color="auto"/>
              <w:left w:val="single" w:sz="4" w:space="0" w:color="auto"/>
              <w:bottom w:val="single" w:sz="4" w:space="0" w:color="auto"/>
              <w:right w:val="single" w:sz="4" w:space="0" w:color="auto"/>
            </w:tcBorders>
            <w:vAlign w:val="center"/>
          </w:tcPr>
          <w:p w14:paraId="2369546C" w14:textId="77777777" w:rsidR="007518E4" w:rsidRPr="00F51A8E" w:rsidRDefault="007518E4" w:rsidP="00C86C46">
            <w:pPr>
              <w:spacing w:before="0"/>
              <w:ind w:left="0"/>
              <w:rPr>
                <w:rFonts w:ascii="Times New Roman" w:hAnsi="Times New Roman"/>
              </w:rPr>
            </w:pPr>
            <w:r w:rsidRPr="00F51A8E">
              <w:rPr>
                <w:rFonts w:ascii="Times New Roman" w:eastAsia="ヒラギノ角ゴ Pro W3" w:hAnsi="Times New Roman"/>
                <w:color w:val="000000"/>
                <w:lang w:eastAsia="en-IN"/>
              </w:rPr>
              <w:t>Several performance evaluations of service delivery in Lao PDR have been carried out in the last three years, mostly through DPs’ assistance but not necessarily published and do not systematically include evaluation of efficiency. Evaluations of effectiveness and efficiency have been carried out for a few donor-funded programs during the past 3 years in terms of performance audits and published, but not covering more than 25% of the total of service delivery ministry in the last three years.</w:t>
            </w:r>
          </w:p>
        </w:tc>
      </w:tr>
    </w:tbl>
    <w:p w14:paraId="7B9B5DC4" w14:textId="77777777" w:rsidR="007518E4" w:rsidRPr="00FE6ED4" w:rsidRDefault="007518E4" w:rsidP="00C86C46">
      <w:pPr>
        <w:spacing w:after="240"/>
        <w:ind w:left="0"/>
        <w:rPr>
          <w:rFonts w:ascii="Times New Roman" w:eastAsia="Calibri" w:hAnsi="Times New Roman"/>
          <w:b/>
          <w:bCs/>
          <w:color w:val="28C0DA"/>
          <w:spacing w:val="-1"/>
          <w:sz w:val="24"/>
        </w:rPr>
      </w:pPr>
      <w:r>
        <w:rPr>
          <w:rFonts w:ascii="Times New Roman" w:eastAsia="Calibri" w:hAnsi="Times New Roman"/>
          <w:b/>
          <w:bCs/>
          <w:color w:val="28C0DA"/>
          <w:spacing w:val="-1"/>
          <w:sz w:val="24"/>
        </w:rPr>
        <w:t>8.1 Performance plans for s</w:t>
      </w:r>
      <w:r w:rsidRPr="00FE6ED4">
        <w:rPr>
          <w:rFonts w:ascii="Times New Roman" w:eastAsia="Calibri" w:hAnsi="Times New Roman"/>
          <w:b/>
          <w:bCs/>
          <w:color w:val="28C0DA"/>
          <w:spacing w:val="-1"/>
          <w:sz w:val="24"/>
        </w:rPr>
        <w:t>er</w:t>
      </w:r>
      <w:r>
        <w:rPr>
          <w:rFonts w:ascii="Times New Roman" w:eastAsia="Calibri" w:hAnsi="Times New Roman"/>
          <w:b/>
          <w:bCs/>
          <w:color w:val="28C0DA"/>
          <w:spacing w:val="-1"/>
          <w:sz w:val="24"/>
        </w:rPr>
        <w:t>vice d</w:t>
      </w:r>
      <w:r w:rsidRPr="00FE6ED4">
        <w:rPr>
          <w:rFonts w:ascii="Times New Roman" w:eastAsia="Calibri" w:hAnsi="Times New Roman"/>
          <w:b/>
          <w:bCs/>
          <w:color w:val="28C0DA"/>
          <w:spacing w:val="-1"/>
          <w:sz w:val="24"/>
        </w:rPr>
        <w:t xml:space="preserve">elivery </w:t>
      </w:r>
    </w:p>
    <w:p w14:paraId="126934FF" w14:textId="77777777" w:rsidR="007518E4" w:rsidRPr="00B7761A" w:rsidRDefault="007518E4" w:rsidP="00C86C46">
      <w:pPr>
        <w:spacing w:after="240"/>
        <w:ind w:left="0"/>
        <w:rPr>
          <w:rFonts w:ascii="Times New Roman" w:hAnsi="Times New Roman"/>
          <w:bCs/>
          <w:i/>
          <w:sz w:val="24"/>
        </w:rPr>
      </w:pPr>
      <w:r w:rsidRPr="00B7761A">
        <w:rPr>
          <w:rFonts w:ascii="Times New Roman" w:hAnsi="Times New Roman"/>
          <w:bCs/>
          <w:i/>
          <w:sz w:val="24"/>
        </w:rPr>
        <w:t>Education sector</w:t>
      </w:r>
    </w:p>
    <w:p w14:paraId="6922D9CD" w14:textId="77777777" w:rsidR="007518E4" w:rsidRPr="00B7761A"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hAnsi="Times New Roman"/>
          <w:b/>
          <w:bCs/>
          <w:sz w:val="24"/>
        </w:rPr>
        <w:t>The Government’s strategic priorities for the education sector are guided by the Education Sector Development Plan (ESDP) for 2016-20</w:t>
      </w:r>
      <w:r w:rsidRPr="00C86C46">
        <w:rPr>
          <w:rFonts w:ascii="Times New Roman" w:hAnsi="Times New Roman"/>
          <w:b/>
          <w:sz w:val="24"/>
        </w:rPr>
        <w:t>.</w:t>
      </w:r>
      <w:r w:rsidRPr="00B7761A">
        <w:rPr>
          <w:rFonts w:ascii="Times New Roman" w:hAnsi="Times New Roman"/>
          <w:sz w:val="24"/>
        </w:rPr>
        <w:t xml:space="preserve"> The ESDP sets the strategic framework as well as spending targets aimed at adjusting sub-sector delivery to changes in the student population structure, </w:t>
      </w:r>
      <w:proofErr w:type="gramStart"/>
      <w:r w:rsidRPr="00B7761A">
        <w:rPr>
          <w:rFonts w:ascii="Times New Roman" w:hAnsi="Times New Roman"/>
          <w:sz w:val="24"/>
        </w:rPr>
        <w:t>and also</w:t>
      </w:r>
      <w:proofErr w:type="gramEnd"/>
      <w:r w:rsidRPr="00B7761A">
        <w:rPr>
          <w:rFonts w:ascii="Times New Roman" w:hAnsi="Times New Roman"/>
          <w:sz w:val="24"/>
        </w:rPr>
        <w:t xml:space="preserve"> improving classroom education quality. </w:t>
      </w:r>
      <w:r w:rsidRPr="00B7761A">
        <w:rPr>
          <w:rFonts w:ascii="Times New Roman" w:eastAsia="ヒラギノ角ゴ Pro W3" w:hAnsi="Times New Roman"/>
          <w:color w:val="000000"/>
          <w:sz w:val="24"/>
          <w:lang w:eastAsia="en-IN"/>
        </w:rPr>
        <w:t>However, the key performance indicators for expected program outcome</w:t>
      </w:r>
      <w:r>
        <w:rPr>
          <w:rFonts w:ascii="Times New Roman" w:eastAsia="ヒラギノ角ゴ Pro W3" w:hAnsi="Times New Roman"/>
          <w:color w:val="000000"/>
          <w:sz w:val="24"/>
          <w:lang w:eastAsia="en-IN"/>
        </w:rPr>
        <w:t>,</w:t>
      </w:r>
      <w:r w:rsidRPr="00B7761A">
        <w:rPr>
          <w:rFonts w:ascii="Times New Roman" w:eastAsia="ヒラギノ角ゴ Pro W3" w:hAnsi="Times New Roman"/>
          <w:color w:val="000000"/>
          <w:sz w:val="24"/>
          <w:lang w:eastAsia="en-IN"/>
        </w:rPr>
        <w:t xml:space="preserve"> if they are stated for most programs</w:t>
      </w:r>
      <w:r>
        <w:rPr>
          <w:rFonts w:ascii="Times New Roman" w:eastAsia="ヒラギノ角ゴ Pro W3" w:hAnsi="Times New Roman"/>
          <w:color w:val="000000"/>
          <w:sz w:val="24"/>
          <w:lang w:eastAsia="en-IN"/>
        </w:rPr>
        <w:t>,</w:t>
      </w:r>
      <w:r w:rsidRPr="00B7761A">
        <w:rPr>
          <w:rFonts w:ascii="Times New Roman" w:eastAsia="ヒラギノ角ゴ Pro W3" w:hAnsi="Times New Roman"/>
          <w:color w:val="000000"/>
          <w:sz w:val="24"/>
          <w:lang w:eastAsia="en-IN"/>
        </w:rPr>
        <w:t xml:space="preserve"> are not </w:t>
      </w:r>
      <w:r>
        <w:rPr>
          <w:rFonts w:ascii="Times New Roman" w:eastAsia="ヒラギノ角ゴ Pro W3" w:hAnsi="Times New Roman"/>
          <w:color w:val="000000"/>
          <w:sz w:val="24"/>
          <w:lang w:eastAsia="en-IN"/>
        </w:rPr>
        <w:t xml:space="preserve">fully specified or </w:t>
      </w:r>
      <w:r w:rsidRPr="00B7761A">
        <w:rPr>
          <w:rFonts w:ascii="Times New Roman" w:eastAsia="ヒラギノ角ゴ Pro W3" w:hAnsi="Times New Roman"/>
          <w:color w:val="000000"/>
          <w:sz w:val="24"/>
          <w:lang w:eastAsia="en-IN"/>
        </w:rPr>
        <w:t>quantified</w:t>
      </w:r>
      <w:r>
        <w:rPr>
          <w:rFonts w:ascii="Times New Roman" w:eastAsia="ヒラギノ角ゴ Pro W3" w:hAnsi="Times New Roman"/>
          <w:color w:val="000000"/>
          <w:sz w:val="24"/>
          <w:lang w:eastAsia="en-IN"/>
        </w:rPr>
        <w:t xml:space="preserve">.  Any </w:t>
      </w:r>
      <w:r w:rsidRPr="00B7761A">
        <w:rPr>
          <w:rFonts w:ascii="Times New Roman" w:eastAsia="ヒラギノ角ゴ Pro W3" w:hAnsi="Times New Roman"/>
          <w:color w:val="000000"/>
          <w:sz w:val="24"/>
          <w:lang w:eastAsia="en-IN"/>
        </w:rPr>
        <w:t xml:space="preserve">related quantitative indicators are mostly of an output and activity-based nature. Similarly, each subprogram has a separate set of indicators which is defined as an activity or input. </w:t>
      </w:r>
    </w:p>
    <w:p w14:paraId="790A6C07" w14:textId="77777777" w:rsidR="007518E4" w:rsidRPr="00B7761A" w:rsidRDefault="007518E4" w:rsidP="00C86C46">
      <w:pPr>
        <w:spacing w:after="240"/>
        <w:ind w:left="0"/>
        <w:rPr>
          <w:rFonts w:ascii="Times New Roman" w:hAnsi="Times New Roman"/>
          <w:bCs/>
          <w:i/>
          <w:sz w:val="24"/>
        </w:rPr>
      </w:pPr>
      <w:r w:rsidRPr="00B7761A">
        <w:rPr>
          <w:rFonts w:ascii="Times New Roman" w:hAnsi="Times New Roman"/>
          <w:bCs/>
          <w:i/>
          <w:sz w:val="24"/>
        </w:rPr>
        <w:t>Health sector</w:t>
      </w:r>
    </w:p>
    <w:p w14:paraId="1FDF5197" w14:textId="77777777" w:rsidR="007518E4" w:rsidRPr="00B7761A"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86C46">
        <w:rPr>
          <w:rFonts w:ascii="Times New Roman" w:hAnsi="Times New Roman"/>
          <w:b/>
          <w:bCs/>
          <w:sz w:val="24"/>
        </w:rPr>
        <w:t>The health sector is governed by the Health Sector Reform Strategy by 2020 and by PM Decree 029 of 2013, and the successive Health Sector Reform Strategy and Framework to 2025</w:t>
      </w:r>
      <w:r w:rsidRPr="00C86C46">
        <w:rPr>
          <w:rFonts w:ascii="Times New Roman" w:hAnsi="Times New Roman"/>
          <w:b/>
          <w:sz w:val="24"/>
        </w:rPr>
        <w:t xml:space="preserve"> (issued in 2016).</w:t>
      </w:r>
      <w:r w:rsidRPr="00B7761A">
        <w:rPr>
          <w:rFonts w:ascii="Times New Roman" w:hAnsi="Times New Roman"/>
          <w:sz w:val="24"/>
        </w:rPr>
        <w:t xml:space="preserve"> The 8th National Health Sector Development Plan strives for an acceleration of the health sector reform, in particularly, the development of human resources, the improvement of governance and financing, and the completion of the comprehensive health information system.  Phase 2 (2016–2020) of the Health Sector Reform Strategy aims to ensure essential health services of reasonably good quality are accessible for </w:t>
      </w:r>
      <w:proofErr w:type="gramStart"/>
      <w:r w:rsidRPr="00B7761A">
        <w:rPr>
          <w:rFonts w:ascii="Times New Roman" w:hAnsi="Times New Roman"/>
          <w:sz w:val="24"/>
        </w:rPr>
        <w:t>t</w:t>
      </w:r>
      <w:r w:rsidR="00F70FF1">
        <w:rPr>
          <w:rFonts w:ascii="Times New Roman" w:hAnsi="Times New Roman"/>
          <w:sz w:val="24"/>
        </w:rPr>
        <w:t>he majority of</w:t>
      </w:r>
      <w:proofErr w:type="gramEnd"/>
      <w:r w:rsidR="00F70FF1">
        <w:rPr>
          <w:rFonts w:ascii="Times New Roman" w:hAnsi="Times New Roman"/>
          <w:sz w:val="24"/>
        </w:rPr>
        <w:t xml:space="preserve"> the population.</w:t>
      </w:r>
      <w:r w:rsidRPr="00B7761A">
        <w:rPr>
          <w:rFonts w:ascii="Times New Roman" w:hAnsi="Times New Roman"/>
          <w:sz w:val="24"/>
        </w:rPr>
        <w:t xml:space="preserve"> In the medium term, the Government of Lao PDR aims to cover 80 percent of the population with an essential package of services and appropriate financial protection by 2020 and to achieve Universal Health Coverage (UHC) by 2025. </w:t>
      </w:r>
      <w:r>
        <w:rPr>
          <w:rFonts w:ascii="Times New Roman" w:hAnsi="Times New Roman"/>
          <w:sz w:val="24"/>
        </w:rPr>
        <w:t xml:space="preserve"> </w:t>
      </w:r>
      <w:r w:rsidRPr="00B7761A">
        <w:rPr>
          <w:rFonts w:ascii="Times New Roman" w:hAnsi="Times New Roman"/>
          <w:sz w:val="24"/>
        </w:rPr>
        <w:t>It is envisioned that over 95 percent of the population will be covered by the social health protection scheme, and that out-of-pocket payment will be reduced to less than 30 percent of health expenditure.</w:t>
      </w:r>
    </w:p>
    <w:p w14:paraId="5549C9DF" w14:textId="77777777" w:rsidR="007518E4" w:rsidRPr="00B7761A"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bCs/>
          <w:sz w:val="24"/>
        </w:rPr>
      </w:pPr>
      <w:proofErr w:type="gramStart"/>
      <w:r w:rsidRPr="00C86C46">
        <w:rPr>
          <w:rFonts w:ascii="Times New Roman" w:hAnsi="Times New Roman"/>
          <w:b/>
          <w:sz w:val="24"/>
        </w:rPr>
        <w:t>In order to</w:t>
      </w:r>
      <w:proofErr w:type="gramEnd"/>
      <w:r w:rsidRPr="00C86C46">
        <w:rPr>
          <w:rFonts w:ascii="Times New Roman" w:hAnsi="Times New Roman"/>
          <w:b/>
          <w:sz w:val="24"/>
        </w:rPr>
        <w:t xml:space="preserve"> achieve the policy objectives, the Government has introduced financial protection mechanisms for the poor</w:t>
      </w:r>
      <w:r w:rsidR="00F70FF1">
        <w:rPr>
          <w:rFonts w:ascii="Times New Roman" w:hAnsi="Times New Roman"/>
          <w:sz w:val="24"/>
        </w:rPr>
        <w:t xml:space="preserve">. </w:t>
      </w:r>
      <w:r w:rsidR="00C86C46">
        <w:rPr>
          <w:rFonts w:ascii="Times New Roman" w:hAnsi="Times New Roman"/>
          <w:sz w:val="24"/>
        </w:rPr>
        <w:t>These include</w:t>
      </w:r>
      <w:r w:rsidRPr="00B7761A">
        <w:rPr>
          <w:rFonts w:ascii="Times New Roman" w:hAnsi="Times New Roman"/>
          <w:sz w:val="24"/>
        </w:rPr>
        <w:t xml:space="preserve"> health equity funds (HEFs) and free care for maternal and child health (MCH) to improve financial protection for the poor and the targeted groups such as pregnant women, mothers and children unde</w:t>
      </w:r>
      <w:r w:rsidR="00F70FF1">
        <w:rPr>
          <w:rFonts w:ascii="Times New Roman" w:hAnsi="Times New Roman"/>
          <w:sz w:val="24"/>
        </w:rPr>
        <w:t xml:space="preserve">r 5-year-old in the past </w:t>
      </w:r>
      <w:r w:rsidR="00F70FF1">
        <w:rPr>
          <w:rFonts w:ascii="Times New Roman" w:hAnsi="Times New Roman"/>
          <w:sz w:val="24"/>
        </w:rPr>
        <w:lastRenderedPageBreak/>
        <w:t>years.</w:t>
      </w:r>
      <w:r w:rsidRPr="00B7761A">
        <w:rPr>
          <w:rFonts w:ascii="Times New Roman" w:hAnsi="Times New Roman"/>
          <w:sz w:val="24"/>
        </w:rPr>
        <w:t xml:space="preserve"> A list of program-level strategies/targets </w:t>
      </w:r>
      <w:r>
        <w:rPr>
          <w:rFonts w:ascii="Times New Roman" w:hAnsi="Times New Roman"/>
          <w:sz w:val="24"/>
        </w:rPr>
        <w:t>is</w:t>
      </w:r>
      <w:r w:rsidRPr="00B7761A">
        <w:rPr>
          <w:rFonts w:ascii="Times New Roman" w:hAnsi="Times New Roman"/>
          <w:sz w:val="24"/>
        </w:rPr>
        <w:t xml:space="preserve"> also defined, such as the National Strategy and Action Plan for Integrated Services on Reproductive, Maternal, Newborn and Child Health. </w:t>
      </w:r>
      <w:r w:rsidRPr="00B7761A">
        <w:rPr>
          <w:rFonts w:ascii="Times New Roman" w:hAnsi="Times New Roman"/>
          <w:bCs/>
          <w:sz w:val="24"/>
        </w:rPr>
        <w:t>The targets and focus areas of the sector strategies are in turn, broadly consolidated within the annual NSEDP, which mirrors the list of outputs and priorities</w:t>
      </w:r>
      <w:r>
        <w:rPr>
          <w:rFonts w:ascii="Times New Roman" w:hAnsi="Times New Roman"/>
          <w:bCs/>
          <w:sz w:val="24"/>
        </w:rPr>
        <w:t xml:space="preserve"> from the respective sector</w:t>
      </w:r>
      <w:r w:rsidRPr="00B7761A">
        <w:rPr>
          <w:rFonts w:ascii="Times New Roman" w:hAnsi="Times New Roman"/>
          <w:bCs/>
          <w:sz w:val="24"/>
        </w:rPr>
        <w:t xml:space="preserve">al plans but does not mention any costing or budget information. </w:t>
      </w:r>
    </w:p>
    <w:p w14:paraId="0AD25CD0" w14:textId="77777777" w:rsidR="00BE2557"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eastAsia="ヒラギノ角ゴ Pro W3" w:hAnsi="Times New Roman"/>
          <w:b/>
          <w:color w:val="000000"/>
          <w:sz w:val="24"/>
          <w:lang w:eastAsia="en-IN"/>
        </w:rPr>
        <w:t xml:space="preserve">Sector strategic plans and reports are prepared and </w:t>
      </w:r>
      <w:r w:rsidR="00C86C46">
        <w:rPr>
          <w:rFonts w:ascii="Times New Roman" w:eastAsia="ヒラギノ角ゴ Pro W3" w:hAnsi="Times New Roman"/>
          <w:b/>
          <w:color w:val="000000"/>
          <w:sz w:val="24"/>
          <w:lang w:eastAsia="en-IN"/>
        </w:rPr>
        <w:t xml:space="preserve">systematically </w:t>
      </w:r>
      <w:r w:rsidRPr="00C86C46">
        <w:rPr>
          <w:rFonts w:ascii="Times New Roman" w:eastAsia="ヒラギノ角ゴ Pro W3" w:hAnsi="Times New Roman"/>
          <w:b/>
          <w:color w:val="000000"/>
          <w:sz w:val="24"/>
          <w:lang w:eastAsia="en-IN"/>
        </w:rPr>
        <w:t xml:space="preserve">published online </w:t>
      </w:r>
      <w:r w:rsidR="00FC037B">
        <w:rPr>
          <w:rFonts w:ascii="Times New Roman" w:eastAsia="ヒラギノ角ゴ Pro W3" w:hAnsi="Times New Roman"/>
          <w:b/>
          <w:color w:val="000000"/>
          <w:sz w:val="24"/>
          <w:lang w:eastAsia="en-IN"/>
        </w:rPr>
        <w:t xml:space="preserve">or distributed in printed version </w:t>
      </w:r>
      <w:r w:rsidRPr="00C86C46">
        <w:rPr>
          <w:rFonts w:ascii="Times New Roman" w:eastAsia="ヒラギノ角ゴ Pro W3" w:hAnsi="Times New Roman"/>
          <w:b/>
          <w:color w:val="000000"/>
          <w:sz w:val="24"/>
          <w:lang w:eastAsia="en-IN"/>
        </w:rPr>
        <w:t>for the two major service delivery ministries:</w:t>
      </w:r>
      <w:r w:rsidRPr="00B7761A">
        <w:rPr>
          <w:rFonts w:ascii="Times New Roman" w:eastAsia="ヒラギノ角ゴ Pro W3" w:hAnsi="Times New Roman"/>
          <w:color w:val="000000"/>
          <w:sz w:val="24"/>
          <w:lang w:eastAsia="en-IN"/>
        </w:rPr>
        <w:t xml:space="preserve"> Education (ESSDP 2016-2020) and Health (HSRSF </w:t>
      </w:r>
      <w:r>
        <w:rPr>
          <w:rFonts w:ascii="Times New Roman" w:eastAsia="ヒラギノ角ゴ Pro W3" w:hAnsi="Times New Roman"/>
          <w:color w:val="000000"/>
          <w:sz w:val="24"/>
          <w:lang w:eastAsia="en-IN"/>
        </w:rPr>
        <w:t>to</w:t>
      </w:r>
      <w:r w:rsidRPr="00B7761A">
        <w:rPr>
          <w:rFonts w:ascii="Times New Roman" w:eastAsia="ヒラギノ角ゴ Pro W3" w:hAnsi="Times New Roman"/>
          <w:color w:val="000000"/>
          <w:sz w:val="24"/>
          <w:lang w:eastAsia="en-IN"/>
        </w:rPr>
        <w:t xml:space="preserve"> 2025) with key performance targets and outputs for key service delivery functions as defined in the sector strategic plans and a broad link with the annual NSEDP at the outcome level. </w:t>
      </w:r>
    </w:p>
    <w:p w14:paraId="433F4126" w14:textId="77777777" w:rsidR="007518E4" w:rsidRPr="00B7761A" w:rsidRDefault="007A617C"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Pr>
          <w:rFonts w:ascii="Times New Roman" w:eastAsia="ヒラギノ角ゴ Pro W3" w:hAnsi="Times New Roman"/>
          <w:color w:val="000000"/>
          <w:sz w:val="24"/>
          <w:lang w:eastAsia="en-IN"/>
        </w:rPr>
        <w:t xml:space="preserve">Information on activities to be performed by programs is available for </w:t>
      </w:r>
      <w:proofErr w:type="spellStart"/>
      <w:r>
        <w:rPr>
          <w:rFonts w:ascii="Times New Roman" w:eastAsia="ヒラギノ角ゴ Pro W3" w:hAnsi="Times New Roman"/>
          <w:color w:val="000000"/>
          <w:sz w:val="24"/>
          <w:lang w:eastAsia="en-IN"/>
        </w:rPr>
        <w:t>MoES</w:t>
      </w:r>
      <w:proofErr w:type="spellEnd"/>
      <w:r>
        <w:rPr>
          <w:rFonts w:ascii="Times New Roman" w:eastAsia="ヒラギノ角ゴ Pro W3" w:hAnsi="Times New Roman"/>
          <w:color w:val="000000"/>
          <w:sz w:val="24"/>
          <w:lang w:eastAsia="en-IN"/>
        </w:rPr>
        <w:t xml:space="preserve"> and </w:t>
      </w:r>
      <w:proofErr w:type="spellStart"/>
      <w:r>
        <w:rPr>
          <w:rFonts w:ascii="Times New Roman" w:eastAsia="ヒラギノ角ゴ Pro W3" w:hAnsi="Times New Roman"/>
          <w:color w:val="000000"/>
          <w:sz w:val="24"/>
          <w:lang w:eastAsia="en-IN"/>
        </w:rPr>
        <w:t>MoH</w:t>
      </w:r>
      <w:proofErr w:type="spellEnd"/>
      <w:r>
        <w:rPr>
          <w:rFonts w:ascii="Times New Roman" w:eastAsia="ヒラギノ角ゴ Pro W3" w:hAnsi="Times New Roman"/>
          <w:color w:val="000000"/>
          <w:sz w:val="24"/>
          <w:lang w:eastAsia="en-IN"/>
        </w:rPr>
        <w:t>, which represent 77% of the identified Service Delivery ministries but there are no specific Key Performance Indicators defined by programs.</w:t>
      </w:r>
      <w:r>
        <w:rPr>
          <w:rFonts w:ascii="Times New Roman" w:eastAsia="ヒラギノ角ゴ Pro W3" w:hAnsi="Times New Roman"/>
          <w:b/>
          <w:color w:val="000000"/>
          <w:sz w:val="24"/>
          <w:lang w:eastAsia="en-IN"/>
        </w:rPr>
        <w:t xml:space="preserve"> </w:t>
      </w:r>
      <w:r w:rsidR="007518E4">
        <w:rPr>
          <w:rFonts w:ascii="Times New Roman" w:eastAsia="ヒラギノ角ゴ Pro W3" w:hAnsi="Times New Roman"/>
          <w:color w:val="000000"/>
          <w:sz w:val="24"/>
          <w:lang w:eastAsia="en-IN"/>
        </w:rPr>
        <w:t xml:space="preserve">Score </w:t>
      </w:r>
      <w:r w:rsidR="00BE2557">
        <w:rPr>
          <w:rFonts w:ascii="Times New Roman" w:eastAsia="ヒラギノ角ゴ Pro W3" w:hAnsi="Times New Roman"/>
          <w:color w:val="000000"/>
          <w:sz w:val="24"/>
          <w:lang w:eastAsia="en-IN"/>
        </w:rPr>
        <w:t>C</w:t>
      </w:r>
    </w:p>
    <w:p w14:paraId="6CB32160" w14:textId="77777777" w:rsidR="007518E4" w:rsidRPr="00FE6ED4" w:rsidRDefault="007518E4" w:rsidP="00C86C46">
      <w:pPr>
        <w:spacing w:after="240"/>
        <w:ind w:left="0"/>
        <w:rPr>
          <w:rFonts w:ascii="Times New Roman" w:eastAsia="Calibri" w:hAnsi="Times New Roman"/>
          <w:b/>
          <w:bCs/>
          <w:color w:val="28C0DA"/>
          <w:spacing w:val="-1"/>
          <w:sz w:val="24"/>
        </w:rPr>
      </w:pPr>
      <w:r>
        <w:rPr>
          <w:rFonts w:ascii="Times New Roman" w:eastAsia="Calibri" w:hAnsi="Times New Roman"/>
          <w:b/>
          <w:bCs/>
          <w:color w:val="28C0DA"/>
          <w:spacing w:val="-1"/>
          <w:sz w:val="24"/>
        </w:rPr>
        <w:t>8.2 Performance achieved for service d</w:t>
      </w:r>
      <w:r w:rsidRPr="00FE6ED4">
        <w:rPr>
          <w:rFonts w:ascii="Times New Roman" w:eastAsia="Calibri" w:hAnsi="Times New Roman"/>
          <w:b/>
          <w:bCs/>
          <w:color w:val="28C0DA"/>
          <w:spacing w:val="-1"/>
          <w:sz w:val="24"/>
        </w:rPr>
        <w:t xml:space="preserve">elivery </w:t>
      </w:r>
    </w:p>
    <w:p w14:paraId="2F144029" w14:textId="77777777" w:rsidR="007518E4" w:rsidRPr="005E1897"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eastAsia="ヒラギノ角ゴ Pro W3" w:hAnsi="Times New Roman"/>
          <w:b/>
          <w:color w:val="000000"/>
          <w:sz w:val="24"/>
          <w:lang w:eastAsia="en-IN"/>
        </w:rPr>
        <w:t>In the absence of an adequate performance measurement framework for the service delivery sectors, the reports on performance remain very general and are centered on delivered activities</w:t>
      </w:r>
      <w:r w:rsidRPr="005E1897">
        <w:rPr>
          <w:rFonts w:ascii="Times New Roman" w:eastAsia="ヒラギノ角ゴ Pro W3" w:hAnsi="Times New Roman"/>
          <w:color w:val="000000"/>
          <w:sz w:val="24"/>
          <w:lang w:eastAsia="en-IN"/>
        </w:rPr>
        <w:t xml:space="preserve">. The gap between the annual NSEDP plan adopted by the NA defining broad targets and outcomes and the sector plans and the absence of performance-based budget information does not allow for a comprehensive and consistent presentation of performance results measure. However, the annual reporting follows the same format and presentation of the plan and provides an informative narrative about the activities delivered against the plans and contribution to the achievement of targets. </w:t>
      </w:r>
    </w:p>
    <w:p w14:paraId="36EE281B" w14:textId="77777777" w:rsidR="007518E4" w:rsidRPr="005E1897"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eastAsia="ヒラギノ角ゴ Pro W3" w:hAnsi="Times New Roman"/>
          <w:b/>
          <w:color w:val="000000"/>
          <w:sz w:val="24"/>
          <w:lang w:eastAsia="en-IN"/>
        </w:rPr>
        <w:t xml:space="preserve">Annual information on achievement of targets is prepared by both the </w:t>
      </w:r>
      <w:proofErr w:type="spellStart"/>
      <w:r w:rsidRPr="00C86C46">
        <w:rPr>
          <w:rFonts w:ascii="Times New Roman" w:eastAsia="ヒラギノ角ゴ Pro W3" w:hAnsi="Times New Roman"/>
          <w:b/>
          <w:color w:val="000000"/>
          <w:sz w:val="24"/>
          <w:lang w:eastAsia="en-IN"/>
        </w:rPr>
        <w:t>MoES</w:t>
      </w:r>
      <w:proofErr w:type="spellEnd"/>
      <w:r w:rsidRPr="00C86C46">
        <w:rPr>
          <w:rFonts w:ascii="Times New Roman" w:eastAsia="ヒラギノ角ゴ Pro W3" w:hAnsi="Times New Roman"/>
          <w:b/>
          <w:color w:val="000000"/>
          <w:sz w:val="24"/>
          <w:lang w:eastAsia="en-IN"/>
        </w:rPr>
        <w:t xml:space="preserve"> and </w:t>
      </w:r>
      <w:proofErr w:type="spellStart"/>
      <w:r w:rsidRPr="00C86C46">
        <w:rPr>
          <w:rFonts w:ascii="Times New Roman" w:eastAsia="ヒラギノ角ゴ Pro W3" w:hAnsi="Times New Roman"/>
          <w:b/>
          <w:color w:val="000000"/>
          <w:sz w:val="24"/>
          <w:lang w:eastAsia="en-IN"/>
        </w:rPr>
        <w:t>MoH</w:t>
      </w:r>
      <w:proofErr w:type="spellEnd"/>
      <w:r w:rsidRPr="00C86C46">
        <w:rPr>
          <w:rFonts w:ascii="Times New Roman" w:eastAsia="ヒラギノ角ゴ Pro W3" w:hAnsi="Times New Roman"/>
          <w:b/>
          <w:color w:val="000000"/>
          <w:sz w:val="24"/>
          <w:lang w:eastAsia="en-IN"/>
        </w:rPr>
        <w:t xml:space="preserve"> and consolidated in their annual strategic plans</w:t>
      </w:r>
      <w:r w:rsidR="00F70FF1">
        <w:rPr>
          <w:rFonts w:ascii="Times New Roman" w:eastAsia="ヒラギノ角ゴ Pro W3" w:hAnsi="Times New Roman"/>
          <w:color w:val="000000"/>
          <w:sz w:val="24"/>
          <w:lang w:eastAsia="en-IN"/>
        </w:rPr>
        <w:t xml:space="preserve">. </w:t>
      </w:r>
      <w:r w:rsidR="00C86C46">
        <w:rPr>
          <w:rFonts w:ascii="Times New Roman" w:eastAsia="ヒラギノ角ゴ Pro W3" w:hAnsi="Times New Roman"/>
          <w:color w:val="000000"/>
          <w:sz w:val="24"/>
          <w:lang w:eastAsia="en-IN"/>
        </w:rPr>
        <w:t>These</w:t>
      </w:r>
      <w:r w:rsidRPr="00C86C46">
        <w:rPr>
          <w:rFonts w:ascii="Times New Roman" w:eastAsia="ヒラギノ角ゴ Pro W3" w:hAnsi="Times New Roman"/>
          <w:color w:val="000000"/>
          <w:sz w:val="24"/>
          <w:lang w:eastAsia="en-IN"/>
        </w:rPr>
        <w:t xml:space="preserve"> </w:t>
      </w:r>
      <w:r w:rsidRPr="005E1897">
        <w:rPr>
          <w:rFonts w:ascii="Times New Roman" w:eastAsia="ヒラギノ角ゴ Pro W3" w:hAnsi="Times New Roman"/>
          <w:color w:val="000000"/>
          <w:sz w:val="24"/>
          <w:lang w:eastAsia="en-IN"/>
        </w:rPr>
        <w:t>describ</w:t>
      </w:r>
      <w:r w:rsidR="00C86C46">
        <w:rPr>
          <w:rFonts w:ascii="Times New Roman" w:eastAsia="ヒラギノ角ゴ Pro W3" w:hAnsi="Times New Roman"/>
          <w:color w:val="000000"/>
          <w:sz w:val="24"/>
          <w:lang w:eastAsia="en-IN"/>
        </w:rPr>
        <w:t>e</w:t>
      </w:r>
      <w:r w:rsidRPr="005E1897">
        <w:rPr>
          <w:rFonts w:ascii="Times New Roman" w:eastAsia="ヒラギノ角ゴ Pro W3" w:hAnsi="Times New Roman"/>
          <w:color w:val="000000"/>
          <w:sz w:val="24"/>
          <w:lang w:eastAsia="en-IN"/>
        </w:rPr>
        <w:t xml:space="preserve"> the targets and estimated achievement for the current year, using the same format and activity-based presentation as their annual plan, with limited financial information at aggregate level. </w:t>
      </w:r>
      <w:r>
        <w:rPr>
          <w:rFonts w:ascii="Times New Roman" w:eastAsia="ヒラギノ角ゴ Pro W3" w:hAnsi="Times New Roman"/>
          <w:color w:val="000000"/>
          <w:sz w:val="24"/>
          <w:lang w:eastAsia="en-IN"/>
        </w:rPr>
        <w:t xml:space="preserve">The annual reports are systematically published. </w:t>
      </w:r>
      <w:r w:rsidRPr="005E1897">
        <w:rPr>
          <w:rFonts w:ascii="Times New Roman" w:eastAsia="ヒラギノ角ゴ Pro W3" w:hAnsi="Times New Roman"/>
          <w:color w:val="000000"/>
          <w:sz w:val="24"/>
          <w:lang w:eastAsia="en-IN"/>
        </w:rPr>
        <w:t xml:space="preserve">Score </w:t>
      </w:r>
      <w:r w:rsidR="00BE2557">
        <w:rPr>
          <w:rFonts w:ascii="Times New Roman" w:eastAsia="ヒラギノ角ゴ Pro W3" w:hAnsi="Times New Roman"/>
          <w:color w:val="000000"/>
          <w:sz w:val="24"/>
          <w:lang w:eastAsia="en-IN"/>
        </w:rPr>
        <w:t>C</w:t>
      </w:r>
      <w:r w:rsidRPr="005E1897">
        <w:rPr>
          <w:rFonts w:ascii="Times New Roman" w:eastAsia="ヒラギノ角ゴ Pro W3" w:hAnsi="Times New Roman"/>
          <w:color w:val="000000"/>
          <w:sz w:val="24"/>
          <w:lang w:eastAsia="en-IN"/>
        </w:rPr>
        <w:t>.</w:t>
      </w:r>
    </w:p>
    <w:p w14:paraId="69856B06" w14:textId="77777777" w:rsidR="007518E4" w:rsidRPr="00FE6ED4" w:rsidRDefault="007518E4" w:rsidP="00C86C46">
      <w:pPr>
        <w:spacing w:after="240"/>
        <w:ind w:left="0"/>
        <w:rPr>
          <w:rFonts w:ascii="Times New Roman" w:eastAsia="Calibri" w:hAnsi="Times New Roman"/>
          <w:b/>
          <w:bCs/>
          <w:color w:val="28C0DA"/>
          <w:spacing w:val="-1"/>
          <w:sz w:val="24"/>
        </w:rPr>
      </w:pPr>
      <w:r>
        <w:rPr>
          <w:rFonts w:ascii="Times New Roman" w:eastAsia="Calibri" w:hAnsi="Times New Roman"/>
          <w:b/>
          <w:bCs/>
          <w:color w:val="28C0DA"/>
          <w:spacing w:val="-1"/>
          <w:sz w:val="24"/>
        </w:rPr>
        <w:t>8.3 Resources received by service delivery u</w:t>
      </w:r>
      <w:r w:rsidRPr="00FE6ED4">
        <w:rPr>
          <w:rFonts w:ascii="Times New Roman" w:eastAsia="Calibri" w:hAnsi="Times New Roman"/>
          <w:b/>
          <w:bCs/>
          <w:color w:val="28C0DA"/>
          <w:spacing w:val="-1"/>
          <w:sz w:val="24"/>
        </w:rPr>
        <w:t>nits</w:t>
      </w:r>
    </w:p>
    <w:p w14:paraId="3E67AF81" w14:textId="77777777" w:rsidR="007518E4" w:rsidRPr="00FE6ED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C86C46">
        <w:rPr>
          <w:rFonts w:ascii="Times New Roman" w:eastAsia="ヒラギノ角ゴ Pro W3" w:hAnsi="Times New Roman"/>
          <w:b/>
          <w:color w:val="000000"/>
          <w:sz w:val="24"/>
          <w:lang w:eastAsia="en-IN"/>
        </w:rPr>
        <w:t xml:space="preserve">In the education sector, the </w:t>
      </w:r>
      <w:r w:rsidRPr="00C86C46">
        <w:rPr>
          <w:rFonts w:ascii="Times New Roman" w:hAnsi="Times New Roman"/>
          <w:b/>
          <w:bCs/>
          <w:sz w:val="24"/>
        </w:rPr>
        <w:t>School Block Grant (SBG)</w:t>
      </w:r>
      <w:r w:rsidRPr="00C86C46">
        <w:rPr>
          <w:rFonts w:ascii="Times New Roman" w:hAnsi="Times New Roman"/>
          <w:b/>
          <w:sz w:val="24"/>
        </w:rPr>
        <w:t xml:space="preserve"> transfers, covering the (non-staff) school operating costs for all schools from pre-primary up to upper secondary level and financed through based on PM Decree No. 136 (2010)</w:t>
      </w:r>
      <w:r w:rsidRPr="00C86C46">
        <w:rPr>
          <w:rStyle w:val="FootnoteReference"/>
          <w:rFonts w:ascii="Times New Roman" w:hAnsi="Times New Roman"/>
          <w:b/>
          <w:sz w:val="24"/>
        </w:rPr>
        <w:footnoteReference w:id="27"/>
      </w:r>
      <w:r w:rsidRPr="00C86C46">
        <w:rPr>
          <w:rFonts w:ascii="Times New Roman" w:hAnsi="Times New Roman"/>
          <w:b/>
          <w:sz w:val="24"/>
        </w:rPr>
        <w:t xml:space="preserve"> </w:t>
      </w:r>
      <w:r w:rsidRPr="00C86C46">
        <w:rPr>
          <w:rFonts w:ascii="Times New Roman" w:eastAsia="ヒラギノ角ゴ Pro W3" w:hAnsi="Times New Roman"/>
          <w:b/>
          <w:color w:val="000000"/>
          <w:sz w:val="24"/>
          <w:lang w:eastAsia="en-IN"/>
        </w:rPr>
        <w:t>is the only direct tracking tool of annual transfers made to the frontline education service delivery units by provinces</w:t>
      </w:r>
      <w:r w:rsidR="00C86C46">
        <w:rPr>
          <w:rFonts w:ascii="Times New Roman" w:eastAsia="ヒラギノ角ゴ Pro W3" w:hAnsi="Times New Roman"/>
          <w:b/>
          <w:color w:val="000000"/>
          <w:sz w:val="24"/>
          <w:lang w:eastAsia="en-IN"/>
        </w:rPr>
        <w:t xml:space="preserve">. </w:t>
      </w:r>
      <w:r w:rsidR="00C86C46" w:rsidRPr="00C86C46">
        <w:rPr>
          <w:rFonts w:ascii="Times New Roman" w:eastAsia="ヒラギノ角ゴ Pro W3" w:hAnsi="Times New Roman"/>
          <w:color w:val="000000"/>
          <w:sz w:val="24"/>
          <w:lang w:eastAsia="en-IN"/>
        </w:rPr>
        <w:t xml:space="preserve">It is </w:t>
      </w:r>
      <w:r w:rsidRPr="00131B9F">
        <w:rPr>
          <w:rFonts w:ascii="Times New Roman" w:eastAsia="ヒラギノ角ゴ Pro W3" w:hAnsi="Times New Roman"/>
          <w:color w:val="000000"/>
          <w:sz w:val="24"/>
          <w:lang w:eastAsia="en-IN"/>
        </w:rPr>
        <w:t xml:space="preserve">in principle available through the </w:t>
      </w:r>
      <w:proofErr w:type="spellStart"/>
      <w:r w:rsidRPr="00131B9F">
        <w:rPr>
          <w:rFonts w:ascii="Times New Roman" w:eastAsia="ヒラギノ角ゴ Pro W3" w:hAnsi="Times New Roman"/>
          <w:color w:val="000000"/>
          <w:sz w:val="24"/>
          <w:lang w:eastAsia="en-IN"/>
        </w:rPr>
        <w:t>MoE</w:t>
      </w:r>
      <w:proofErr w:type="spellEnd"/>
      <w:r w:rsidRPr="00131B9F">
        <w:rPr>
          <w:rFonts w:ascii="Times New Roman" w:eastAsia="ヒラギノ角ゴ Pro W3" w:hAnsi="Times New Roman"/>
          <w:color w:val="000000"/>
          <w:sz w:val="24"/>
          <w:lang w:eastAsia="en-IN"/>
        </w:rPr>
        <w:t xml:space="preserve"> system. </w:t>
      </w:r>
      <w:r>
        <w:rPr>
          <w:rFonts w:ascii="Times New Roman" w:eastAsia="ヒラギノ角ゴ Pro W3" w:hAnsi="Times New Roman"/>
          <w:color w:val="000000"/>
          <w:sz w:val="24"/>
          <w:lang w:eastAsia="en-IN"/>
        </w:rPr>
        <w:t xml:space="preserve">Expenditure to Health </w:t>
      </w:r>
      <w:r w:rsidR="00F70FF1">
        <w:rPr>
          <w:rFonts w:ascii="Times New Roman" w:eastAsia="ヒラギノ角ゴ Pro W3" w:hAnsi="Times New Roman"/>
          <w:color w:val="000000"/>
          <w:sz w:val="24"/>
          <w:lang w:eastAsia="en-IN"/>
        </w:rPr>
        <w:t xml:space="preserve">Centers may also be available. </w:t>
      </w:r>
      <w:r w:rsidRPr="00131B9F">
        <w:rPr>
          <w:rFonts w:ascii="Times New Roman" w:eastAsia="ヒラギノ角ゴ Pro W3" w:hAnsi="Times New Roman"/>
          <w:color w:val="000000"/>
          <w:sz w:val="24"/>
          <w:lang w:eastAsia="en-IN"/>
        </w:rPr>
        <w:t>However, no in</w:t>
      </w:r>
      <w:r>
        <w:rPr>
          <w:rFonts w:ascii="Times New Roman" w:eastAsia="ヒラギノ角ゴ Pro W3" w:hAnsi="Times New Roman"/>
          <w:color w:val="000000"/>
          <w:sz w:val="24"/>
          <w:lang w:eastAsia="en-IN"/>
        </w:rPr>
        <w:t>formation is consolidated in</w:t>
      </w:r>
      <w:r w:rsidRPr="00131B9F">
        <w:rPr>
          <w:rFonts w:ascii="Times New Roman" w:eastAsia="ヒラギノ角ゴ Pro W3" w:hAnsi="Times New Roman"/>
          <w:color w:val="000000"/>
          <w:sz w:val="24"/>
          <w:lang w:eastAsia="en-IN"/>
        </w:rPr>
        <w:t xml:space="preserve"> ministry budget reports and no other systematic reporting on actual resources received by other delivery units at other level</w:t>
      </w:r>
      <w:r>
        <w:rPr>
          <w:rFonts w:ascii="Times New Roman" w:eastAsia="ヒラギノ角ゴ Pro W3" w:hAnsi="Times New Roman"/>
          <w:color w:val="000000"/>
          <w:sz w:val="24"/>
          <w:lang w:eastAsia="en-IN"/>
        </w:rPr>
        <w:t>s</w:t>
      </w:r>
      <w:r w:rsidRPr="00131B9F">
        <w:rPr>
          <w:rFonts w:ascii="Times New Roman" w:eastAsia="ヒラギノ角ゴ Pro W3" w:hAnsi="Times New Roman"/>
          <w:color w:val="000000"/>
          <w:sz w:val="24"/>
          <w:lang w:eastAsia="en-IN"/>
        </w:rPr>
        <w:t xml:space="preserve"> is compiled</w:t>
      </w:r>
      <w:r>
        <w:rPr>
          <w:rFonts w:ascii="Times New Roman" w:eastAsia="ヒラギノ角ゴ Pro W3" w:hAnsi="Times New Roman"/>
          <w:color w:val="000000"/>
          <w:sz w:val="24"/>
          <w:lang w:eastAsia="en-IN"/>
        </w:rPr>
        <w:t>.</w:t>
      </w:r>
      <w:r w:rsidR="00F70FF1">
        <w:rPr>
          <w:rFonts w:ascii="Times New Roman" w:eastAsia="ヒラギノ角ゴ Pro W3" w:hAnsi="Times New Roman"/>
          <w:color w:val="000000"/>
          <w:sz w:val="24"/>
          <w:lang w:eastAsia="en-IN"/>
        </w:rPr>
        <w:t xml:space="preserve"> </w:t>
      </w:r>
      <w:r w:rsidRPr="00131B9F">
        <w:rPr>
          <w:rFonts w:ascii="Times New Roman" w:eastAsia="ヒラギノ角ゴ Pro W3" w:hAnsi="Times New Roman"/>
          <w:color w:val="000000"/>
          <w:sz w:val="24"/>
          <w:lang w:eastAsia="en-IN"/>
        </w:rPr>
        <w:t xml:space="preserve">Budget classification and chart of accounts do not include cost center codes at the level of government service delivery units. Ad hoc reports can be produced at the ministry level on actual government transfers to or expenditure by service delivery units, but do not include the substantial off-budget funding of service delivery through technical revenues or donors’ </w:t>
      </w:r>
      <w:r w:rsidRPr="00131B9F">
        <w:rPr>
          <w:rFonts w:ascii="Times New Roman" w:eastAsia="ヒラギノ角ゴ Pro W3" w:hAnsi="Times New Roman"/>
          <w:color w:val="000000"/>
          <w:sz w:val="24"/>
          <w:lang w:eastAsia="en-IN"/>
        </w:rPr>
        <w:lastRenderedPageBreak/>
        <w:t xml:space="preserve">funding and all fragmented sources of financing in major service functions such as health and </w:t>
      </w:r>
      <w:r w:rsidR="00F70FF1">
        <w:rPr>
          <w:rFonts w:ascii="Times New Roman" w:eastAsia="ヒラギノ角ゴ Pro W3" w:hAnsi="Times New Roman"/>
          <w:color w:val="000000"/>
          <w:sz w:val="24"/>
          <w:lang w:eastAsia="en-IN"/>
        </w:rPr>
        <w:t>education are not consolidated:</w:t>
      </w:r>
      <w:r w:rsidR="00BE2557">
        <w:rPr>
          <w:rFonts w:ascii="Times New Roman" w:eastAsia="ヒラギノ角ゴ Pro W3" w:hAnsi="Times New Roman"/>
          <w:color w:val="000000"/>
          <w:sz w:val="24"/>
          <w:lang w:eastAsia="en-IN"/>
        </w:rPr>
        <w:t xml:space="preserve"> </w:t>
      </w:r>
      <w:r w:rsidRPr="00131B9F">
        <w:rPr>
          <w:rFonts w:ascii="Times New Roman" w:eastAsia="ヒラギノ角ゴ Pro W3" w:hAnsi="Times New Roman"/>
          <w:color w:val="000000"/>
          <w:sz w:val="24"/>
          <w:lang w:eastAsia="en-IN"/>
        </w:rPr>
        <w:t>Score D.</w:t>
      </w:r>
    </w:p>
    <w:p w14:paraId="2AC4B80A" w14:textId="77777777" w:rsidR="007518E4" w:rsidRPr="00FE6ED4" w:rsidRDefault="007518E4" w:rsidP="00C86C46">
      <w:pPr>
        <w:spacing w:after="240"/>
        <w:ind w:left="0"/>
        <w:rPr>
          <w:rFonts w:ascii="Times New Roman" w:eastAsia="Calibri" w:hAnsi="Times New Roman"/>
          <w:b/>
          <w:bCs/>
          <w:color w:val="28C0DA"/>
          <w:spacing w:val="-1"/>
          <w:sz w:val="24"/>
        </w:rPr>
      </w:pPr>
      <w:r w:rsidRPr="00FE6ED4">
        <w:rPr>
          <w:rFonts w:ascii="Times New Roman" w:eastAsia="Calibri" w:hAnsi="Times New Roman"/>
          <w:b/>
          <w:bCs/>
          <w:color w:val="28C0DA"/>
          <w:spacing w:val="-1"/>
          <w:sz w:val="24"/>
        </w:rPr>
        <w:t xml:space="preserve">8.4. Performance </w:t>
      </w:r>
      <w:r>
        <w:rPr>
          <w:rFonts w:ascii="Times New Roman" w:eastAsia="Calibri" w:hAnsi="Times New Roman"/>
          <w:b/>
          <w:bCs/>
          <w:color w:val="28C0DA"/>
          <w:spacing w:val="-1"/>
          <w:sz w:val="24"/>
        </w:rPr>
        <w:t>e</w:t>
      </w:r>
      <w:r w:rsidRPr="00FE6ED4">
        <w:rPr>
          <w:rFonts w:ascii="Times New Roman" w:eastAsia="Calibri" w:hAnsi="Times New Roman"/>
          <w:b/>
          <w:bCs/>
          <w:color w:val="28C0DA"/>
          <w:spacing w:val="-1"/>
          <w:sz w:val="24"/>
        </w:rPr>
        <w:t xml:space="preserve">valuation for </w:t>
      </w:r>
      <w:r>
        <w:rPr>
          <w:rFonts w:ascii="Times New Roman" w:eastAsia="Calibri" w:hAnsi="Times New Roman"/>
          <w:b/>
          <w:bCs/>
          <w:color w:val="28C0DA"/>
          <w:spacing w:val="-1"/>
          <w:sz w:val="24"/>
        </w:rPr>
        <w:t>s</w:t>
      </w:r>
      <w:r w:rsidRPr="00FE6ED4">
        <w:rPr>
          <w:rFonts w:ascii="Times New Roman" w:eastAsia="Calibri" w:hAnsi="Times New Roman"/>
          <w:b/>
          <w:bCs/>
          <w:color w:val="28C0DA"/>
          <w:spacing w:val="-1"/>
          <w:sz w:val="24"/>
        </w:rPr>
        <w:t xml:space="preserve">ervice </w:t>
      </w:r>
      <w:r>
        <w:rPr>
          <w:rFonts w:ascii="Times New Roman" w:eastAsia="Calibri" w:hAnsi="Times New Roman"/>
          <w:b/>
          <w:bCs/>
          <w:color w:val="28C0DA"/>
          <w:spacing w:val="-1"/>
          <w:sz w:val="24"/>
        </w:rPr>
        <w:t>d</w:t>
      </w:r>
      <w:r w:rsidRPr="00FE6ED4">
        <w:rPr>
          <w:rFonts w:ascii="Times New Roman" w:eastAsia="Calibri" w:hAnsi="Times New Roman"/>
          <w:b/>
          <w:bCs/>
          <w:color w:val="28C0DA"/>
          <w:spacing w:val="-1"/>
          <w:sz w:val="24"/>
        </w:rPr>
        <w:t xml:space="preserve">elivery </w:t>
      </w:r>
    </w:p>
    <w:p w14:paraId="57D518BF" w14:textId="77777777" w:rsidR="007518E4" w:rsidRPr="00532181"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eastAsia="ヒラギノ角ゴ Pro W3" w:hAnsi="Times New Roman"/>
          <w:b/>
          <w:color w:val="000000"/>
          <w:sz w:val="24"/>
          <w:lang w:eastAsia="en-IN"/>
        </w:rPr>
        <w:t>Evaluation of service delivery performance in Lao PDR takes place at various levels and is fragmented among various stakeholders.</w:t>
      </w:r>
      <w:r w:rsidRPr="00532181">
        <w:rPr>
          <w:rFonts w:ascii="Times New Roman" w:eastAsia="ヒラギノ角ゴ Pro W3" w:hAnsi="Times New Roman"/>
          <w:color w:val="000000"/>
          <w:sz w:val="24"/>
          <w:lang w:eastAsia="en-IN"/>
        </w:rPr>
        <w:t xml:space="preserve"> There is no government performance measurement framework based on annual reviews of achievement on the program performance indicators reflected in the budget</w:t>
      </w:r>
      <w:r>
        <w:rPr>
          <w:rFonts w:ascii="Times New Roman" w:eastAsia="ヒラギノ角ゴ Pro W3" w:hAnsi="Times New Roman"/>
          <w:color w:val="000000"/>
          <w:sz w:val="24"/>
          <w:lang w:eastAsia="en-IN"/>
        </w:rPr>
        <w:t>.  T</w:t>
      </w:r>
      <w:r w:rsidRPr="00532181">
        <w:rPr>
          <w:rFonts w:ascii="Times New Roman" w:eastAsia="ヒラギノ角ゴ Pro W3" w:hAnsi="Times New Roman"/>
          <w:color w:val="000000"/>
          <w:sz w:val="24"/>
          <w:lang w:eastAsia="en-IN"/>
        </w:rPr>
        <w:t>he Monitoring and Evaluation function in ministries is still limited to the annual planning and reporting</w:t>
      </w:r>
      <w:r>
        <w:rPr>
          <w:rFonts w:ascii="Times New Roman" w:eastAsia="ヒラギノ角ゴ Pro W3" w:hAnsi="Times New Roman"/>
          <w:color w:val="000000"/>
          <w:sz w:val="24"/>
          <w:lang w:eastAsia="en-IN"/>
        </w:rPr>
        <w:t xml:space="preserve"> activities</w:t>
      </w:r>
      <w:r w:rsidRPr="00532181">
        <w:rPr>
          <w:rFonts w:ascii="Times New Roman" w:eastAsia="ヒラギノ角ゴ Pro W3" w:hAnsi="Times New Roman"/>
          <w:color w:val="000000"/>
          <w:sz w:val="24"/>
          <w:lang w:eastAsia="en-IN"/>
        </w:rPr>
        <w:t xml:space="preserve">. Information on performance to the ministry for the annual planning process is often too general at outcome level or activity-based and </w:t>
      </w:r>
      <w:r>
        <w:rPr>
          <w:rFonts w:ascii="Times New Roman" w:eastAsia="ヒラギノ角ゴ Pro W3" w:hAnsi="Times New Roman"/>
          <w:color w:val="000000"/>
          <w:sz w:val="24"/>
          <w:lang w:eastAsia="en-IN"/>
        </w:rPr>
        <w:t xml:space="preserve">is not </w:t>
      </w:r>
      <w:r w:rsidRPr="00532181">
        <w:rPr>
          <w:rFonts w:ascii="Times New Roman" w:eastAsia="ヒラギノ角ゴ Pro W3" w:hAnsi="Times New Roman"/>
          <w:color w:val="000000"/>
          <w:sz w:val="24"/>
          <w:lang w:eastAsia="en-IN"/>
        </w:rPr>
        <w:t>SMART</w:t>
      </w:r>
      <w:r>
        <w:rPr>
          <w:rFonts w:ascii="Times New Roman" w:eastAsia="ヒラギノ角ゴ Pro W3" w:hAnsi="Times New Roman"/>
          <w:color w:val="000000"/>
          <w:sz w:val="24"/>
          <w:lang w:eastAsia="en-IN"/>
        </w:rPr>
        <w:t xml:space="preserve"> and thus </w:t>
      </w:r>
      <w:r w:rsidRPr="00532181">
        <w:rPr>
          <w:rFonts w:ascii="Times New Roman" w:eastAsia="ヒラギノ角ゴ Pro W3" w:hAnsi="Times New Roman"/>
          <w:color w:val="000000"/>
          <w:sz w:val="24"/>
          <w:lang w:eastAsia="en-IN"/>
        </w:rPr>
        <w:t>not verifiable. DPs rely on their own tools and monitoring activities to m</w:t>
      </w:r>
      <w:r>
        <w:rPr>
          <w:rFonts w:ascii="Times New Roman" w:eastAsia="ヒラギノ角ゴ Pro W3" w:hAnsi="Times New Roman"/>
          <w:color w:val="000000"/>
          <w:sz w:val="24"/>
          <w:lang w:eastAsia="en-IN"/>
        </w:rPr>
        <w:t>easure progress and performance.  While</w:t>
      </w:r>
      <w:r w:rsidRPr="00532181">
        <w:rPr>
          <w:rFonts w:ascii="Times New Roman" w:eastAsia="ヒラギノ角ゴ Pro W3" w:hAnsi="Times New Roman"/>
          <w:color w:val="000000"/>
          <w:sz w:val="24"/>
          <w:lang w:eastAsia="en-IN"/>
        </w:rPr>
        <w:t xml:space="preserve"> each of these mechanisms contributes to monitoring effective deli</w:t>
      </w:r>
      <w:r>
        <w:rPr>
          <w:rFonts w:ascii="Times New Roman" w:eastAsia="ヒラギノ角ゴ Pro W3" w:hAnsi="Times New Roman"/>
          <w:color w:val="000000"/>
          <w:sz w:val="24"/>
          <w:lang w:eastAsia="en-IN"/>
        </w:rPr>
        <w:t>very of outputs and activities,</w:t>
      </w:r>
      <w:r w:rsidRPr="00532181">
        <w:rPr>
          <w:rFonts w:ascii="Times New Roman" w:eastAsia="ヒラギノ角ゴ Pro W3" w:hAnsi="Times New Roman"/>
          <w:color w:val="000000"/>
          <w:sz w:val="24"/>
          <w:lang w:eastAsia="en-IN"/>
        </w:rPr>
        <w:t xml:space="preserve"> none of them include a consistent evaluation of efficiency</w:t>
      </w:r>
      <w:r>
        <w:rPr>
          <w:rFonts w:ascii="Times New Roman" w:eastAsia="ヒラギノ角ゴ Pro W3" w:hAnsi="Times New Roman"/>
          <w:color w:val="000000"/>
          <w:sz w:val="24"/>
          <w:lang w:eastAsia="en-IN"/>
        </w:rPr>
        <w:t>.  Moreover,</w:t>
      </w:r>
      <w:r w:rsidRPr="00532181">
        <w:rPr>
          <w:rFonts w:ascii="Times New Roman" w:eastAsia="ヒラギノ角ゴ Pro W3" w:hAnsi="Times New Roman"/>
          <w:color w:val="000000"/>
          <w:sz w:val="24"/>
          <w:lang w:eastAsia="en-IN"/>
        </w:rPr>
        <w:t xml:space="preserve"> none of these evaluation reports are published.</w:t>
      </w:r>
    </w:p>
    <w:p w14:paraId="25232B4F" w14:textId="77777777" w:rsidR="007518E4" w:rsidRPr="00532181"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eastAsia="ヒラギノ角ゴ Pro W3" w:hAnsi="Times New Roman"/>
          <w:b/>
          <w:color w:val="000000"/>
          <w:sz w:val="24"/>
          <w:lang w:eastAsia="en-IN"/>
        </w:rPr>
        <w:t>The performance assessments carried out in the 2014-2017 period in the Health sector serve as an illustration</w:t>
      </w:r>
      <w:r w:rsidR="00F70FF1">
        <w:rPr>
          <w:rFonts w:ascii="Times New Roman" w:eastAsia="ヒラギノ角ゴ Pro W3" w:hAnsi="Times New Roman"/>
          <w:color w:val="000000"/>
          <w:sz w:val="24"/>
          <w:lang w:eastAsia="en-IN"/>
        </w:rPr>
        <w:t xml:space="preserve">. </w:t>
      </w:r>
      <w:r w:rsidR="00C86C46">
        <w:rPr>
          <w:rFonts w:ascii="Times New Roman" w:eastAsia="ヒラギノ角ゴ Pro W3" w:hAnsi="Times New Roman"/>
          <w:color w:val="000000"/>
          <w:sz w:val="24"/>
          <w:lang w:eastAsia="en-IN"/>
        </w:rPr>
        <w:t>These include</w:t>
      </w:r>
      <w:r w:rsidRPr="00532181">
        <w:rPr>
          <w:rFonts w:ascii="Times New Roman" w:eastAsia="ヒラギノ角ゴ Pro W3" w:hAnsi="Times New Roman"/>
          <w:color w:val="000000"/>
          <w:sz w:val="24"/>
          <w:lang w:eastAsia="en-IN"/>
        </w:rPr>
        <w:t>:</w:t>
      </w:r>
      <w:r w:rsidRPr="00532181">
        <w:rPr>
          <w:rFonts w:ascii="Times New Roman" w:eastAsia="ヒラギノ角ゴ Pro W3" w:hAnsi="Times New Roman"/>
          <w:color w:val="000000" w:themeColor="text1"/>
          <w:sz w:val="24"/>
          <w:lang w:eastAsia="en-IN"/>
        </w:rPr>
        <w:t xml:space="preserve"> </w:t>
      </w:r>
      <w:r>
        <w:rPr>
          <w:rFonts w:ascii="Times New Roman" w:eastAsia="ヒラギノ角ゴ Pro W3" w:hAnsi="Times New Roman"/>
          <w:color w:val="000000" w:themeColor="text1"/>
          <w:sz w:val="24"/>
          <w:lang w:eastAsia="en-IN"/>
        </w:rPr>
        <w:t xml:space="preserve">the last government 2015 </w:t>
      </w:r>
      <w:r w:rsidRPr="00532181">
        <w:rPr>
          <w:rFonts w:ascii="Times New Roman" w:eastAsia="ヒラギノ角ゴ Pro W3" w:hAnsi="Times New Roman"/>
          <w:color w:val="000000" w:themeColor="text1"/>
          <w:sz w:val="24"/>
          <w:lang w:eastAsia="en-IN"/>
        </w:rPr>
        <w:t xml:space="preserve">census, </w:t>
      </w:r>
      <w:r w:rsidRPr="00532181">
        <w:rPr>
          <w:rFonts w:ascii="Times New Roman" w:hAnsi="Times New Roman"/>
          <w:color w:val="000000" w:themeColor="text1"/>
          <w:sz w:val="24"/>
        </w:rPr>
        <w:t>the 2014 Service Availability and Readiness Assessment (SARA),</w:t>
      </w:r>
      <w:r w:rsidRPr="00532181">
        <w:rPr>
          <w:rFonts w:ascii="Times New Roman" w:eastAsia="ヒラギノ角ゴ Pro W3" w:hAnsi="Times New Roman"/>
          <w:color w:val="000000" w:themeColor="text1"/>
          <w:sz w:val="24"/>
          <w:lang w:eastAsia="en-IN"/>
        </w:rPr>
        <w:t xml:space="preserve"> </w:t>
      </w:r>
      <w:r w:rsidRPr="00532181">
        <w:rPr>
          <w:rFonts w:ascii="Times New Roman" w:hAnsi="Times New Roman"/>
          <w:color w:val="000000" w:themeColor="text1"/>
          <w:sz w:val="24"/>
        </w:rPr>
        <w:t>PFM in the Health Sector in Lao PDR – Service Delivery Challenges and Opportunities (WB, 2018), Government expenditure on Health in Lao PDR (recent trends and findings from a health center survey (W</w:t>
      </w:r>
      <w:r w:rsidR="00C86C46">
        <w:rPr>
          <w:rFonts w:ascii="Times New Roman" w:hAnsi="Times New Roman"/>
          <w:color w:val="000000" w:themeColor="text1"/>
          <w:sz w:val="24"/>
        </w:rPr>
        <w:t>B, 2016)</w:t>
      </w:r>
      <w:r w:rsidRPr="00532181">
        <w:rPr>
          <w:rFonts w:ascii="Times New Roman" w:hAnsi="Times New Roman"/>
          <w:color w:val="000000" w:themeColor="text1"/>
          <w:sz w:val="24"/>
        </w:rPr>
        <w:t xml:space="preserve">. </w:t>
      </w:r>
    </w:p>
    <w:p w14:paraId="514139F5" w14:textId="77777777" w:rsidR="007518E4" w:rsidRPr="00532181"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C86C46">
        <w:rPr>
          <w:rFonts w:ascii="Times New Roman" w:eastAsia="ヒラギノ角ゴ Pro W3" w:hAnsi="Times New Roman"/>
          <w:b/>
          <w:color w:val="000000"/>
          <w:sz w:val="24"/>
          <w:lang w:eastAsia="en-IN"/>
        </w:rPr>
        <w:t>A few performance audits are said to have been carried out by the SAO during the past three years but are not accessible</w:t>
      </w:r>
      <w:r w:rsidR="00844E6D">
        <w:rPr>
          <w:rFonts w:ascii="Times New Roman" w:eastAsia="ヒラギノ角ゴ Pro W3" w:hAnsi="Times New Roman"/>
          <w:b/>
          <w:color w:val="000000"/>
          <w:sz w:val="24"/>
          <w:lang w:eastAsia="en-IN"/>
        </w:rPr>
        <w:t xml:space="preserve">. </w:t>
      </w:r>
      <w:r w:rsidR="00844E6D" w:rsidRPr="00844E6D">
        <w:rPr>
          <w:rFonts w:ascii="Times New Roman" w:eastAsia="ヒラギノ角ゴ Pro W3" w:hAnsi="Times New Roman"/>
          <w:color w:val="000000"/>
          <w:sz w:val="24"/>
          <w:lang w:eastAsia="en-IN"/>
        </w:rPr>
        <w:t>The</w:t>
      </w:r>
      <w:r w:rsidRPr="00844E6D">
        <w:rPr>
          <w:rFonts w:ascii="Times New Roman" w:eastAsia="ヒラギノ角ゴ Pro W3" w:hAnsi="Times New Roman"/>
          <w:color w:val="000000"/>
          <w:sz w:val="24"/>
          <w:lang w:eastAsia="en-IN"/>
        </w:rPr>
        <w:t xml:space="preserve"> </w:t>
      </w:r>
      <w:r w:rsidRPr="00532181">
        <w:rPr>
          <w:rFonts w:ascii="Times New Roman" w:eastAsia="ヒラギノ角ゴ Pro W3" w:hAnsi="Times New Roman"/>
          <w:color w:val="000000"/>
          <w:sz w:val="24"/>
          <w:lang w:eastAsia="en-IN"/>
        </w:rPr>
        <w:t>capacity of the SAO staff to conduct performance audits is still very limited.</w:t>
      </w:r>
    </w:p>
    <w:p w14:paraId="4E59580D"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b/>
          <w:color w:val="000000"/>
          <w:sz w:val="24"/>
          <w:lang w:eastAsia="en-IN"/>
        </w:rPr>
      </w:pPr>
      <w:r w:rsidRPr="00844E6D">
        <w:rPr>
          <w:rFonts w:ascii="Times New Roman" w:eastAsia="ヒラギノ角ゴ Pro W3" w:hAnsi="Times New Roman"/>
          <w:b/>
          <w:color w:val="000000"/>
          <w:sz w:val="24"/>
          <w:lang w:eastAsia="en-IN"/>
        </w:rPr>
        <w:t>Several performance evaluations of service delivery in Lao PDR have been carried out in the last three years, mostly through DPs’ assistance but not necessarily published and do not systematically include evaluation of efficiency.</w:t>
      </w:r>
      <w:r w:rsidRPr="00221D11">
        <w:rPr>
          <w:rFonts w:ascii="Times New Roman" w:eastAsia="ヒラギノ角ゴ Pro W3" w:hAnsi="Times New Roman"/>
          <w:color w:val="000000"/>
          <w:sz w:val="24"/>
          <w:lang w:eastAsia="en-IN"/>
        </w:rPr>
        <w:t xml:space="preserve"> Evaluations of effectiveness and efficiency have been carried out for a few donor-funded programs during the past 3 years in terms of performance audits and published, but not covering more than 25% of the total of service delivery ministry in the last three years: Score </w:t>
      </w:r>
      <w:r>
        <w:rPr>
          <w:rFonts w:ascii="Times New Roman" w:eastAsia="ヒラギノ角ゴ Pro W3" w:hAnsi="Times New Roman"/>
          <w:color w:val="000000"/>
          <w:sz w:val="24"/>
          <w:lang w:eastAsia="en-IN"/>
        </w:rPr>
        <w:t>D</w:t>
      </w:r>
      <w:r w:rsidRPr="00532181">
        <w:rPr>
          <w:rFonts w:ascii="Times New Roman" w:eastAsia="ヒラギノ角ゴ Pro W3" w:hAnsi="Times New Roman"/>
          <w:b/>
          <w:color w:val="000000"/>
          <w:sz w:val="24"/>
          <w:lang w:eastAsia="en-IN"/>
        </w:rPr>
        <w:t>.</w:t>
      </w:r>
    </w:p>
    <w:p w14:paraId="5493C1B7" w14:textId="77777777" w:rsidR="007518E4" w:rsidRPr="00FE6ED4" w:rsidRDefault="007518E4" w:rsidP="00844E6D">
      <w:pPr>
        <w:pStyle w:val="Heading3"/>
        <w:spacing w:after="240"/>
        <w:ind w:left="0"/>
        <w:rPr>
          <w:rFonts w:ascii="Times New Roman" w:eastAsia="Calibri" w:hAnsi="Times New Roman"/>
          <w:b w:val="0"/>
          <w:bCs w:val="0"/>
          <w:color w:val="28C0DA"/>
          <w:spacing w:val="-1"/>
          <w:szCs w:val="28"/>
        </w:rPr>
      </w:pPr>
      <w:bookmarkStart w:id="52" w:name="_Toc518901791"/>
      <w:bookmarkStart w:id="53" w:name="_Toc4148986"/>
      <w:r w:rsidRPr="00FE6ED4">
        <w:rPr>
          <w:rFonts w:ascii="Times New Roman" w:eastAsia="Calibri" w:hAnsi="Times New Roman"/>
          <w:color w:val="28C0DA"/>
          <w:spacing w:val="-1"/>
          <w:szCs w:val="28"/>
        </w:rPr>
        <w:t xml:space="preserve">PI-9. Public </w:t>
      </w:r>
      <w:r>
        <w:rPr>
          <w:rFonts w:ascii="Times New Roman" w:eastAsia="Calibri" w:hAnsi="Times New Roman"/>
          <w:color w:val="28C0DA"/>
          <w:spacing w:val="-1"/>
          <w:szCs w:val="28"/>
        </w:rPr>
        <w:t>a</w:t>
      </w:r>
      <w:r w:rsidRPr="00FE6ED4">
        <w:rPr>
          <w:rFonts w:ascii="Times New Roman" w:eastAsia="Calibri" w:hAnsi="Times New Roman"/>
          <w:color w:val="28C0DA"/>
          <w:spacing w:val="-1"/>
          <w:szCs w:val="28"/>
        </w:rPr>
        <w:t xml:space="preserve">ccess </w:t>
      </w:r>
      <w:r>
        <w:rPr>
          <w:rFonts w:ascii="Times New Roman" w:eastAsia="Calibri" w:hAnsi="Times New Roman"/>
          <w:color w:val="28C0DA"/>
          <w:spacing w:val="-1"/>
          <w:szCs w:val="28"/>
        </w:rPr>
        <w:t>t</w:t>
      </w:r>
      <w:r w:rsidRPr="00FE6ED4">
        <w:rPr>
          <w:rFonts w:ascii="Times New Roman" w:eastAsia="Calibri" w:hAnsi="Times New Roman"/>
          <w:color w:val="28C0DA"/>
          <w:spacing w:val="-1"/>
          <w:szCs w:val="28"/>
        </w:rPr>
        <w:t xml:space="preserve">o </w:t>
      </w:r>
      <w:r>
        <w:rPr>
          <w:rFonts w:ascii="Times New Roman" w:eastAsia="Calibri" w:hAnsi="Times New Roman"/>
          <w:color w:val="28C0DA"/>
          <w:spacing w:val="-1"/>
          <w:szCs w:val="28"/>
        </w:rPr>
        <w:t>f</w:t>
      </w:r>
      <w:r w:rsidRPr="00FE6ED4">
        <w:rPr>
          <w:rFonts w:ascii="Times New Roman" w:eastAsia="Calibri" w:hAnsi="Times New Roman"/>
          <w:color w:val="28C0DA"/>
          <w:spacing w:val="-1"/>
          <w:szCs w:val="28"/>
        </w:rPr>
        <w:t xml:space="preserve">iscal </w:t>
      </w:r>
      <w:r>
        <w:rPr>
          <w:rFonts w:ascii="Times New Roman" w:eastAsia="Calibri" w:hAnsi="Times New Roman"/>
          <w:color w:val="28C0DA"/>
          <w:spacing w:val="-1"/>
          <w:szCs w:val="28"/>
        </w:rPr>
        <w:t>i</w:t>
      </w:r>
      <w:r w:rsidRPr="00FE6ED4">
        <w:rPr>
          <w:rFonts w:ascii="Times New Roman" w:eastAsia="Calibri" w:hAnsi="Times New Roman"/>
          <w:color w:val="28C0DA"/>
          <w:spacing w:val="-1"/>
          <w:szCs w:val="28"/>
        </w:rPr>
        <w:t>nformation</w:t>
      </w:r>
      <w:bookmarkEnd w:id="52"/>
      <w:bookmarkEnd w:id="53"/>
    </w:p>
    <w:p w14:paraId="437B5EE6" w14:textId="77777777" w:rsidR="007518E4"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844E6D">
        <w:rPr>
          <w:rFonts w:ascii="Times New Roman" w:hAnsi="Times New Roman"/>
          <w:b/>
          <w:sz w:val="24"/>
        </w:rPr>
        <w:t>The indicator evaluates comprehensiveness of fiscal information available to the public.</w:t>
      </w:r>
      <w:r w:rsidRPr="00FE6ED4">
        <w:rPr>
          <w:rFonts w:ascii="Times New Roman" w:hAnsi="Times New Roman"/>
          <w:sz w:val="24"/>
        </w:rPr>
        <w:t xml:space="preserve"> This information is important for the public. At the same time, transparency of fiscal information implies its easy access, without restrictions (registration and fee).</w:t>
      </w:r>
      <w:r>
        <w:rPr>
          <w:rFonts w:ascii="Times New Roman" w:hAnsi="Times New Roman"/>
          <w:sz w:val="24"/>
        </w:rPr>
        <w:t xml:space="preserve">  The </w:t>
      </w:r>
      <w:proofErr w:type="gramStart"/>
      <w:r>
        <w:rPr>
          <w:rFonts w:ascii="Times New Roman" w:hAnsi="Times New Roman"/>
          <w:sz w:val="24"/>
        </w:rPr>
        <w:t>time period</w:t>
      </w:r>
      <w:proofErr w:type="gramEnd"/>
      <w:r>
        <w:rPr>
          <w:rFonts w:ascii="Times New Roman" w:hAnsi="Times New Roman"/>
          <w:sz w:val="24"/>
        </w:rPr>
        <w:t xml:space="preserve"> is last completed fiscal year and the coverage is Budgetary </w:t>
      </w:r>
      <w:r w:rsidRPr="001964B6">
        <w:rPr>
          <w:rFonts w:ascii="Times New Roman" w:hAnsi="Times New Roman"/>
          <w:sz w:val="24"/>
        </w:rPr>
        <w:t>C</w:t>
      </w:r>
      <w:r>
        <w:rPr>
          <w:rFonts w:ascii="Times New Roman" w:hAnsi="Times New Roman"/>
          <w:sz w:val="24"/>
        </w:rPr>
        <w:t xml:space="preserve">entral </w:t>
      </w:r>
      <w:r w:rsidRPr="001964B6">
        <w:rPr>
          <w:rFonts w:ascii="Times New Roman" w:hAnsi="Times New Roman"/>
          <w:sz w:val="24"/>
        </w:rPr>
        <w:t>G</w:t>
      </w:r>
      <w:r>
        <w:rPr>
          <w:rFonts w:ascii="Times New Roman" w:hAnsi="Times New Roman"/>
          <w:sz w:val="24"/>
        </w:rPr>
        <w:t>overnment.</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5"/>
        <w:gridCol w:w="1272"/>
        <w:gridCol w:w="4930"/>
      </w:tblGrid>
      <w:tr w:rsidR="007518E4" w:rsidRPr="00640136" w14:paraId="193A7F9E" w14:textId="77777777" w:rsidTr="00F70FF1">
        <w:trPr>
          <w:trHeight w:val="458"/>
          <w:jc w:val="center"/>
        </w:trPr>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F47A17" w14:textId="77777777" w:rsidR="007518E4" w:rsidRPr="00640136" w:rsidRDefault="007518E4" w:rsidP="00F70FF1">
            <w:pPr>
              <w:spacing w:before="40" w:after="40" w:line="256" w:lineRule="auto"/>
              <w:ind w:hanging="449"/>
              <w:jc w:val="center"/>
              <w:rPr>
                <w:rFonts w:ascii="Times New Roman" w:hAnsi="Times New Roman"/>
                <w:b/>
                <w:sz w:val="20"/>
                <w:szCs w:val="20"/>
              </w:rPr>
            </w:pPr>
            <w:r w:rsidRPr="00640136">
              <w:rPr>
                <w:rFonts w:ascii="Times New Roman" w:hAnsi="Times New Roman"/>
                <w:b/>
                <w:sz w:val="20"/>
                <w:szCs w:val="20"/>
              </w:rPr>
              <w:t>Indicator/Dimension</w:t>
            </w:r>
          </w:p>
        </w:tc>
        <w:tc>
          <w:tcPr>
            <w:tcW w:w="71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FCAAB5" w14:textId="77777777" w:rsidR="007518E4" w:rsidRPr="00640136" w:rsidRDefault="007518E4" w:rsidP="00F70FF1">
            <w:pPr>
              <w:spacing w:before="40" w:after="40" w:line="256" w:lineRule="auto"/>
              <w:ind w:left="0" w:hanging="449"/>
              <w:jc w:val="center"/>
              <w:rPr>
                <w:rFonts w:ascii="Times New Roman" w:hAnsi="Times New Roman"/>
                <w:b/>
                <w:sz w:val="20"/>
                <w:szCs w:val="20"/>
              </w:rPr>
            </w:pPr>
            <w:r w:rsidRPr="00640136">
              <w:rPr>
                <w:rFonts w:ascii="Times New Roman" w:hAnsi="Times New Roman"/>
                <w:b/>
                <w:sz w:val="20"/>
                <w:szCs w:val="20"/>
              </w:rPr>
              <w:t>Score</w:t>
            </w:r>
          </w:p>
        </w:tc>
        <w:tc>
          <w:tcPr>
            <w:tcW w:w="2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2DC063" w14:textId="77777777" w:rsidR="007518E4" w:rsidRPr="00640136" w:rsidRDefault="007518E4" w:rsidP="00F70FF1">
            <w:pPr>
              <w:spacing w:before="40" w:after="40" w:line="256" w:lineRule="auto"/>
              <w:ind w:hanging="449"/>
              <w:jc w:val="center"/>
              <w:rPr>
                <w:rFonts w:ascii="Times New Roman" w:hAnsi="Times New Roman"/>
                <w:b/>
                <w:sz w:val="20"/>
                <w:szCs w:val="20"/>
              </w:rPr>
            </w:pPr>
            <w:r w:rsidRPr="00640136">
              <w:rPr>
                <w:rFonts w:ascii="Times New Roman" w:hAnsi="Times New Roman"/>
                <w:b/>
                <w:sz w:val="20"/>
                <w:szCs w:val="20"/>
              </w:rPr>
              <w:t>Brief Explanation</w:t>
            </w:r>
          </w:p>
        </w:tc>
      </w:tr>
      <w:tr w:rsidR="007518E4" w:rsidRPr="00640136" w14:paraId="69F55AE1" w14:textId="77777777" w:rsidTr="00F70FF1">
        <w:trPr>
          <w:trHeight w:val="890"/>
          <w:jc w:val="center"/>
        </w:trPr>
        <w:tc>
          <w:tcPr>
            <w:tcW w:w="1499" w:type="pct"/>
            <w:tcBorders>
              <w:top w:val="single" w:sz="4" w:space="0" w:color="auto"/>
              <w:left w:val="single" w:sz="4" w:space="0" w:color="auto"/>
              <w:bottom w:val="single" w:sz="4" w:space="0" w:color="auto"/>
              <w:right w:val="single" w:sz="4" w:space="0" w:color="auto"/>
            </w:tcBorders>
            <w:vAlign w:val="center"/>
            <w:hideMark/>
          </w:tcPr>
          <w:p w14:paraId="743E885E" w14:textId="77777777" w:rsidR="007518E4" w:rsidRPr="009C1D13" w:rsidRDefault="007518E4" w:rsidP="00844E6D">
            <w:pPr>
              <w:spacing w:before="40" w:after="40" w:line="256" w:lineRule="auto"/>
              <w:ind w:left="0"/>
              <w:jc w:val="left"/>
              <w:rPr>
                <w:rFonts w:ascii="Times New Roman" w:hAnsi="Times New Roman"/>
                <w:sz w:val="20"/>
                <w:szCs w:val="20"/>
              </w:rPr>
            </w:pPr>
            <w:r w:rsidRPr="009C1D13">
              <w:rPr>
                <w:rFonts w:ascii="Times New Roman" w:hAnsi="Times New Roman"/>
                <w:sz w:val="20"/>
                <w:szCs w:val="20"/>
              </w:rPr>
              <w:t>PI-9 Public access to fiscal information</w:t>
            </w:r>
          </w:p>
        </w:tc>
        <w:tc>
          <w:tcPr>
            <w:tcW w:w="718" w:type="pct"/>
            <w:tcBorders>
              <w:top w:val="single" w:sz="4" w:space="0" w:color="auto"/>
              <w:left w:val="single" w:sz="4" w:space="0" w:color="auto"/>
              <w:bottom w:val="single" w:sz="4" w:space="0" w:color="auto"/>
              <w:right w:val="single" w:sz="4" w:space="0" w:color="auto"/>
            </w:tcBorders>
            <w:vAlign w:val="center"/>
          </w:tcPr>
          <w:p w14:paraId="1E02724A" w14:textId="77777777" w:rsidR="007518E4" w:rsidRPr="009C1D13" w:rsidRDefault="007518E4" w:rsidP="00844E6D">
            <w:pPr>
              <w:spacing w:before="40" w:after="40" w:line="256" w:lineRule="auto"/>
              <w:ind w:left="0"/>
              <w:jc w:val="center"/>
              <w:rPr>
                <w:rFonts w:ascii="Times New Roman" w:hAnsi="Times New Roman"/>
                <w:sz w:val="20"/>
                <w:szCs w:val="20"/>
              </w:rPr>
            </w:pPr>
            <w:r w:rsidRPr="009C1D13">
              <w:rPr>
                <w:rFonts w:ascii="Times New Roman" w:hAnsi="Times New Roman"/>
                <w:sz w:val="20"/>
                <w:szCs w:val="20"/>
              </w:rPr>
              <w:t>D</w:t>
            </w:r>
          </w:p>
        </w:tc>
        <w:tc>
          <w:tcPr>
            <w:tcW w:w="2784" w:type="pct"/>
            <w:tcBorders>
              <w:top w:val="single" w:sz="4" w:space="0" w:color="auto"/>
              <w:left w:val="single" w:sz="4" w:space="0" w:color="auto"/>
              <w:bottom w:val="single" w:sz="4" w:space="0" w:color="auto"/>
              <w:right w:val="single" w:sz="4" w:space="0" w:color="auto"/>
            </w:tcBorders>
            <w:vAlign w:val="center"/>
            <w:hideMark/>
          </w:tcPr>
          <w:p w14:paraId="5EE74956" w14:textId="77777777" w:rsidR="007518E4" w:rsidRPr="00640136" w:rsidRDefault="007518E4" w:rsidP="00844E6D">
            <w:pPr>
              <w:spacing w:before="60" w:after="60" w:line="264" w:lineRule="auto"/>
              <w:ind w:left="0"/>
              <w:rPr>
                <w:rFonts w:ascii="Times New Roman" w:hAnsi="Times New Roman"/>
                <w:sz w:val="20"/>
                <w:szCs w:val="20"/>
              </w:rPr>
            </w:pPr>
            <w:r>
              <w:rPr>
                <w:rFonts w:ascii="Times New Roman" w:eastAsia="ヒラギノ角ゴ Pro W3" w:hAnsi="Times New Roman"/>
                <w:color w:val="000000"/>
                <w:szCs w:val="20"/>
                <w:lang w:eastAsia="en-IN"/>
              </w:rPr>
              <w:t>The government mak</w:t>
            </w:r>
            <w:r w:rsidRPr="003C7902">
              <w:rPr>
                <w:rFonts w:ascii="Times New Roman" w:eastAsia="ヒラギノ角ゴ Pro W3" w:hAnsi="Times New Roman"/>
                <w:color w:val="000000"/>
                <w:szCs w:val="20"/>
                <w:lang w:eastAsia="en-IN"/>
              </w:rPr>
              <w:t>e</w:t>
            </w:r>
            <w:r>
              <w:rPr>
                <w:rFonts w:ascii="Times New Roman" w:eastAsia="ヒラギノ角ゴ Pro W3" w:hAnsi="Times New Roman"/>
                <w:color w:val="000000"/>
                <w:szCs w:val="20"/>
                <w:lang w:eastAsia="en-IN"/>
              </w:rPr>
              <w:t>s</w:t>
            </w:r>
            <w:r w:rsidRPr="003C7902">
              <w:rPr>
                <w:rFonts w:ascii="Times New Roman" w:eastAsia="ヒラギノ角ゴ Pro W3" w:hAnsi="Times New Roman"/>
                <w:color w:val="000000"/>
                <w:szCs w:val="20"/>
                <w:lang w:eastAsia="en-IN"/>
              </w:rPr>
              <w:t xml:space="preserve"> available two of the five basic elements </w:t>
            </w:r>
            <w:r>
              <w:rPr>
                <w:rFonts w:ascii="Times New Roman" w:eastAsia="ヒラギノ角ゴ Pro W3" w:hAnsi="Times New Roman"/>
                <w:color w:val="000000"/>
                <w:szCs w:val="20"/>
                <w:lang w:eastAsia="en-IN"/>
              </w:rPr>
              <w:t>only but</w:t>
            </w:r>
            <w:r w:rsidRPr="003C7902">
              <w:rPr>
                <w:rFonts w:ascii="Times New Roman" w:eastAsia="ヒラギノ角ゴ Pro W3" w:hAnsi="Times New Roman"/>
                <w:color w:val="000000"/>
                <w:szCs w:val="20"/>
                <w:lang w:eastAsia="en-IN"/>
              </w:rPr>
              <w:t xml:space="preserve"> not in a timely manner</w:t>
            </w:r>
            <w:r>
              <w:rPr>
                <w:rFonts w:ascii="Times New Roman" w:eastAsia="ヒラギノ角ゴ Pro W3" w:hAnsi="Times New Roman"/>
                <w:color w:val="000000"/>
                <w:szCs w:val="20"/>
                <w:lang w:eastAsia="en-IN"/>
              </w:rPr>
              <w:t xml:space="preserve"> so none of the elements meet the scoring criteria.</w:t>
            </w:r>
          </w:p>
        </w:tc>
      </w:tr>
    </w:tbl>
    <w:p w14:paraId="04AC667F" w14:textId="77777777" w:rsidR="007518E4" w:rsidRPr="007604FD"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844E6D">
        <w:rPr>
          <w:rFonts w:ascii="Times New Roman" w:hAnsi="Times New Roman"/>
          <w:b/>
        </w:rPr>
        <w:t>Table 3-9 shows the nine elements determining the assessment of public access to key fiscal information, with the assessment of each key element</w:t>
      </w:r>
      <w:r w:rsidRPr="00640136">
        <w:rPr>
          <w:rFonts w:ascii="Times New Roman" w:hAnsi="Times New Roman"/>
        </w:rPr>
        <w:t>.</w:t>
      </w:r>
    </w:p>
    <w:p w14:paraId="64E4DA2B" w14:textId="77777777" w:rsidR="007518E4" w:rsidRPr="00844E6D" w:rsidRDefault="007518E4" w:rsidP="00F70FF1">
      <w:pPr>
        <w:ind w:hanging="539"/>
        <w:jc w:val="center"/>
        <w:rPr>
          <w:rFonts w:ascii="Times New Roman" w:hAnsi="Times New Roman"/>
          <w:b/>
          <w:color w:val="000000" w:themeColor="text1"/>
        </w:rPr>
      </w:pPr>
      <w:bookmarkStart w:id="54" w:name="_Toc473816598"/>
      <w:bookmarkStart w:id="55" w:name="_Toc465083489"/>
      <w:r w:rsidRPr="00844E6D">
        <w:rPr>
          <w:rFonts w:ascii="Times New Roman" w:hAnsi="Times New Roman"/>
          <w:b/>
          <w:color w:val="000000" w:themeColor="text1"/>
        </w:rPr>
        <w:t>Table 3-9: Public Access to Key Fiscal Information</w:t>
      </w:r>
      <w:bookmarkEnd w:id="54"/>
      <w:bookmarkEnd w:id="55"/>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1217"/>
        <w:gridCol w:w="4023"/>
      </w:tblGrid>
      <w:tr w:rsidR="007518E4" w:rsidRPr="00640136" w14:paraId="7F34FF6B" w14:textId="77777777" w:rsidTr="00F70FF1">
        <w:trPr>
          <w:cantSplit/>
          <w:trHeight w:val="611"/>
          <w:tblHeader/>
          <w:jc w:val="center"/>
        </w:trPr>
        <w:tc>
          <w:tcPr>
            <w:tcW w:w="2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2A120" w14:textId="77777777" w:rsidR="007518E4" w:rsidRPr="00640136" w:rsidRDefault="007518E4" w:rsidP="00F70FF1">
            <w:pPr>
              <w:spacing w:before="0"/>
              <w:ind w:left="0"/>
              <w:jc w:val="center"/>
              <w:rPr>
                <w:rFonts w:ascii="Times New Roman" w:hAnsi="Times New Roman"/>
                <w:sz w:val="20"/>
                <w:szCs w:val="20"/>
              </w:rPr>
            </w:pPr>
            <w:r w:rsidRPr="00640136">
              <w:rPr>
                <w:rFonts w:ascii="Times New Roman" w:hAnsi="Times New Roman"/>
                <w:sz w:val="20"/>
                <w:szCs w:val="20"/>
              </w:rPr>
              <w:lastRenderedPageBreak/>
              <w:t>Elements of Information for Public Access</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C2BFB" w14:textId="77777777" w:rsidR="007518E4" w:rsidRPr="00640136" w:rsidRDefault="007518E4" w:rsidP="00F70FF1">
            <w:pPr>
              <w:spacing w:before="0"/>
              <w:ind w:left="0"/>
              <w:jc w:val="center"/>
              <w:rPr>
                <w:rFonts w:ascii="Times New Roman" w:hAnsi="Times New Roman"/>
                <w:sz w:val="20"/>
                <w:szCs w:val="20"/>
              </w:rPr>
            </w:pPr>
            <w:r w:rsidRPr="00640136">
              <w:rPr>
                <w:rFonts w:ascii="Times New Roman" w:hAnsi="Times New Roman"/>
                <w:sz w:val="20"/>
                <w:szCs w:val="20"/>
              </w:rPr>
              <w:t>Public Availability</w:t>
            </w:r>
          </w:p>
        </w:tc>
        <w:tc>
          <w:tcPr>
            <w:tcW w:w="2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0107A" w14:textId="77777777" w:rsidR="007518E4" w:rsidRPr="00640136" w:rsidRDefault="007518E4" w:rsidP="00F70FF1">
            <w:pPr>
              <w:spacing w:before="0"/>
              <w:ind w:left="0"/>
              <w:jc w:val="center"/>
              <w:rPr>
                <w:rFonts w:ascii="Times New Roman" w:hAnsi="Times New Roman"/>
                <w:sz w:val="20"/>
                <w:szCs w:val="20"/>
              </w:rPr>
            </w:pPr>
            <w:r w:rsidRPr="00640136">
              <w:rPr>
                <w:rFonts w:ascii="Times New Roman" w:hAnsi="Times New Roman"/>
                <w:sz w:val="20"/>
                <w:szCs w:val="20"/>
              </w:rPr>
              <w:t>Assessment</w:t>
            </w:r>
          </w:p>
        </w:tc>
      </w:tr>
      <w:tr w:rsidR="007518E4" w:rsidRPr="00640136" w14:paraId="05752ACB" w14:textId="77777777" w:rsidTr="00F70FF1">
        <w:trPr>
          <w:cantSplit/>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7A9AD"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Basic elements</w:t>
            </w:r>
          </w:p>
        </w:tc>
      </w:tr>
      <w:tr w:rsidR="007518E4" w:rsidRPr="00640136" w14:paraId="380990E7" w14:textId="77777777" w:rsidTr="00F70FF1">
        <w:trPr>
          <w:cantSplit/>
          <w:trHeight w:val="1307"/>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7AF75228"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1. Annual executive budget proposal documentation. A complete set of executive budget proposal documents is available to the public within one week of the executive’s submission of them to the legislature.</w:t>
            </w:r>
          </w:p>
        </w:tc>
        <w:tc>
          <w:tcPr>
            <w:tcW w:w="688" w:type="pct"/>
            <w:tcBorders>
              <w:top w:val="single" w:sz="4" w:space="0" w:color="auto"/>
              <w:left w:val="single" w:sz="4" w:space="0" w:color="auto"/>
              <w:bottom w:val="single" w:sz="4" w:space="0" w:color="auto"/>
              <w:right w:val="single" w:sz="4" w:space="0" w:color="auto"/>
            </w:tcBorders>
            <w:vAlign w:val="center"/>
          </w:tcPr>
          <w:p w14:paraId="7D17D35F" w14:textId="77777777" w:rsidR="007518E4" w:rsidRPr="00640136" w:rsidRDefault="007518E4" w:rsidP="00844E6D">
            <w:pPr>
              <w:spacing w:before="0"/>
              <w:ind w:left="0"/>
              <w:jc w:val="center"/>
              <w:rPr>
                <w:rFonts w:ascii="Times New Roman" w:hAnsi="Times New Roman"/>
                <w:sz w:val="20"/>
                <w:szCs w:val="20"/>
              </w:rPr>
            </w:pPr>
            <w:r w:rsidRPr="00640136">
              <w:rPr>
                <w:rFonts w:ascii="Times New Roman" w:hAnsi="Times New Roman"/>
                <w:sz w:val="20"/>
                <w:szCs w:val="20"/>
              </w:rPr>
              <w:t>No</w:t>
            </w:r>
          </w:p>
        </w:tc>
        <w:tc>
          <w:tcPr>
            <w:tcW w:w="2274" w:type="pct"/>
            <w:tcBorders>
              <w:top w:val="single" w:sz="4" w:space="0" w:color="auto"/>
              <w:left w:val="single" w:sz="4" w:space="0" w:color="auto"/>
              <w:bottom w:val="single" w:sz="4" w:space="0" w:color="auto"/>
              <w:right w:val="single" w:sz="4" w:space="0" w:color="auto"/>
            </w:tcBorders>
            <w:vAlign w:val="center"/>
          </w:tcPr>
          <w:p w14:paraId="1614D3AF"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 xml:space="preserve">The government Budget proposal to the NA is broadcasted on TV on the day of the session to NA but not published  </w:t>
            </w:r>
          </w:p>
        </w:tc>
      </w:tr>
      <w:tr w:rsidR="007518E4" w:rsidRPr="00640136" w14:paraId="647412D0" w14:textId="77777777" w:rsidTr="00F70FF1">
        <w:trPr>
          <w:cantSplit/>
          <w:trHeight w:val="989"/>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6208CDD3"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2. Enacted budget. The annual budget law approved by the legislature is publicized within 2 weeks of passage of the law.</w:t>
            </w:r>
          </w:p>
        </w:tc>
        <w:tc>
          <w:tcPr>
            <w:tcW w:w="688" w:type="pct"/>
            <w:tcBorders>
              <w:top w:val="single" w:sz="4" w:space="0" w:color="auto"/>
              <w:left w:val="single" w:sz="4" w:space="0" w:color="auto"/>
              <w:bottom w:val="single" w:sz="4" w:space="0" w:color="auto"/>
              <w:right w:val="single" w:sz="4" w:space="0" w:color="auto"/>
            </w:tcBorders>
            <w:vAlign w:val="center"/>
          </w:tcPr>
          <w:p w14:paraId="06CD04AD" w14:textId="77777777" w:rsidR="007518E4" w:rsidRPr="00640136" w:rsidRDefault="007518E4" w:rsidP="00844E6D">
            <w:pPr>
              <w:spacing w:before="0"/>
              <w:ind w:left="0"/>
              <w:jc w:val="center"/>
              <w:rPr>
                <w:rFonts w:ascii="Times New Roman" w:hAnsi="Times New Roman"/>
                <w:sz w:val="20"/>
                <w:szCs w:val="20"/>
              </w:rPr>
            </w:pPr>
            <w:r w:rsidRPr="00640136">
              <w:rPr>
                <w:rFonts w:ascii="Times New Roman" w:hAnsi="Times New Roman"/>
                <w:sz w:val="20"/>
                <w:szCs w:val="20"/>
              </w:rPr>
              <w:t>No</w:t>
            </w:r>
          </w:p>
        </w:tc>
        <w:tc>
          <w:tcPr>
            <w:tcW w:w="2274" w:type="pct"/>
            <w:tcBorders>
              <w:top w:val="single" w:sz="4" w:space="0" w:color="auto"/>
              <w:left w:val="single" w:sz="4" w:space="0" w:color="auto"/>
              <w:bottom w:val="single" w:sz="4" w:space="0" w:color="auto"/>
              <w:right w:val="single" w:sz="4" w:space="0" w:color="auto"/>
            </w:tcBorders>
            <w:vAlign w:val="center"/>
          </w:tcPr>
          <w:p w14:paraId="02391F58" w14:textId="77777777" w:rsidR="007518E4" w:rsidRPr="00640136" w:rsidRDefault="007518E4" w:rsidP="00844E6D">
            <w:pPr>
              <w:spacing w:before="0"/>
              <w:ind w:left="0"/>
              <w:rPr>
                <w:rFonts w:ascii="Times New Roman" w:hAnsi="Times New Roman"/>
                <w:sz w:val="20"/>
                <w:szCs w:val="20"/>
                <w:lang w:eastAsia="nl-NL"/>
              </w:rPr>
            </w:pPr>
            <w:r>
              <w:rPr>
                <w:rFonts w:ascii="Times New Roman" w:hAnsi="Times New Roman"/>
                <w:sz w:val="20"/>
                <w:szCs w:val="20"/>
                <w:lang w:eastAsia="nl-NL"/>
              </w:rPr>
              <w:t>T</w:t>
            </w:r>
            <w:r w:rsidRPr="00640136">
              <w:rPr>
                <w:rFonts w:ascii="Times New Roman" w:hAnsi="Times New Roman"/>
                <w:sz w:val="20"/>
                <w:szCs w:val="20"/>
                <w:lang w:eastAsia="nl-NL"/>
              </w:rPr>
              <w:t xml:space="preserve">he State Budget Plan is published in the Government Gazette (issued by the Government Printer) in hard copy only </w:t>
            </w:r>
            <w:r>
              <w:rPr>
                <w:rFonts w:ascii="Times New Roman" w:hAnsi="Times New Roman"/>
                <w:sz w:val="20"/>
                <w:szCs w:val="20"/>
                <w:lang w:eastAsia="nl-NL"/>
              </w:rPr>
              <w:t xml:space="preserve">but </w:t>
            </w:r>
            <w:r w:rsidRPr="00640136">
              <w:rPr>
                <w:rFonts w:ascii="Times New Roman" w:hAnsi="Times New Roman"/>
                <w:sz w:val="20"/>
                <w:szCs w:val="20"/>
                <w:lang w:eastAsia="nl-NL"/>
              </w:rPr>
              <w:t xml:space="preserve">with </w:t>
            </w:r>
            <w:r>
              <w:rPr>
                <w:rFonts w:ascii="Times New Roman" w:hAnsi="Times New Roman"/>
                <w:sz w:val="20"/>
                <w:szCs w:val="20"/>
                <w:lang w:eastAsia="nl-NL"/>
              </w:rPr>
              <w:t xml:space="preserve">a </w:t>
            </w:r>
            <w:r w:rsidRPr="00640136">
              <w:rPr>
                <w:rFonts w:ascii="Times New Roman" w:hAnsi="Times New Roman"/>
                <w:sz w:val="20"/>
                <w:szCs w:val="20"/>
                <w:lang w:eastAsia="nl-NL"/>
              </w:rPr>
              <w:t>delay up to 6 months.</w:t>
            </w:r>
            <w:r>
              <w:rPr>
                <w:rFonts w:ascii="Times New Roman" w:hAnsi="Times New Roman"/>
                <w:sz w:val="20"/>
                <w:szCs w:val="20"/>
                <w:lang w:eastAsia="nl-NL"/>
              </w:rPr>
              <w:t xml:space="preserve"> </w:t>
            </w:r>
            <w:r w:rsidRPr="00640136">
              <w:rPr>
                <w:rFonts w:ascii="Times New Roman" w:hAnsi="Times New Roman"/>
                <w:sz w:val="20"/>
                <w:szCs w:val="20"/>
                <w:lang w:eastAsia="nl-NL"/>
              </w:rPr>
              <w:t xml:space="preserve"> It is also usually posted on MoF website.</w:t>
            </w:r>
          </w:p>
        </w:tc>
      </w:tr>
      <w:tr w:rsidR="007518E4" w:rsidRPr="00640136" w14:paraId="0BB42188" w14:textId="77777777" w:rsidTr="00F70FF1">
        <w:trPr>
          <w:cantSplit/>
          <w:trHeight w:val="804"/>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540296F9"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3. In-year budget execution reports. The reports are routinely made available to the public within one month of their issuance.</w:t>
            </w:r>
          </w:p>
        </w:tc>
        <w:tc>
          <w:tcPr>
            <w:tcW w:w="688" w:type="pct"/>
            <w:tcBorders>
              <w:top w:val="single" w:sz="4" w:space="0" w:color="auto"/>
              <w:left w:val="single" w:sz="4" w:space="0" w:color="auto"/>
              <w:bottom w:val="single" w:sz="4" w:space="0" w:color="auto"/>
              <w:right w:val="single" w:sz="4" w:space="0" w:color="auto"/>
            </w:tcBorders>
            <w:vAlign w:val="center"/>
          </w:tcPr>
          <w:p w14:paraId="02669E09"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35C96F00"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The regular quarterly financial reports produced by MoF are internal, not presented to the NA and not publicly available.</w:t>
            </w:r>
          </w:p>
        </w:tc>
      </w:tr>
      <w:tr w:rsidR="007518E4" w:rsidRPr="00640136" w14:paraId="53CA2B75" w14:textId="77777777" w:rsidTr="00F70FF1">
        <w:trPr>
          <w:cantSplit/>
          <w:trHeight w:val="1079"/>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18771050"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4 Annual budget execution report. The report is made available to the public within 6 months of the fiscal year’s end.</w:t>
            </w:r>
          </w:p>
        </w:tc>
        <w:tc>
          <w:tcPr>
            <w:tcW w:w="688" w:type="pct"/>
            <w:tcBorders>
              <w:top w:val="single" w:sz="4" w:space="0" w:color="auto"/>
              <w:left w:val="single" w:sz="4" w:space="0" w:color="auto"/>
              <w:bottom w:val="single" w:sz="4" w:space="0" w:color="auto"/>
              <w:right w:val="single" w:sz="4" w:space="0" w:color="auto"/>
            </w:tcBorders>
            <w:vAlign w:val="center"/>
          </w:tcPr>
          <w:p w14:paraId="2AB97F7E"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295CC19E"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The Annual State Budget Plan implementation report is published in the Government Gazette (issued by the Government Printer) in hard copy only and with delay up to one year. It is also usually posted on MoF website.</w:t>
            </w:r>
          </w:p>
          <w:p w14:paraId="667C90C1"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A government Finance Statistics Annual Report for 2011-2015 and 2015-2016 have been prepared and circulated in hardcopies and posted on MoF website but with delay (November 2018 for 2015-2016 report)</w:t>
            </w:r>
          </w:p>
        </w:tc>
      </w:tr>
      <w:tr w:rsidR="007518E4" w:rsidRPr="00640136" w14:paraId="5DF6D9CD" w14:textId="77777777" w:rsidTr="00F70FF1">
        <w:trPr>
          <w:cantSplit/>
          <w:trHeight w:val="1322"/>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0DF1FE33"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5. Audited annual financial report, incorporating or accompanied by the external auditor’s report. The reports are made available to the public within 12 months of the fiscal year’s end.</w:t>
            </w:r>
          </w:p>
        </w:tc>
        <w:tc>
          <w:tcPr>
            <w:tcW w:w="688" w:type="pct"/>
            <w:tcBorders>
              <w:top w:val="single" w:sz="4" w:space="0" w:color="auto"/>
              <w:left w:val="single" w:sz="4" w:space="0" w:color="auto"/>
              <w:bottom w:val="single" w:sz="4" w:space="0" w:color="auto"/>
              <w:right w:val="single" w:sz="4" w:space="0" w:color="auto"/>
            </w:tcBorders>
            <w:vAlign w:val="center"/>
          </w:tcPr>
          <w:p w14:paraId="17B1A413"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14F03390"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The Annual Financial Statements are not posted on any website. The session of the presentation of the SAO Report for 2015/2016 was broadcasted on TV in November 2017 but the report is not available to the public.</w:t>
            </w:r>
          </w:p>
        </w:tc>
      </w:tr>
      <w:tr w:rsidR="007518E4" w:rsidRPr="00640136" w14:paraId="606CD967" w14:textId="77777777" w:rsidTr="00F70FF1">
        <w:trPr>
          <w:cantSplit/>
          <w:trHeight w:val="28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E7A0B" w14:textId="77777777" w:rsidR="007518E4" w:rsidRPr="00640136" w:rsidRDefault="007518E4" w:rsidP="00844E6D">
            <w:pPr>
              <w:spacing w:before="0"/>
              <w:ind w:left="0"/>
              <w:jc w:val="center"/>
              <w:rPr>
                <w:rFonts w:ascii="Times New Roman" w:hAnsi="Times New Roman"/>
                <w:sz w:val="20"/>
                <w:szCs w:val="20"/>
                <w:highlight w:val="yellow"/>
                <w:lang w:eastAsia="nl-NL"/>
              </w:rPr>
            </w:pPr>
            <w:r w:rsidRPr="00640136">
              <w:rPr>
                <w:rFonts w:ascii="Times New Roman" w:hAnsi="Times New Roman"/>
                <w:sz w:val="20"/>
                <w:szCs w:val="20"/>
                <w:lang w:eastAsia="nl-NL"/>
              </w:rPr>
              <w:t>Additional elements</w:t>
            </w:r>
          </w:p>
        </w:tc>
      </w:tr>
      <w:tr w:rsidR="007518E4" w:rsidRPr="00640136" w14:paraId="74CDB0AD" w14:textId="77777777" w:rsidTr="00F70FF1">
        <w:trPr>
          <w:cantSplit/>
          <w:trHeight w:val="1340"/>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4ADD235A"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6. Pre-budget statement. The broad parameters for the executive budget proposal regarding expenditure, planned revenue, and debt are made available to the public at least 4 months before the start of the fiscal year.</w:t>
            </w:r>
          </w:p>
        </w:tc>
        <w:tc>
          <w:tcPr>
            <w:tcW w:w="688" w:type="pct"/>
            <w:tcBorders>
              <w:top w:val="single" w:sz="4" w:space="0" w:color="auto"/>
              <w:left w:val="single" w:sz="4" w:space="0" w:color="auto"/>
              <w:bottom w:val="single" w:sz="4" w:space="0" w:color="auto"/>
              <w:right w:val="single" w:sz="4" w:space="0" w:color="auto"/>
            </w:tcBorders>
            <w:vAlign w:val="center"/>
          </w:tcPr>
          <w:p w14:paraId="20A212DB"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04BA2943"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The government statement on the economic and fiscal policy assumptions is presented to the NA but not available to the public.</w:t>
            </w:r>
          </w:p>
        </w:tc>
      </w:tr>
      <w:tr w:rsidR="007518E4" w:rsidRPr="00640136" w14:paraId="4BDA5F7B" w14:textId="77777777" w:rsidTr="00F70FF1">
        <w:trPr>
          <w:cantSplit/>
          <w:trHeight w:val="1259"/>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11FFC5AD"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7. Other external audit reports. All non-confidential reports on central government-consolidated operations are made available to the public within 6 months of submission.</w:t>
            </w:r>
          </w:p>
        </w:tc>
        <w:tc>
          <w:tcPr>
            <w:tcW w:w="688" w:type="pct"/>
            <w:tcBorders>
              <w:top w:val="single" w:sz="4" w:space="0" w:color="auto"/>
              <w:left w:val="single" w:sz="4" w:space="0" w:color="auto"/>
              <w:bottom w:val="single" w:sz="4" w:space="0" w:color="auto"/>
              <w:right w:val="single" w:sz="4" w:space="0" w:color="auto"/>
            </w:tcBorders>
            <w:vAlign w:val="center"/>
          </w:tcPr>
          <w:p w14:paraId="1C4F35D2"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25D08711"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All reports produced by the SAO are confidential.</w:t>
            </w:r>
          </w:p>
        </w:tc>
      </w:tr>
      <w:tr w:rsidR="007518E4" w:rsidRPr="00640136" w14:paraId="649E529E" w14:textId="77777777" w:rsidTr="00F70FF1">
        <w:trPr>
          <w:cantSplit/>
          <w:trHeight w:val="2555"/>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138DD664"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8. Summary of the budget proposal. A clear, simple summary of the executive budget proposal or the enacted budget accessible to the nonbudget experts, often referred to as a ‘citizens’ budget,” and where appropriate translated into the most commonly spoken local language, is publicly available within 2 weeks of the executive budget proposal’s submission to the legislature and within one month of the budget’s approval.</w:t>
            </w:r>
          </w:p>
        </w:tc>
        <w:tc>
          <w:tcPr>
            <w:tcW w:w="688" w:type="pct"/>
            <w:tcBorders>
              <w:top w:val="single" w:sz="4" w:space="0" w:color="auto"/>
              <w:left w:val="single" w:sz="4" w:space="0" w:color="auto"/>
              <w:bottom w:val="single" w:sz="4" w:space="0" w:color="auto"/>
              <w:right w:val="single" w:sz="4" w:space="0" w:color="auto"/>
            </w:tcBorders>
            <w:vAlign w:val="center"/>
          </w:tcPr>
          <w:p w14:paraId="43667299"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4C47413B"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There is no citizens’ budget.</w:t>
            </w:r>
          </w:p>
        </w:tc>
      </w:tr>
      <w:tr w:rsidR="007518E4" w:rsidRPr="00640136" w14:paraId="73412B65" w14:textId="77777777" w:rsidTr="00F70FF1">
        <w:trPr>
          <w:cantSplit/>
          <w:trHeight w:val="1160"/>
          <w:jc w:val="center"/>
        </w:trPr>
        <w:tc>
          <w:tcPr>
            <w:tcW w:w="2038" w:type="pct"/>
            <w:tcBorders>
              <w:top w:val="single" w:sz="4" w:space="0" w:color="auto"/>
              <w:left w:val="single" w:sz="4" w:space="0" w:color="auto"/>
              <w:bottom w:val="single" w:sz="4" w:space="0" w:color="auto"/>
              <w:right w:val="single" w:sz="4" w:space="0" w:color="auto"/>
            </w:tcBorders>
            <w:vAlign w:val="center"/>
            <w:hideMark/>
          </w:tcPr>
          <w:p w14:paraId="28D45D9A"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lastRenderedPageBreak/>
              <w:t>9. Macroeconomic forecasts. The forecasts, as assessed in PI-14.1, are available within one week of their endorsement.</w:t>
            </w:r>
          </w:p>
        </w:tc>
        <w:tc>
          <w:tcPr>
            <w:tcW w:w="688" w:type="pct"/>
            <w:tcBorders>
              <w:top w:val="single" w:sz="4" w:space="0" w:color="auto"/>
              <w:left w:val="single" w:sz="4" w:space="0" w:color="auto"/>
              <w:bottom w:val="single" w:sz="4" w:space="0" w:color="auto"/>
              <w:right w:val="single" w:sz="4" w:space="0" w:color="auto"/>
            </w:tcBorders>
            <w:vAlign w:val="center"/>
          </w:tcPr>
          <w:p w14:paraId="7617AD7E" w14:textId="77777777" w:rsidR="007518E4" w:rsidRPr="00640136" w:rsidRDefault="007518E4" w:rsidP="00844E6D">
            <w:pPr>
              <w:spacing w:before="0"/>
              <w:ind w:left="0"/>
              <w:jc w:val="center"/>
              <w:rPr>
                <w:rFonts w:ascii="Times New Roman" w:hAnsi="Times New Roman"/>
                <w:sz w:val="20"/>
                <w:szCs w:val="20"/>
                <w:lang w:eastAsia="nl-NL"/>
              </w:rPr>
            </w:pPr>
            <w:r w:rsidRPr="00640136">
              <w:rPr>
                <w:rFonts w:ascii="Times New Roman" w:hAnsi="Times New Roman"/>
                <w:sz w:val="20"/>
                <w:szCs w:val="20"/>
                <w:lang w:eastAsia="nl-NL"/>
              </w:rPr>
              <w:t>No</w:t>
            </w:r>
          </w:p>
        </w:tc>
        <w:tc>
          <w:tcPr>
            <w:tcW w:w="2274" w:type="pct"/>
            <w:tcBorders>
              <w:top w:val="single" w:sz="4" w:space="0" w:color="auto"/>
              <w:left w:val="single" w:sz="4" w:space="0" w:color="auto"/>
              <w:bottom w:val="single" w:sz="4" w:space="0" w:color="auto"/>
              <w:right w:val="single" w:sz="4" w:space="0" w:color="auto"/>
            </w:tcBorders>
            <w:vAlign w:val="center"/>
          </w:tcPr>
          <w:p w14:paraId="05679EBB" w14:textId="77777777" w:rsidR="007518E4" w:rsidRPr="00640136" w:rsidRDefault="007518E4" w:rsidP="00844E6D">
            <w:pPr>
              <w:spacing w:before="0"/>
              <w:ind w:left="0"/>
              <w:rPr>
                <w:rFonts w:ascii="Times New Roman" w:hAnsi="Times New Roman"/>
                <w:sz w:val="20"/>
                <w:szCs w:val="20"/>
                <w:lang w:eastAsia="nl-NL"/>
              </w:rPr>
            </w:pPr>
            <w:r w:rsidRPr="00640136">
              <w:rPr>
                <w:rFonts w:ascii="Times New Roman" w:hAnsi="Times New Roman"/>
                <w:sz w:val="20"/>
                <w:szCs w:val="20"/>
                <w:lang w:eastAsia="nl-NL"/>
              </w:rPr>
              <w:t>Macroeconomic forecasts are prepared by MoF on a</w:t>
            </w:r>
            <w:r>
              <w:rPr>
                <w:rFonts w:ascii="Times New Roman" w:hAnsi="Times New Roman"/>
                <w:sz w:val="20"/>
                <w:szCs w:val="20"/>
                <w:lang w:eastAsia="nl-NL"/>
              </w:rPr>
              <w:t xml:space="preserve"> </w:t>
            </w:r>
            <w:r w:rsidRPr="00640136">
              <w:rPr>
                <w:rFonts w:ascii="Times New Roman" w:hAnsi="Times New Roman"/>
                <w:sz w:val="20"/>
                <w:szCs w:val="20"/>
                <w:lang w:eastAsia="nl-NL"/>
              </w:rPr>
              <w:t>medium-term, annual, six-monthly and quarterly basis discussed within the government and presented to NA (except the quarterly ones) but not published.</w:t>
            </w:r>
          </w:p>
        </w:tc>
      </w:tr>
    </w:tbl>
    <w:p w14:paraId="262ABC20" w14:textId="77777777" w:rsidR="007518E4" w:rsidRPr="007604FD"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7604FD">
        <w:rPr>
          <w:rFonts w:ascii="Times New Roman" w:eastAsia="ヒラギノ角ゴ Pro W3" w:hAnsi="Times New Roman"/>
          <w:b/>
          <w:color w:val="000000"/>
          <w:sz w:val="24"/>
          <w:lang w:eastAsia="en-IN"/>
        </w:rPr>
        <w:t>The government makes available only two of the five basic elements only but not in a timely manner so none of the elements meet the scoring criteria</w:t>
      </w:r>
      <w:r w:rsidRPr="007604FD">
        <w:rPr>
          <w:rFonts w:ascii="Times New Roman" w:eastAsia="ヒラギノ角ゴ Pro W3" w:hAnsi="Times New Roman"/>
          <w:color w:val="000000"/>
          <w:sz w:val="24"/>
          <w:lang w:eastAsia="en-IN"/>
        </w:rPr>
        <w:t>: Score D.</w:t>
      </w:r>
    </w:p>
    <w:p w14:paraId="507FE9F8" w14:textId="77777777" w:rsidR="007518E4" w:rsidRDefault="007518E4" w:rsidP="007518E4">
      <w:pPr>
        <w:rPr>
          <w:rFonts w:ascii="Times New Roman" w:hAnsi="Times New Roman"/>
          <w:sz w:val="24"/>
        </w:rPr>
      </w:pPr>
      <w:r>
        <w:rPr>
          <w:rFonts w:ascii="Times New Roman" w:hAnsi="Times New Roman"/>
          <w:sz w:val="24"/>
        </w:rPr>
        <w:br w:type="page"/>
      </w:r>
    </w:p>
    <w:p w14:paraId="563FC0D5" w14:textId="77777777" w:rsidR="007518E4" w:rsidRPr="00200DE4" w:rsidRDefault="007518E4" w:rsidP="00200DE4">
      <w:pPr>
        <w:pStyle w:val="Heading1"/>
        <w:ind w:left="0"/>
        <w:jc w:val="both"/>
        <w:rPr>
          <w:rFonts w:ascii="Times New Roman" w:hAnsi="Times New Roman"/>
          <w:b/>
          <w:color w:val="FFC000"/>
        </w:rPr>
      </w:pPr>
      <w:bookmarkStart w:id="56" w:name="_Toc518901792"/>
      <w:bookmarkStart w:id="57" w:name="_Toc4148987"/>
      <w:r w:rsidRPr="00200DE4">
        <w:rPr>
          <w:rFonts w:ascii="Times New Roman" w:hAnsi="Times New Roman"/>
          <w:b/>
          <w:color w:val="FFC000"/>
        </w:rPr>
        <w:lastRenderedPageBreak/>
        <w:t>PILLAR THREE: Management of Assets and Liabilities</w:t>
      </w:r>
      <w:bookmarkEnd w:id="56"/>
      <w:bookmarkEnd w:id="57"/>
    </w:p>
    <w:p w14:paraId="66D5A13D" w14:textId="77777777" w:rsidR="007518E4" w:rsidRDefault="007518E4" w:rsidP="00844E6D">
      <w:pPr>
        <w:pStyle w:val="Heading3"/>
        <w:spacing w:after="240"/>
        <w:ind w:left="0"/>
        <w:rPr>
          <w:rFonts w:ascii="Times New Roman" w:eastAsia="Calibri" w:hAnsi="Times New Roman"/>
          <w:b w:val="0"/>
          <w:bCs w:val="0"/>
          <w:color w:val="F9B416"/>
          <w:szCs w:val="28"/>
        </w:rPr>
      </w:pPr>
      <w:bookmarkStart w:id="58" w:name="_Toc518901793"/>
      <w:bookmarkStart w:id="59" w:name="_Toc4148988"/>
      <w:r w:rsidRPr="00FE6ED4">
        <w:rPr>
          <w:rFonts w:ascii="Times New Roman" w:eastAsia="Calibri" w:hAnsi="Times New Roman"/>
          <w:color w:val="F9B416"/>
          <w:szCs w:val="28"/>
        </w:rPr>
        <w:t xml:space="preserve">PI-10. </w:t>
      </w:r>
      <w:r w:rsidRPr="008D65E9">
        <w:rPr>
          <w:rFonts w:ascii="Times New Roman" w:eastAsia="Calibri" w:hAnsi="Times New Roman"/>
          <w:color w:val="F9B416"/>
          <w:szCs w:val="28"/>
        </w:rPr>
        <w:t>Fiscal</w:t>
      </w:r>
      <w:r w:rsidRPr="00FE6ED4">
        <w:rPr>
          <w:rFonts w:ascii="Times New Roman" w:eastAsia="Calibri" w:hAnsi="Times New Roman"/>
          <w:color w:val="F9B416"/>
          <w:szCs w:val="28"/>
        </w:rPr>
        <w:t xml:space="preserve"> </w:t>
      </w:r>
      <w:r>
        <w:rPr>
          <w:rFonts w:ascii="Times New Roman" w:eastAsia="Calibri" w:hAnsi="Times New Roman"/>
          <w:color w:val="F9B416"/>
          <w:szCs w:val="28"/>
        </w:rPr>
        <w:t>r</w:t>
      </w:r>
      <w:r w:rsidRPr="00FE6ED4">
        <w:rPr>
          <w:rFonts w:ascii="Times New Roman" w:eastAsia="Calibri" w:hAnsi="Times New Roman"/>
          <w:color w:val="F9B416"/>
          <w:szCs w:val="28"/>
        </w:rPr>
        <w:t xml:space="preserve">isk </w:t>
      </w:r>
      <w:r>
        <w:rPr>
          <w:rFonts w:ascii="Times New Roman" w:eastAsia="Calibri" w:hAnsi="Times New Roman"/>
          <w:color w:val="F9B416"/>
          <w:szCs w:val="28"/>
        </w:rPr>
        <w:t>r</w:t>
      </w:r>
      <w:r w:rsidRPr="00FE6ED4">
        <w:rPr>
          <w:rFonts w:ascii="Times New Roman" w:eastAsia="Calibri" w:hAnsi="Times New Roman"/>
          <w:color w:val="F9B416"/>
          <w:szCs w:val="28"/>
        </w:rPr>
        <w:t>eporting</w:t>
      </w:r>
      <w:bookmarkEnd w:id="58"/>
      <w:bookmarkEnd w:id="59"/>
    </w:p>
    <w:p w14:paraId="2C9796A6" w14:textId="77777777" w:rsidR="007518E4" w:rsidRPr="003C7902"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color w:val="000000"/>
          <w:sz w:val="24"/>
        </w:rPr>
      </w:pPr>
      <w:r w:rsidRPr="00844E6D">
        <w:rPr>
          <w:rFonts w:ascii="Times New Roman" w:hAnsi="Times New Roman"/>
          <w:b/>
          <w:sz w:val="24"/>
        </w:rPr>
        <w:t>This indicator measures the extent to which fiscal risks to central government are reported.</w:t>
      </w:r>
      <w:r w:rsidR="00F70FF1">
        <w:rPr>
          <w:rFonts w:ascii="Times New Roman" w:hAnsi="Times New Roman"/>
          <w:sz w:val="24"/>
        </w:rPr>
        <w:t xml:space="preserve"> </w:t>
      </w:r>
      <w:r w:rsidRPr="00482747">
        <w:rPr>
          <w:rFonts w:ascii="Times New Roman" w:hAnsi="Times New Roman"/>
          <w:sz w:val="24"/>
        </w:rPr>
        <w:t>Fiscal risks can arise from adverse macro-economic situations, financial positions of sub-national governments (SNG), public corporations, and contingent liabilities from central government’s own programs and activities, inc</w:t>
      </w:r>
      <w:r w:rsidR="00F70FF1">
        <w:rPr>
          <w:rFonts w:ascii="Times New Roman" w:hAnsi="Times New Roman"/>
          <w:sz w:val="24"/>
        </w:rPr>
        <w:t xml:space="preserve">luding extra budgetary units. </w:t>
      </w:r>
      <w:r w:rsidRPr="00482747">
        <w:rPr>
          <w:rFonts w:ascii="Times New Roman" w:hAnsi="Times New Roman"/>
          <w:sz w:val="24"/>
        </w:rPr>
        <w:t xml:space="preserve">They can also arise from other implicit and external risks such as market failure and natural disasters.  </w:t>
      </w:r>
      <w:r w:rsidRPr="00482747">
        <w:rPr>
          <w:rFonts w:ascii="Times New Roman" w:hAnsi="Times New Roman"/>
          <w:color w:val="000000"/>
          <w:sz w:val="24"/>
        </w:rPr>
        <w:t xml:space="preserve">The assessment is based on the information available for the most recent fiscal year </w:t>
      </w:r>
      <w:r>
        <w:rPr>
          <w:rFonts w:ascii="Times New Roman" w:hAnsi="Times New Roman"/>
          <w:color w:val="000000"/>
          <w:sz w:val="24"/>
        </w:rPr>
        <w:t>2016/17</w:t>
      </w:r>
      <w:r w:rsidRPr="00482747">
        <w:rPr>
          <w:rFonts w:ascii="Times New Roman" w:hAnsi="Times New Roman"/>
          <w:sz w:val="24"/>
        </w:rPr>
        <w:t xml:space="preserve">. </w:t>
      </w:r>
      <w:r w:rsidRPr="00482747">
        <w:rPr>
          <w:rFonts w:ascii="Times New Roman" w:hAnsi="Times New Roman"/>
          <w:bCs/>
          <w:sz w:val="24"/>
        </w:rPr>
        <w:t xml:space="preserve">Coverage for dimension 10.1 is </w:t>
      </w:r>
      <w:r w:rsidRPr="00482747">
        <w:rPr>
          <w:rFonts w:ascii="Times New Roman" w:hAnsi="Times New Roman"/>
          <w:sz w:val="24"/>
        </w:rPr>
        <w:t>Central Government-controlled public corporations. For d</w:t>
      </w:r>
      <w:r w:rsidRPr="00482747">
        <w:rPr>
          <w:rFonts w:ascii="Times New Roman" w:hAnsi="Times New Roman"/>
          <w:bCs/>
          <w:sz w:val="24"/>
        </w:rPr>
        <w:t>imension 10.2 it is s</w:t>
      </w:r>
      <w:r w:rsidRPr="00482747">
        <w:rPr>
          <w:rFonts w:ascii="Times New Roman" w:hAnsi="Times New Roman"/>
          <w:sz w:val="24"/>
        </w:rPr>
        <w:t xml:space="preserve">ubnational government entities that have direct fiscal relations with the Central Government and for </w:t>
      </w:r>
      <w:r w:rsidRPr="00482747">
        <w:rPr>
          <w:rFonts w:ascii="Times New Roman" w:hAnsi="Times New Roman"/>
          <w:bCs/>
          <w:sz w:val="24"/>
        </w:rPr>
        <w:t xml:space="preserve">Dimension 10.3 it is </w:t>
      </w:r>
      <w:r w:rsidRPr="00482747">
        <w:rPr>
          <w:rFonts w:ascii="Times New Roman" w:hAnsi="Times New Roman"/>
          <w:sz w:val="24"/>
        </w:rPr>
        <w:t>Central Government.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5"/>
        <w:gridCol w:w="1141"/>
        <w:gridCol w:w="5750"/>
      </w:tblGrid>
      <w:tr w:rsidR="007518E4" w:rsidRPr="00930334" w14:paraId="685328DB" w14:textId="77777777" w:rsidTr="00F70FF1">
        <w:trPr>
          <w:trHeight w:val="397"/>
          <w:jc w:val="center"/>
        </w:trPr>
        <w:tc>
          <w:tcPr>
            <w:tcW w:w="11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7B30F3" w14:textId="77777777" w:rsidR="007518E4" w:rsidRPr="003C7902" w:rsidRDefault="007518E4" w:rsidP="00F70FF1">
            <w:pPr>
              <w:spacing w:before="0"/>
              <w:ind w:hanging="539"/>
              <w:jc w:val="center"/>
              <w:rPr>
                <w:rFonts w:ascii="Times New Roman" w:hAnsi="Times New Roman"/>
              </w:rPr>
            </w:pPr>
            <w:r w:rsidRPr="003C7902">
              <w:rPr>
                <w:rFonts w:ascii="Times New Roman" w:hAnsi="Times New Roman"/>
              </w:rPr>
              <w:t>Indicator/Dimension</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11C187" w14:textId="77777777" w:rsidR="007518E4" w:rsidRPr="003C7902" w:rsidRDefault="007518E4" w:rsidP="00F70FF1">
            <w:pPr>
              <w:spacing w:before="0"/>
              <w:ind w:left="0"/>
              <w:jc w:val="center"/>
              <w:rPr>
                <w:rFonts w:ascii="Times New Roman" w:hAnsi="Times New Roman"/>
              </w:rPr>
            </w:pPr>
            <w:r w:rsidRPr="003C7902">
              <w:rPr>
                <w:rFonts w:ascii="Times New Roman" w:hAnsi="Times New Roman"/>
              </w:rPr>
              <w:t>Score</w:t>
            </w:r>
          </w:p>
        </w:tc>
        <w:tc>
          <w:tcPr>
            <w:tcW w:w="31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3A3D6C" w14:textId="77777777" w:rsidR="007518E4" w:rsidRPr="003C7902" w:rsidRDefault="007518E4" w:rsidP="00F70FF1">
            <w:pPr>
              <w:spacing w:before="0"/>
              <w:ind w:hanging="539"/>
              <w:jc w:val="center"/>
              <w:rPr>
                <w:rFonts w:ascii="Times New Roman" w:hAnsi="Times New Roman"/>
              </w:rPr>
            </w:pPr>
            <w:r w:rsidRPr="003C7902">
              <w:rPr>
                <w:rFonts w:ascii="Times New Roman" w:hAnsi="Times New Roman"/>
              </w:rPr>
              <w:t>Brief Explanation</w:t>
            </w:r>
          </w:p>
        </w:tc>
      </w:tr>
      <w:tr w:rsidR="007518E4" w:rsidRPr="00930334" w14:paraId="29FE5AD3" w14:textId="77777777" w:rsidTr="00F70FF1">
        <w:trPr>
          <w:trHeight w:val="647"/>
          <w:jc w:val="center"/>
        </w:trPr>
        <w:tc>
          <w:tcPr>
            <w:tcW w:w="1178" w:type="pct"/>
            <w:tcBorders>
              <w:top w:val="single" w:sz="4" w:space="0" w:color="auto"/>
              <w:left w:val="single" w:sz="4" w:space="0" w:color="auto"/>
              <w:bottom w:val="single" w:sz="4" w:space="0" w:color="auto"/>
              <w:right w:val="single" w:sz="4" w:space="0" w:color="auto"/>
            </w:tcBorders>
            <w:vAlign w:val="center"/>
            <w:hideMark/>
          </w:tcPr>
          <w:p w14:paraId="5953447B" w14:textId="77777777" w:rsidR="007518E4" w:rsidRPr="003C7902" w:rsidRDefault="007518E4" w:rsidP="00F70FF1">
            <w:pPr>
              <w:spacing w:before="0"/>
              <w:ind w:left="0"/>
              <w:jc w:val="left"/>
              <w:rPr>
                <w:rFonts w:ascii="Times New Roman" w:hAnsi="Times New Roman"/>
              </w:rPr>
            </w:pPr>
            <w:r w:rsidRPr="003C7902">
              <w:rPr>
                <w:rFonts w:ascii="Times New Roman" w:hAnsi="Times New Roman"/>
                <w:bCs/>
              </w:rPr>
              <w:t xml:space="preserve">PI-10 </w:t>
            </w:r>
            <w:r>
              <w:rPr>
                <w:rFonts w:ascii="Times New Roman" w:hAnsi="Times New Roman"/>
                <w:bCs/>
              </w:rPr>
              <w:t>Fiscal risk reporting</w:t>
            </w:r>
          </w:p>
        </w:tc>
        <w:tc>
          <w:tcPr>
            <w:tcW w:w="633" w:type="pct"/>
            <w:tcBorders>
              <w:top w:val="single" w:sz="4" w:space="0" w:color="auto"/>
              <w:left w:val="single" w:sz="4" w:space="0" w:color="auto"/>
              <w:bottom w:val="single" w:sz="4" w:space="0" w:color="auto"/>
              <w:right w:val="single" w:sz="4" w:space="0" w:color="auto"/>
            </w:tcBorders>
            <w:vAlign w:val="center"/>
          </w:tcPr>
          <w:p w14:paraId="6A77043D" w14:textId="06992DB2" w:rsidR="007518E4" w:rsidRPr="003C7902" w:rsidRDefault="007518E4" w:rsidP="00844E6D">
            <w:pPr>
              <w:spacing w:before="0"/>
              <w:ind w:left="0"/>
              <w:jc w:val="center"/>
              <w:rPr>
                <w:rFonts w:ascii="Times New Roman" w:hAnsi="Times New Roman"/>
              </w:rPr>
            </w:pPr>
            <w:r w:rsidRPr="003C7902">
              <w:rPr>
                <w:rFonts w:ascii="Times New Roman" w:hAnsi="Times New Roman"/>
              </w:rPr>
              <w:t>D</w:t>
            </w:r>
          </w:p>
        </w:tc>
        <w:tc>
          <w:tcPr>
            <w:tcW w:w="3189" w:type="pct"/>
            <w:tcBorders>
              <w:top w:val="single" w:sz="4" w:space="0" w:color="auto"/>
              <w:left w:val="single" w:sz="4" w:space="0" w:color="auto"/>
              <w:bottom w:val="single" w:sz="4" w:space="0" w:color="auto"/>
              <w:right w:val="single" w:sz="4" w:space="0" w:color="auto"/>
            </w:tcBorders>
            <w:vAlign w:val="center"/>
            <w:hideMark/>
          </w:tcPr>
          <w:p w14:paraId="72EA8507" w14:textId="77777777" w:rsidR="007518E4" w:rsidRPr="003C7902" w:rsidRDefault="007518E4" w:rsidP="00844E6D">
            <w:pPr>
              <w:spacing w:before="0"/>
              <w:ind w:left="0"/>
              <w:rPr>
                <w:rFonts w:ascii="Times New Roman" w:hAnsi="Times New Roman"/>
              </w:rPr>
            </w:pPr>
            <w:r w:rsidRPr="003C7902">
              <w:rPr>
                <w:rFonts w:ascii="Times New Roman" w:hAnsi="Times New Roman"/>
              </w:rPr>
              <w:t>Dimension scores combined by Method M2 (average)</w:t>
            </w:r>
          </w:p>
        </w:tc>
      </w:tr>
      <w:tr w:rsidR="007518E4" w:rsidRPr="00930334" w14:paraId="3D95E151" w14:textId="77777777" w:rsidTr="00F70FF1">
        <w:trPr>
          <w:trHeight w:val="647"/>
          <w:jc w:val="center"/>
        </w:trPr>
        <w:tc>
          <w:tcPr>
            <w:tcW w:w="1178" w:type="pct"/>
            <w:tcBorders>
              <w:top w:val="single" w:sz="4" w:space="0" w:color="auto"/>
              <w:left w:val="single" w:sz="4" w:space="0" w:color="auto"/>
              <w:bottom w:val="single" w:sz="4" w:space="0" w:color="auto"/>
              <w:right w:val="single" w:sz="4" w:space="0" w:color="auto"/>
            </w:tcBorders>
            <w:vAlign w:val="center"/>
            <w:hideMark/>
          </w:tcPr>
          <w:p w14:paraId="1DEF1F1B" w14:textId="77777777" w:rsidR="007518E4" w:rsidRPr="003C7902" w:rsidRDefault="007518E4" w:rsidP="00F70FF1">
            <w:pPr>
              <w:spacing w:before="0"/>
              <w:ind w:left="0"/>
              <w:jc w:val="left"/>
              <w:rPr>
                <w:rFonts w:ascii="Times New Roman" w:hAnsi="Times New Roman"/>
                <w:color w:val="000000"/>
              </w:rPr>
            </w:pPr>
            <w:r w:rsidRPr="003C7902">
              <w:rPr>
                <w:rFonts w:ascii="Times New Roman" w:hAnsi="Times New Roman"/>
                <w:color w:val="000000"/>
              </w:rPr>
              <w:t>10.1 Monitoring of public corporations</w:t>
            </w:r>
          </w:p>
        </w:tc>
        <w:tc>
          <w:tcPr>
            <w:tcW w:w="633" w:type="pct"/>
            <w:tcBorders>
              <w:top w:val="single" w:sz="4" w:space="0" w:color="auto"/>
              <w:left w:val="single" w:sz="4" w:space="0" w:color="auto"/>
              <w:bottom w:val="single" w:sz="4" w:space="0" w:color="auto"/>
              <w:right w:val="single" w:sz="4" w:space="0" w:color="auto"/>
            </w:tcBorders>
            <w:vAlign w:val="center"/>
          </w:tcPr>
          <w:p w14:paraId="7989091A" w14:textId="3D7AC6ED" w:rsidR="007518E4" w:rsidRPr="003C7902" w:rsidRDefault="001747C3" w:rsidP="00844E6D">
            <w:pPr>
              <w:spacing w:before="0"/>
              <w:ind w:left="0"/>
              <w:jc w:val="center"/>
              <w:rPr>
                <w:rFonts w:ascii="Times New Roman" w:hAnsi="Times New Roman"/>
              </w:rPr>
            </w:pPr>
            <w:r>
              <w:rPr>
                <w:rFonts w:ascii="Times New Roman" w:hAnsi="Times New Roman"/>
              </w:rPr>
              <w:t>D</w:t>
            </w:r>
          </w:p>
        </w:tc>
        <w:tc>
          <w:tcPr>
            <w:tcW w:w="3189" w:type="pct"/>
            <w:tcBorders>
              <w:top w:val="single" w:sz="4" w:space="0" w:color="auto"/>
              <w:left w:val="single" w:sz="4" w:space="0" w:color="auto"/>
              <w:bottom w:val="single" w:sz="4" w:space="0" w:color="auto"/>
              <w:right w:val="single" w:sz="4" w:space="0" w:color="auto"/>
            </w:tcBorders>
            <w:vAlign w:val="center"/>
          </w:tcPr>
          <w:p w14:paraId="192F106D" w14:textId="0C1DBCFD" w:rsidR="007518E4" w:rsidRPr="00681DCE" w:rsidRDefault="001747C3" w:rsidP="00844E6D">
            <w:pPr>
              <w:spacing w:before="0"/>
              <w:ind w:left="0"/>
              <w:rPr>
                <w:rFonts w:ascii="Times New Roman" w:hAnsi="Times New Roman"/>
                <w:lang w:eastAsia="en-IN"/>
              </w:rPr>
            </w:pPr>
            <w:r>
              <w:rPr>
                <w:rFonts w:ascii="Times New Roman" w:eastAsia="ヒラギノ角ゴ Pro W3" w:hAnsi="Times New Roman"/>
                <w:color w:val="000000"/>
                <w:lang w:eastAsia="en-IN"/>
              </w:rPr>
              <w:t xml:space="preserve">43 SOES representing approximately 70 </w:t>
            </w:r>
            <w:proofErr w:type="gramStart"/>
            <w:r>
              <w:rPr>
                <w:rFonts w:ascii="Times New Roman" w:eastAsia="ヒラギノ角ゴ Pro W3" w:hAnsi="Times New Roman"/>
                <w:color w:val="000000"/>
                <w:lang w:eastAsia="en-IN"/>
              </w:rPr>
              <w:t xml:space="preserve">percent </w:t>
            </w:r>
            <w:r w:rsidR="00F70FF1">
              <w:rPr>
                <w:rFonts w:ascii="Times New Roman" w:eastAsia="ヒラギノ角ゴ Pro W3" w:hAnsi="Times New Roman"/>
                <w:color w:val="000000"/>
                <w:lang w:eastAsia="en-IN"/>
              </w:rPr>
              <w:t xml:space="preserve"> of</w:t>
            </w:r>
            <w:proofErr w:type="gramEnd"/>
            <w:r w:rsidR="00F70FF1">
              <w:rPr>
                <w:rFonts w:ascii="Times New Roman" w:eastAsia="ヒラギノ角ゴ Pro W3" w:hAnsi="Times New Roman"/>
                <w:color w:val="000000"/>
                <w:lang w:eastAsia="en-IN"/>
              </w:rPr>
              <w:t xml:space="preserve"> SO</w:t>
            </w:r>
            <w:r w:rsidR="007518E4" w:rsidRPr="00681DCE">
              <w:rPr>
                <w:rFonts w:ascii="Times New Roman" w:eastAsia="ヒラギノ角ゴ Pro W3" w:hAnsi="Times New Roman"/>
                <w:color w:val="000000"/>
                <w:lang w:eastAsia="en-IN"/>
              </w:rPr>
              <w:t>Es</w:t>
            </w:r>
            <w:r>
              <w:rPr>
                <w:rFonts w:ascii="Times New Roman" w:eastAsia="ヒラギノ角ゴ Pro W3" w:hAnsi="Times New Roman"/>
                <w:color w:val="000000"/>
                <w:lang w:eastAsia="en-IN"/>
              </w:rPr>
              <w:t xml:space="preserve"> turnover, </w:t>
            </w:r>
            <w:r w:rsidR="007518E4" w:rsidRPr="00681DCE">
              <w:rPr>
                <w:rFonts w:ascii="Times New Roman" w:eastAsia="ヒラギノ角ゴ Pro W3" w:hAnsi="Times New Roman"/>
                <w:color w:val="000000"/>
                <w:lang w:eastAsia="en-IN"/>
              </w:rPr>
              <w:t xml:space="preserve">had submitted 2017 annual financial statements and financial information to MoF within 9 months of end of the financial year, but no information is available on their audit status or their publication.  Only five listed SOEs had published audited financial statements within six months of the end of financial year as legally required.  There is no overall consolidated report. </w:t>
            </w:r>
          </w:p>
        </w:tc>
      </w:tr>
      <w:tr w:rsidR="007518E4" w:rsidRPr="00930334" w14:paraId="7EFDB6CC" w14:textId="77777777" w:rsidTr="00F70FF1">
        <w:trPr>
          <w:trHeight w:val="548"/>
          <w:jc w:val="center"/>
        </w:trPr>
        <w:tc>
          <w:tcPr>
            <w:tcW w:w="1178" w:type="pct"/>
            <w:tcBorders>
              <w:top w:val="single" w:sz="4" w:space="0" w:color="auto"/>
              <w:left w:val="single" w:sz="4" w:space="0" w:color="auto"/>
              <w:bottom w:val="single" w:sz="4" w:space="0" w:color="auto"/>
              <w:right w:val="single" w:sz="4" w:space="0" w:color="auto"/>
            </w:tcBorders>
            <w:vAlign w:val="center"/>
            <w:hideMark/>
          </w:tcPr>
          <w:p w14:paraId="39F1B159" w14:textId="77777777" w:rsidR="007518E4" w:rsidRPr="003C7902" w:rsidRDefault="007518E4" w:rsidP="00F70FF1">
            <w:pPr>
              <w:spacing w:before="0"/>
              <w:ind w:left="0"/>
              <w:jc w:val="left"/>
              <w:rPr>
                <w:rFonts w:ascii="Times New Roman" w:hAnsi="Times New Roman"/>
                <w:color w:val="000000"/>
              </w:rPr>
            </w:pPr>
            <w:r w:rsidRPr="003C7902">
              <w:rPr>
                <w:rFonts w:ascii="Times New Roman" w:hAnsi="Times New Roman"/>
                <w:color w:val="000000"/>
              </w:rPr>
              <w:t>10.2 Monitoring of subnational governments</w:t>
            </w:r>
          </w:p>
        </w:tc>
        <w:tc>
          <w:tcPr>
            <w:tcW w:w="633" w:type="pct"/>
            <w:tcBorders>
              <w:top w:val="single" w:sz="4" w:space="0" w:color="auto"/>
              <w:left w:val="single" w:sz="4" w:space="0" w:color="auto"/>
              <w:bottom w:val="single" w:sz="4" w:space="0" w:color="auto"/>
              <w:right w:val="single" w:sz="4" w:space="0" w:color="auto"/>
            </w:tcBorders>
            <w:vAlign w:val="center"/>
          </w:tcPr>
          <w:p w14:paraId="082D83C5" w14:textId="77777777" w:rsidR="007518E4" w:rsidRPr="003C7902" w:rsidRDefault="00BE2557" w:rsidP="00844E6D">
            <w:pPr>
              <w:spacing w:before="0"/>
              <w:ind w:left="0"/>
              <w:jc w:val="center"/>
              <w:rPr>
                <w:rFonts w:ascii="Times New Roman" w:hAnsi="Times New Roman"/>
              </w:rPr>
            </w:pPr>
            <w:r>
              <w:rPr>
                <w:rFonts w:ascii="Times New Roman" w:hAnsi="Times New Roman"/>
              </w:rPr>
              <w:t>NA</w:t>
            </w:r>
          </w:p>
        </w:tc>
        <w:tc>
          <w:tcPr>
            <w:tcW w:w="3189" w:type="pct"/>
            <w:tcBorders>
              <w:top w:val="single" w:sz="4" w:space="0" w:color="auto"/>
              <w:left w:val="single" w:sz="4" w:space="0" w:color="auto"/>
              <w:bottom w:val="single" w:sz="4" w:space="0" w:color="auto"/>
              <w:right w:val="single" w:sz="4" w:space="0" w:color="auto"/>
            </w:tcBorders>
            <w:vAlign w:val="center"/>
          </w:tcPr>
          <w:p w14:paraId="5524C746" w14:textId="77777777" w:rsidR="007518E4" w:rsidRPr="00CB40EA" w:rsidRDefault="007518E4" w:rsidP="00844E6D">
            <w:pPr>
              <w:spacing w:before="0"/>
              <w:ind w:left="0"/>
              <w:rPr>
                <w:rFonts w:ascii="Times New Roman" w:hAnsi="Times New Roman"/>
                <w:lang w:eastAsia="en-IN"/>
              </w:rPr>
            </w:pPr>
          </w:p>
        </w:tc>
      </w:tr>
      <w:tr w:rsidR="007518E4" w:rsidRPr="00930334" w14:paraId="54F60F22" w14:textId="77777777" w:rsidTr="00F70FF1">
        <w:trPr>
          <w:trHeight w:val="260"/>
          <w:jc w:val="center"/>
        </w:trPr>
        <w:tc>
          <w:tcPr>
            <w:tcW w:w="1178" w:type="pct"/>
            <w:tcBorders>
              <w:top w:val="single" w:sz="4" w:space="0" w:color="auto"/>
              <w:left w:val="single" w:sz="4" w:space="0" w:color="auto"/>
              <w:bottom w:val="single" w:sz="4" w:space="0" w:color="auto"/>
              <w:right w:val="single" w:sz="4" w:space="0" w:color="auto"/>
            </w:tcBorders>
            <w:vAlign w:val="center"/>
            <w:hideMark/>
          </w:tcPr>
          <w:p w14:paraId="665A9F4D" w14:textId="77777777" w:rsidR="007518E4" w:rsidRPr="003C7902" w:rsidRDefault="007518E4" w:rsidP="00F70FF1">
            <w:pPr>
              <w:spacing w:before="0"/>
              <w:ind w:left="0"/>
              <w:jc w:val="left"/>
              <w:rPr>
                <w:rFonts w:ascii="Times New Roman" w:hAnsi="Times New Roman"/>
                <w:color w:val="000000"/>
              </w:rPr>
            </w:pPr>
            <w:r w:rsidRPr="003C7902">
              <w:rPr>
                <w:rFonts w:ascii="Times New Roman" w:hAnsi="Times New Roman"/>
                <w:color w:val="000000"/>
              </w:rPr>
              <w:t>10.3 Contingent liabilities and other fiscal risks</w:t>
            </w:r>
          </w:p>
        </w:tc>
        <w:tc>
          <w:tcPr>
            <w:tcW w:w="633" w:type="pct"/>
            <w:tcBorders>
              <w:top w:val="single" w:sz="4" w:space="0" w:color="auto"/>
              <w:left w:val="single" w:sz="4" w:space="0" w:color="auto"/>
              <w:bottom w:val="single" w:sz="4" w:space="0" w:color="auto"/>
              <w:right w:val="single" w:sz="4" w:space="0" w:color="auto"/>
            </w:tcBorders>
            <w:vAlign w:val="center"/>
          </w:tcPr>
          <w:p w14:paraId="3D9E3C17" w14:textId="77777777" w:rsidR="007518E4" w:rsidRPr="003C7902" w:rsidRDefault="007518E4" w:rsidP="00844E6D">
            <w:pPr>
              <w:spacing w:before="0"/>
              <w:ind w:left="0"/>
              <w:jc w:val="center"/>
              <w:rPr>
                <w:rFonts w:ascii="Times New Roman" w:hAnsi="Times New Roman"/>
              </w:rPr>
            </w:pPr>
            <w:r w:rsidRPr="003C7902">
              <w:rPr>
                <w:rFonts w:ascii="Times New Roman" w:hAnsi="Times New Roman"/>
              </w:rPr>
              <w:t>D</w:t>
            </w:r>
          </w:p>
        </w:tc>
        <w:tc>
          <w:tcPr>
            <w:tcW w:w="3189" w:type="pct"/>
            <w:tcBorders>
              <w:top w:val="single" w:sz="4" w:space="0" w:color="auto"/>
              <w:left w:val="single" w:sz="4" w:space="0" w:color="auto"/>
              <w:bottom w:val="single" w:sz="4" w:space="0" w:color="auto"/>
              <w:right w:val="single" w:sz="4" w:space="0" w:color="auto"/>
            </w:tcBorders>
            <w:vAlign w:val="center"/>
          </w:tcPr>
          <w:p w14:paraId="7A742681" w14:textId="77777777" w:rsidR="007518E4" w:rsidRPr="009F38FC" w:rsidRDefault="007518E4" w:rsidP="00844E6D">
            <w:pPr>
              <w:spacing w:before="0"/>
              <w:ind w:left="0"/>
              <w:rPr>
                <w:rFonts w:ascii="Times New Roman" w:eastAsia="ヒラギノ角ゴ Pro W3" w:hAnsi="Times New Roman"/>
                <w:color w:val="000000"/>
                <w:highlight w:val="yellow"/>
                <w:lang w:eastAsia="en-IN"/>
              </w:rPr>
            </w:pPr>
            <w:r w:rsidRPr="009F38FC">
              <w:rPr>
                <w:rFonts w:ascii="Times New Roman" w:eastAsia="ヒラギノ角ゴ Pro W3" w:hAnsi="Times New Roman"/>
                <w:color w:val="000000"/>
                <w:lang w:eastAsia="en-IN"/>
              </w:rPr>
              <w:t>No reporting takes place on contingent liabilities and other fiscal risks from central government’s operations.</w:t>
            </w:r>
          </w:p>
        </w:tc>
      </w:tr>
    </w:tbl>
    <w:p w14:paraId="7EAF7752" w14:textId="77777777" w:rsidR="007518E4" w:rsidRPr="00FE6ED4" w:rsidRDefault="007518E4" w:rsidP="008037D9">
      <w:pPr>
        <w:pStyle w:val="BodyText"/>
        <w:numPr>
          <w:ilvl w:val="1"/>
          <w:numId w:val="50"/>
        </w:numPr>
        <w:spacing w:after="240"/>
        <w:rPr>
          <w:rFonts w:ascii="Times New Roman" w:hAnsi="Times New Roman"/>
          <w:b/>
          <w:color w:val="FFC000"/>
          <w:sz w:val="24"/>
          <w:szCs w:val="21"/>
        </w:rPr>
      </w:pPr>
      <w:r>
        <w:rPr>
          <w:rFonts w:ascii="Times New Roman" w:hAnsi="Times New Roman"/>
          <w:b/>
          <w:color w:val="FFC000"/>
          <w:sz w:val="24"/>
          <w:szCs w:val="21"/>
        </w:rPr>
        <w:t xml:space="preserve"> M</w:t>
      </w:r>
      <w:r w:rsidRPr="00FE6ED4">
        <w:rPr>
          <w:rFonts w:ascii="Times New Roman" w:hAnsi="Times New Roman"/>
          <w:b/>
          <w:color w:val="FFC000"/>
          <w:sz w:val="24"/>
          <w:szCs w:val="21"/>
        </w:rPr>
        <w:t xml:space="preserve">onitoring of </w:t>
      </w:r>
      <w:r>
        <w:rPr>
          <w:rFonts w:ascii="Times New Roman" w:hAnsi="Times New Roman"/>
          <w:b/>
          <w:color w:val="FFC000"/>
          <w:sz w:val="24"/>
          <w:szCs w:val="21"/>
        </w:rPr>
        <w:t>p</w:t>
      </w:r>
      <w:r w:rsidRPr="00FE6ED4">
        <w:rPr>
          <w:rFonts w:ascii="Times New Roman" w:hAnsi="Times New Roman"/>
          <w:b/>
          <w:color w:val="FFC000"/>
          <w:sz w:val="24"/>
          <w:szCs w:val="21"/>
        </w:rPr>
        <w:t xml:space="preserve">ublic </w:t>
      </w:r>
      <w:r>
        <w:rPr>
          <w:rFonts w:ascii="Times New Roman" w:hAnsi="Times New Roman"/>
          <w:b/>
          <w:color w:val="FFC000"/>
          <w:sz w:val="24"/>
          <w:szCs w:val="21"/>
        </w:rPr>
        <w:t>c</w:t>
      </w:r>
      <w:r w:rsidRPr="00FE6ED4">
        <w:rPr>
          <w:rFonts w:ascii="Times New Roman" w:hAnsi="Times New Roman"/>
          <w:b/>
          <w:color w:val="FFC000"/>
          <w:sz w:val="24"/>
          <w:szCs w:val="21"/>
        </w:rPr>
        <w:t>orporations</w:t>
      </w:r>
    </w:p>
    <w:p w14:paraId="2C817B2D" w14:textId="618530BF" w:rsidR="007518E4" w:rsidRDefault="00F70FF1"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Pr>
          <w:rFonts w:ascii="Times New Roman" w:eastAsia="ヒラギノ角ゴ Pro W3" w:hAnsi="Times New Roman"/>
          <w:b/>
          <w:color w:val="000000"/>
          <w:sz w:val="24"/>
          <w:lang w:eastAsia="en-IN"/>
        </w:rPr>
        <w:t>Data on MoF-recorded State-</w:t>
      </w:r>
      <w:r w:rsidR="007518E4" w:rsidRPr="00844E6D">
        <w:rPr>
          <w:rFonts w:ascii="Times New Roman" w:eastAsia="ヒラギノ角ゴ Pro W3" w:hAnsi="Times New Roman"/>
          <w:b/>
          <w:color w:val="000000"/>
          <w:sz w:val="24"/>
          <w:lang w:eastAsia="en-IN"/>
        </w:rPr>
        <w:t>Owned Enterprises show that of the 183 SOEs registered with state participation, 60 are publicly owned (more than 50% owned by the state) and report at CG level.</w:t>
      </w:r>
      <w:r w:rsidR="007518E4" w:rsidRPr="00681DCE">
        <w:rPr>
          <w:rFonts w:ascii="Times New Roman" w:eastAsia="ヒラギノ角ゴ Pro W3" w:hAnsi="Times New Roman"/>
          <w:color w:val="000000"/>
          <w:sz w:val="24"/>
          <w:lang w:eastAsia="en-IN"/>
        </w:rPr>
        <w:t xml:space="preserve"> </w:t>
      </w:r>
      <w:r w:rsidR="00EA132A">
        <w:rPr>
          <w:rFonts w:ascii="Times New Roman" w:eastAsia="ヒラギノ角ゴ Pro W3" w:hAnsi="Times New Roman"/>
          <w:color w:val="000000"/>
          <w:sz w:val="24"/>
          <w:lang w:eastAsia="en-IN"/>
        </w:rPr>
        <w:t xml:space="preserve">Data on SOEs is presented </w:t>
      </w:r>
      <w:r w:rsidR="001747C3">
        <w:rPr>
          <w:rFonts w:ascii="Times New Roman" w:eastAsia="ヒラギノ角ゴ Pro W3" w:hAnsi="Times New Roman"/>
          <w:color w:val="000000"/>
          <w:sz w:val="24"/>
          <w:lang w:eastAsia="en-IN"/>
        </w:rPr>
        <w:t>in Annex 5.</w:t>
      </w:r>
      <w:r w:rsidR="00787D84">
        <w:rPr>
          <w:rFonts w:ascii="Times New Roman" w:eastAsia="ヒラギノ角ゴ Pro W3" w:hAnsi="Times New Roman"/>
          <w:color w:val="000000"/>
          <w:sz w:val="24"/>
          <w:lang w:eastAsia="en-IN"/>
        </w:rPr>
        <w:t xml:space="preserve"> </w:t>
      </w:r>
      <w:r w:rsidR="007518E4" w:rsidRPr="00681DCE">
        <w:rPr>
          <w:rFonts w:ascii="Times New Roman" w:eastAsia="ヒラギノ角ゴ Pro W3" w:hAnsi="Times New Roman"/>
          <w:color w:val="000000"/>
          <w:sz w:val="24"/>
          <w:lang w:eastAsia="en-IN"/>
        </w:rPr>
        <w:t>There is no general legal provision for the SOEs to publish audited financial statements unless they are publicly listed or are required by the nature of their operations state</w:t>
      </w:r>
      <w:r>
        <w:rPr>
          <w:rFonts w:ascii="Times New Roman" w:eastAsia="ヒラギノ角ゴ Pro W3" w:hAnsi="Times New Roman"/>
          <w:color w:val="000000"/>
          <w:sz w:val="24"/>
          <w:lang w:eastAsia="en-IN"/>
        </w:rPr>
        <w:t>-</w:t>
      </w:r>
      <w:r w:rsidR="007518E4" w:rsidRPr="00681DCE">
        <w:rPr>
          <w:rFonts w:ascii="Times New Roman" w:eastAsia="ヒラギノ角ゴ Pro W3" w:hAnsi="Times New Roman"/>
          <w:color w:val="000000"/>
          <w:sz w:val="24"/>
          <w:lang w:eastAsia="en-IN"/>
        </w:rPr>
        <w:t xml:space="preserve">owned banks in the financial sector or utility companies. Out of the 60 SOEs listed by the MoF SOE department as of September 2018, 43 have submitted their financial report within 9 months of the end of their financial year, and </w:t>
      </w:r>
      <w:r w:rsidR="007518E4">
        <w:rPr>
          <w:rFonts w:ascii="Times New Roman" w:eastAsia="ヒラギノ角ゴ Pro W3" w:hAnsi="Times New Roman"/>
          <w:color w:val="000000"/>
          <w:sz w:val="24"/>
          <w:lang w:eastAsia="en-IN"/>
        </w:rPr>
        <w:t>of these,</w:t>
      </w:r>
      <w:r w:rsidR="007518E4" w:rsidRPr="00681DCE">
        <w:rPr>
          <w:rFonts w:ascii="Times New Roman" w:eastAsia="ヒラギノ角ゴ Pro W3" w:hAnsi="Times New Roman"/>
          <w:color w:val="000000"/>
          <w:sz w:val="24"/>
          <w:lang w:eastAsia="en-IN"/>
        </w:rPr>
        <w:t xml:space="preserve"> five listed companies</w:t>
      </w:r>
      <w:r w:rsidR="007518E4" w:rsidRPr="003C7902">
        <w:rPr>
          <w:rStyle w:val="FootnoteReference"/>
          <w:rFonts w:ascii="Times New Roman" w:eastAsia="ヒラギノ角ゴ Pro W3" w:hAnsi="Times New Roman"/>
          <w:color w:val="000000"/>
          <w:sz w:val="24"/>
          <w:lang w:eastAsia="en-IN"/>
        </w:rPr>
        <w:footnoteReference w:id="28"/>
      </w:r>
      <w:r w:rsidR="007518E4" w:rsidRPr="00681DCE">
        <w:rPr>
          <w:rFonts w:ascii="Times New Roman" w:eastAsia="ヒラギノ角ゴ Pro W3" w:hAnsi="Times New Roman"/>
          <w:color w:val="000000"/>
          <w:sz w:val="24"/>
          <w:lang w:eastAsia="en-IN"/>
        </w:rPr>
        <w:t xml:space="preserve"> - have published their audited financial reports in the same period. These 43 SOEs represent </w:t>
      </w:r>
      <w:r w:rsidR="007518E4" w:rsidRPr="00681DCE">
        <w:rPr>
          <w:rFonts w:ascii="Times New Roman" w:eastAsia="ヒラギノ角ゴ Pro W3" w:hAnsi="Times New Roman"/>
          <w:color w:val="000000" w:themeColor="text1"/>
          <w:sz w:val="24"/>
          <w:lang w:eastAsia="en-IN"/>
        </w:rPr>
        <w:t xml:space="preserve">approximately </w:t>
      </w:r>
      <w:r w:rsidR="001747C3">
        <w:rPr>
          <w:rFonts w:ascii="Times New Roman" w:eastAsia="ヒラギノ角ゴ Pro W3" w:hAnsi="Times New Roman"/>
          <w:color w:val="000000" w:themeColor="text1"/>
          <w:sz w:val="24"/>
          <w:lang w:eastAsia="en-IN"/>
        </w:rPr>
        <w:t>70</w:t>
      </w:r>
      <w:r w:rsidR="007518E4" w:rsidRPr="00681DCE">
        <w:rPr>
          <w:rFonts w:ascii="Times New Roman" w:eastAsia="ヒラギノ角ゴ Pro W3" w:hAnsi="Times New Roman"/>
          <w:color w:val="000000" w:themeColor="text1"/>
          <w:sz w:val="24"/>
          <w:lang w:eastAsia="en-IN"/>
        </w:rPr>
        <w:t>%</w:t>
      </w:r>
      <w:r w:rsidR="007518E4" w:rsidRPr="003C7902">
        <w:rPr>
          <w:rStyle w:val="FootnoteReference"/>
          <w:rFonts w:ascii="Times New Roman" w:eastAsia="ヒラギノ角ゴ Pro W3" w:hAnsi="Times New Roman"/>
          <w:color w:val="000000" w:themeColor="text1"/>
          <w:sz w:val="24"/>
          <w:lang w:eastAsia="en-IN"/>
        </w:rPr>
        <w:footnoteReference w:id="29"/>
      </w:r>
      <w:r w:rsidR="007518E4" w:rsidRPr="00681DCE">
        <w:rPr>
          <w:rFonts w:ascii="Times New Roman" w:eastAsia="ヒラギノ角ゴ Pro W3" w:hAnsi="Times New Roman"/>
          <w:color w:val="000000" w:themeColor="text1"/>
          <w:sz w:val="24"/>
          <w:lang w:eastAsia="en-IN"/>
        </w:rPr>
        <w:t xml:space="preserve"> of </w:t>
      </w:r>
      <w:r w:rsidR="007518E4" w:rsidRPr="00681DCE">
        <w:rPr>
          <w:rFonts w:ascii="Times New Roman" w:eastAsia="ヒラギノ角ゴ Pro W3" w:hAnsi="Times New Roman"/>
          <w:color w:val="000000"/>
          <w:sz w:val="24"/>
          <w:lang w:eastAsia="en-IN"/>
        </w:rPr>
        <w:t xml:space="preserve">the total turnover of the </w:t>
      </w:r>
      <w:r w:rsidR="007518E4" w:rsidRPr="00681DCE">
        <w:rPr>
          <w:rFonts w:ascii="Times New Roman" w:eastAsia="ヒラギノ角ゴ Pro W3" w:hAnsi="Times New Roman"/>
          <w:color w:val="000000"/>
          <w:sz w:val="24"/>
          <w:lang w:eastAsia="en-IN"/>
        </w:rPr>
        <w:lastRenderedPageBreak/>
        <w:t xml:space="preserve">SOEs registered by the MoF.  The publication and timeliness of financial reports for the rest of the SOEs could not be assessed. </w:t>
      </w:r>
    </w:p>
    <w:p w14:paraId="7E5F46E2" w14:textId="77777777" w:rsidR="007518E4" w:rsidRPr="00844E6D" w:rsidRDefault="007518E4" w:rsidP="00921730">
      <w:pPr>
        <w:pStyle w:val="ListParagraph"/>
        <w:numPr>
          <w:ilvl w:val="0"/>
          <w:numId w:val="32"/>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844E6D">
        <w:rPr>
          <w:rFonts w:ascii="Times New Roman" w:eastAsia="ヒラギノ角ゴ Pro W3" w:hAnsi="Times New Roman"/>
          <w:b/>
          <w:color w:val="000000"/>
          <w:sz w:val="24"/>
          <w:lang w:eastAsia="en-IN"/>
        </w:rPr>
        <w:t>The SOE department within the MoF has been recently assigned to support the government policy toward the restructuring of the SOE sector.</w:t>
      </w:r>
      <w:r w:rsidRPr="00844E6D">
        <w:rPr>
          <w:rFonts w:ascii="Times New Roman" w:eastAsia="ヒラギノ角ゴ Pro W3" w:hAnsi="Times New Roman"/>
          <w:color w:val="000000"/>
          <w:sz w:val="24"/>
          <w:lang w:eastAsia="en-IN"/>
        </w:rPr>
        <w:t xml:space="preserve">  t is now better resourced to track and monitor financial information and trends on SOE operations which may allow the preparation of the relevant reporting within MoF.  However, their current analysis does not highlight fiscal risks as it does not link trends to loan guarantees issued by the government, payment arrears etc. Two types of SOE-related liabilities are of </w:t>
      </w:r>
      <w:proofErr w:type="gramStart"/>
      <w:r w:rsidRPr="00844E6D">
        <w:rPr>
          <w:rFonts w:ascii="Times New Roman" w:eastAsia="ヒラギノ角ゴ Pro W3" w:hAnsi="Times New Roman"/>
          <w:color w:val="000000"/>
          <w:sz w:val="24"/>
          <w:lang w:eastAsia="en-IN"/>
        </w:rPr>
        <w:t>particular importance</w:t>
      </w:r>
      <w:proofErr w:type="gramEnd"/>
      <w:r w:rsidRPr="00844E6D">
        <w:rPr>
          <w:rFonts w:ascii="Times New Roman" w:eastAsia="ヒラギノ角ゴ Pro W3" w:hAnsi="Times New Roman"/>
          <w:color w:val="000000"/>
          <w:sz w:val="24"/>
          <w:lang w:eastAsia="en-IN"/>
        </w:rPr>
        <w:t>:</w:t>
      </w:r>
    </w:p>
    <w:p w14:paraId="282F4EA1" w14:textId="77777777" w:rsidR="007518E4" w:rsidRPr="003C7902" w:rsidRDefault="007518E4" w:rsidP="00F70FF1">
      <w:pPr>
        <w:pStyle w:val="ListParagraph"/>
        <w:numPr>
          <w:ilvl w:val="0"/>
          <w:numId w:val="52"/>
        </w:numPr>
        <w:spacing w:after="120"/>
        <w:contextualSpacing w:val="0"/>
        <w:rPr>
          <w:rFonts w:ascii="Times New Roman" w:eastAsia="ヒラギノ角ゴ Pro W3" w:hAnsi="Times New Roman"/>
          <w:color w:val="000000"/>
          <w:sz w:val="24"/>
          <w:lang w:eastAsia="en-IN"/>
        </w:rPr>
      </w:pPr>
      <w:r w:rsidRPr="003C7902">
        <w:rPr>
          <w:rFonts w:ascii="Times New Roman" w:eastAsia="ヒラギノ角ゴ Pro W3" w:hAnsi="Times New Roman"/>
          <w:color w:val="000000"/>
          <w:sz w:val="24"/>
          <w:lang w:eastAsia="en-IN"/>
        </w:rPr>
        <w:t>substantial amounts of taxes are outstanding with SOEs. Tax revenue loss from SOEs is a fiscal risk that could be reported by the Tax department which is responsible for the assessment of SOE tax liabilities. However, the latter are not highlighted in key fiscal documents.</w:t>
      </w:r>
    </w:p>
    <w:p w14:paraId="39E83A26" w14:textId="77777777" w:rsidR="007518E4" w:rsidRPr="003C7902" w:rsidRDefault="007518E4" w:rsidP="008037D9">
      <w:pPr>
        <w:pStyle w:val="ListParagraph"/>
        <w:numPr>
          <w:ilvl w:val="0"/>
          <w:numId w:val="52"/>
        </w:numPr>
        <w:spacing w:before="0" w:after="240"/>
        <w:ind w:left="714" w:hanging="357"/>
        <w:contextualSpacing w:val="0"/>
        <w:rPr>
          <w:rFonts w:ascii="Times New Roman" w:eastAsia="ヒラギノ角ゴ Pro W3" w:hAnsi="Times New Roman"/>
          <w:color w:val="000000"/>
          <w:sz w:val="24"/>
          <w:lang w:eastAsia="en-IN"/>
        </w:rPr>
      </w:pPr>
      <w:r w:rsidRPr="003C7902">
        <w:rPr>
          <w:rFonts w:ascii="Times New Roman" w:eastAsia="ヒラギノ角ゴ Pro W3" w:hAnsi="Times New Roman"/>
          <w:color w:val="000000"/>
          <w:sz w:val="24"/>
          <w:lang w:eastAsia="en-IN"/>
        </w:rPr>
        <w:t>Borrowing witho</w:t>
      </w:r>
      <w:r w:rsidR="00844E6D">
        <w:rPr>
          <w:rFonts w:ascii="Times New Roman" w:eastAsia="ヒラギノ角ゴ Pro W3" w:hAnsi="Times New Roman"/>
          <w:color w:val="000000"/>
          <w:sz w:val="24"/>
          <w:lang w:eastAsia="en-IN"/>
        </w:rPr>
        <w:t>u</w:t>
      </w:r>
      <w:r w:rsidRPr="003C7902">
        <w:rPr>
          <w:rFonts w:ascii="Times New Roman" w:eastAsia="ヒラギノ角ゴ Pro W3" w:hAnsi="Times New Roman"/>
          <w:color w:val="000000"/>
          <w:sz w:val="24"/>
          <w:lang w:eastAsia="en-IN"/>
        </w:rPr>
        <w:t xml:space="preserve">t an explicit government guarantee and incurring nonperforming loans with state-owned commercial banks. </w:t>
      </w:r>
    </w:p>
    <w:p w14:paraId="1D0B9E78" w14:textId="77777777" w:rsidR="007518E4" w:rsidRPr="00E17EC9" w:rsidRDefault="007518E4"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sidRPr="00844E6D">
        <w:rPr>
          <w:rFonts w:ascii="Times New Roman" w:eastAsia="ヒラギノ角ゴ Pro W3" w:hAnsi="Times New Roman"/>
          <w:b/>
          <w:color w:val="000000"/>
          <w:sz w:val="24"/>
          <w:lang w:eastAsia="en-IN"/>
        </w:rPr>
        <w:t>While budget documents and dedicated debt reports cover debt sustainability, little consideration is given to government guarantees issued – including letters to facilitate bank overdrafts.</w:t>
      </w:r>
      <w:r w:rsidRPr="00E17EC9">
        <w:rPr>
          <w:rFonts w:ascii="Times New Roman" w:eastAsia="ヒラギノ角ゴ Pro W3" w:hAnsi="Times New Roman"/>
          <w:color w:val="000000"/>
          <w:sz w:val="24"/>
          <w:lang w:eastAsia="en-IN"/>
        </w:rPr>
        <w:t xml:space="preserve"> There is no specific consolidated report on the SOE performance and although SOE management and subsequent liabilities is a high priority focus area for MoF, specific information on SOE -related fiscal risks is not publicly available in government financial reports. </w:t>
      </w:r>
      <w:r w:rsidRPr="00E17EC9">
        <w:rPr>
          <w:rFonts w:ascii="Times New Roman" w:eastAsia="ヒラギノ角ゴ Pro W3" w:hAnsi="Times New Roman"/>
          <w:color w:val="000000" w:themeColor="text1"/>
          <w:sz w:val="24"/>
          <w:lang w:eastAsia="en-IN"/>
        </w:rPr>
        <w:t xml:space="preserve">SAO audit reports cover the SOE sector but specific mention to SOE operations were not identified in the 2014/2015 report.  </w:t>
      </w:r>
    </w:p>
    <w:p w14:paraId="61CB3330" w14:textId="5A4779D8" w:rsidR="007518E4" w:rsidRPr="00681DCE" w:rsidRDefault="001747C3" w:rsidP="00921730">
      <w:pPr>
        <w:pStyle w:val="ListParagraph"/>
        <w:numPr>
          <w:ilvl w:val="0"/>
          <w:numId w:val="32"/>
        </w:numPr>
        <w:autoSpaceDE w:val="0"/>
        <w:autoSpaceDN w:val="0"/>
        <w:adjustRightInd w:val="0"/>
        <w:spacing w:after="240"/>
        <w:ind w:left="0" w:firstLine="0"/>
        <w:contextualSpacing w:val="0"/>
        <w:rPr>
          <w:rFonts w:ascii="Times New Roman" w:hAnsi="Times New Roman"/>
          <w:sz w:val="24"/>
        </w:rPr>
      </w:pPr>
      <w:r>
        <w:rPr>
          <w:rFonts w:ascii="Times New Roman" w:eastAsia="ヒラギノ角ゴ Pro W3" w:hAnsi="Times New Roman"/>
          <w:b/>
          <w:color w:val="000000"/>
          <w:sz w:val="24"/>
          <w:lang w:eastAsia="en-IN"/>
        </w:rPr>
        <w:t>The 43</w:t>
      </w:r>
      <w:r w:rsidR="007518E4" w:rsidRPr="00844E6D">
        <w:rPr>
          <w:rFonts w:ascii="Times New Roman" w:eastAsia="ヒラギノ角ゴ Pro W3" w:hAnsi="Times New Roman"/>
          <w:b/>
          <w:color w:val="000000"/>
          <w:sz w:val="24"/>
          <w:lang w:eastAsia="en-IN"/>
        </w:rPr>
        <w:t>S</w:t>
      </w:r>
      <w:r w:rsidR="00F70FF1">
        <w:rPr>
          <w:rFonts w:ascii="Times New Roman" w:eastAsia="ヒラギノ角ゴ Pro W3" w:hAnsi="Times New Roman"/>
          <w:b/>
          <w:color w:val="000000"/>
          <w:sz w:val="24"/>
          <w:lang w:eastAsia="en-IN"/>
        </w:rPr>
        <w:t>O</w:t>
      </w:r>
      <w:r w:rsidR="007518E4" w:rsidRPr="00844E6D">
        <w:rPr>
          <w:rFonts w:ascii="Times New Roman" w:eastAsia="ヒラギノ角ゴ Pro W3" w:hAnsi="Times New Roman"/>
          <w:b/>
          <w:color w:val="000000"/>
          <w:sz w:val="24"/>
          <w:lang w:eastAsia="en-IN"/>
        </w:rPr>
        <w:t xml:space="preserve">Es </w:t>
      </w:r>
      <w:r>
        <w:rPr>
          <w:rFonts w:ascii="Times New Roman" w:eastAsia="ヒラギノ角ゴ Pro W3" w:hAnsi="Times New Roman"/>
          <w:b/>
          <w:color w:val="000000"/>
          <w:sz w:val="24"/>
          <w:lang w:eastAsia="en-IN"/>
        </w:rPr>
        <w:t xml:space="preserve">that </w:t>
      </w:r>
      <w:r w:rsidR="007518E4" w:rsidRPr="00844E6D">
        <w:rPr>
          <w:rFonts w:ascii="Times New Roman" w:eastAsia="ヒラギノ角ゴ Pro W3" w:hAnsi="Times New Roman"/>
          <w:b/>
          <w:color w:val="000000"/>
          <w:sz w:val="24"/>
          <w:lang w:eastAsia="en-IN"/>
        </w:rPr>
        <w:t>had submitted 2017 annual financial statements and financial information to MoF within 9 months of end of the financial year</w:t>
      </w:r>
      <w:r>
        <w:rPr>
          <w:rFonts w:ascii="Times New Roman" w:eastAsia="ヒラギノ角ゴ Pro W3" w:hAnsi="Times New Roman"/>
          <w:b/>
          <w:color w:val="000000"/>
          <w:sz w:val="24"/>
          <w:lang w:eastAsia="en-IN"/>
        </w:rPr>
        <w:t xml:space="preserve"> represented approximately 70 percent of the total turnover of the SOEs</w:t>
      </w:r>
      <w:r w:rsidR="007518E4" w:rsidRPr="00844E6D">
        <w:rPr>
          <w:rFonts w:ascii="Times New Roman" w:eastAsia="ヒラギノ角ゴ Pro W3" w:hAnsi="Times New Roman"/>
          <w:b/>
          <w:color w:val="000000"/>
          <w:sz w:val="24"/>
          <w:lang w:eastAsia="en-IN"/>
        </w:rPr>
        <w:t>, but no information is available on their audit status or their publication</w:t>
      </w:r>
      <w:r w:rsidR="007518E4" w:rsidRPr="00681DCE">
        <w:rPr>
          <w:rFonts w:ascii="Times New Roman" w:eastAsia="ヒラギノ角ゴ Pro W3" w:hAnsi="Times New Roman"/>
          <w:color w:val="000000"/>
          <w:sz w:val="24"/>
          <w:lang w:eastAsia="en-IN"/>
        </w:rPr>
        <w:t xml:space="preserve">. Only five listed SOEs </w:t>
      </w:r>
      <w:r w:rsidR="007518E4">
        <w:rPr>
          <w:rFonts w:ascii="Times New Roman" w:eastAsia="ヒラギノ角ゴ Pro W3" w:hAnsi="Times New Roman"/>
          <w:color w:val="000000"/>
          <w:sz w:val="24"/>
          <w:lang w:eastAsia="en-IN"/>
        </w:rPr>
        <w:t>had published</w:t>
      </w:r>
      <w:r w:rsidR="007518E4" w:rsidRPr="00681DCE">
        <w:rPr>
          <w:rFonts w:ascii="Times New Roman" w:eastAsia="ヒラギノ角ゴ Pro W3" w:hAnsi="Times New Roman"/>
          <w:color w:val="000000"/>
          <w:sz w:val="24"/>
          <w:lang w:eastAsia="en-IN"/>
        </w:rPr>
        <w:t xml:space="preserve"> audited financial statements within six months of the end of financial year as legally required</w:t>
      </w:r>
      <w:r w:rsidR="00F70FF1">
        <w:rPr>
          <w:rFonts w:ascii="Times New Roman" w:eastAsia="ヒラギノ角ゴ Pro W3" w:hAnsi="Times New Roman"/>
          <w:color w:val="000000"/>
          <w:sz w:val="24"/>
          <w:lang w:eastAsia="en-IN"/>
        </w:rPr>
        <w:t>.</w:t>
      </w:r>
      <w:r w:rsidR="007518E4">
        <w:rPr>
          <w:rFonts w:ascii="Times New Roman" w:eastAsia="ヒラギノ角ゴ Pro W3" w:hAnsi="Times New Roman"/>
          <w:color w:val="000000"/>
          <w:sz w:val="24"/>
          <w:lang w:eastAsia="en-IN"/>
        </w:rPr>
        <w:t xml:space="preserve"> There is no overall consolidated report. </w:t>
      </w:r>
      <w:r w:rsidR="007518E4" w:rsidRPr="00681DCE">
        <w:rPr>
          <w:rFonts w:ascii="Times New Roman" w:eastAsia="ヒラギノ角ゴ Pro W3" w:hAnsi="Times New Roman"/>
          <w:color w:val="000000"/>
          <w:sz w:val="24"/>
          <w:lang w:eastAsia="en-IN"/>
        </w:rPr>
        <w:t xml:space="preserve"> Score </w:t>
      </w:r>
      <w:r>
        <w:rPr>
          <w:rFonts w:ascii="Times New Roman" w:eastAsia="ヒラギノ角ゴ Pro W3" w:hAnsi="Times New Roman"/>
          <w:color w:val="000000"/>
          <w:sz w:val="24"/>
          <w:lang w:eastAsia="en-IN"/>
        </w:rPr>
        <w:t>D</w:t>
      </w:r>
      <w:r w:rsidR="007518E4" w:rsidRPr="00681DCE">
        <w:rPr>
          <w:rFonts w:ascii="Times New Roman" w:eastAsia="ヒラギノ角ゴ Pro W3" w:hAnsi="Times New Roman"/>
          <w:color w:val="000000"/>
          <w:sz w:val="24"/>
          <w:lang w:eastAsia="en-IN"/>
        </w:rPr>
        <w:t>.</w:t>
      </w:r>
    </w:p>
    <w:p w14:paraId="4B77B139" w14:textId="77777777" w:rsidR="007518E4" w:rsidRPr="00FE6ED4" w:rsidRDefault="007518E4" w:rsidP="00844E6D">
      <w:pPr>
        <w:pStyle w:val="BodyText"/>
        <w:spacing w:after="240"/>
        <w:ind w:left="0"/>
        <w:rPr>
          <w:rFonts w:ascii="Times New Roman" w:hAnsi="Times New Roman"/>
          <w:b/>
          <w:color w:val="FFC000"/>
          <w:sz w:val="24"/>
          <w:szCs w:val="21"/>
        </w:rPr>
      </w:pPr>
      <w:r w:rsidRPr="00FE6ED4">
        <w:rPr>
          <w:rFonts w:ascii="Times New Roman" w:hAnsi="Times New Roman"/>
          <w:b/>
          <w:color w:val="FFC000"/>
          <w:sz w:val="24"/>
          <w:szCs w:val="21"/>
        </w:rPr>
        <w:t xml:space="preserve">10.2 Monitoring of </w:t>
      </w:r>
      <w:r>
        <w:rPr>
          <w:rFonts w:ascii="Times New Roman" w:hAnsi="Times New Roman"/>
          <w:b/>
          <w:color w:val="FFC000"/>
          <w:sz w:val="24"/>
          <w:szCs w:val="21"/>
        </w:rPr>
        <w:t>s</w:t>
      </w:r>
      <w:r w:rsidRPr="00FE6ED4">
        <w:rPr>
          <w:rFonts w:ascii="Times New Roman" w:hAnsi="Times New Roman"/>
          <w:b/>
          <w:color w:val="FFC000"/>
          <w:sz w:val="24"/>
          <w:szCs w:val="21"/>
        </w:rPr>
        <w:t xml:space="preserve">ubnational </w:t>
      </w:r>
      <w:r>
        <w:rPr>
          <w:rFonts w:ascii="Times New Roman" w:hAnsi="Times New Roman"/>
          <w:b/>
          <w:color w:val="FFC000"/>
          <w:sz w:val="24"/>
          <w:szCs w:val="21"/>
        </w:rPr>
        <w:t>g</w:t>
      </w:r>
      <w:r w:rsidRPr="00FE6ED4">
        <w:rPr>
          <w:rFonts w:ascii="Times New Roman" w:hAnsi="Times New Roman"/>
          <w:b/>
          <w:color w:val="FFC000"/>
          <w:sz w:val="24"/>
          <w:szCs w:val="21"/>
        </w:rPr>
        <w:t>overnment (SNG)</w:t>
      </w:r>
    </w:p>
    <w:p w14:paraId="49D6AA0E" w14:textId="77777777" w:rsidR="007518E4" w:rsidRPr="00AC7C15" w:rsidRDefault="00184291" w:rsidP="008037D9">
      <w:pPr>
        <w:pStyle w:val="ListParagraph"/>
        <w:widowControl w:val="0"/>
        <w:numPr>
          <w:ilvl w:val="0"/>
          <w:numId w:val="53"/>
        </w:numPr>
        <w:autoSpaceDE w:val="0"/>
        <w:autoSpaceDN w:val="0"/>
        <w:adjustRightInd w:val="0"/>
        <w:spacing w:after="240"/>
        <w:ind w:left="0" w:firstLine="0"/>
        <w:contextualSpacing w:val="0"/>
        <w:rPr>
          <w:rFonts w:ascii="Times New Roman" w:eastAsia="Calibri" w:hAnsi="Times New Roman"/>
          <w:color w:val="000000"/>
          <w:sz w:val="24"/>
        </w:rPr>
      </w:pPr>
      <w:r>
        <w:rPr>
          <w:rFonts w:ascii="Times New Roman" w:eastAsia="Calibri" w:hAnsi="Times New Roman"/>
          <w:color w:val="000000"/>
          <w:sz w:val="24"/>
        </w:rPr>
        <w:t>Not Applicable</w:t>
      </w:r>
      <w:r w:rsidR="007518E4" w:rsidRPr="00CB40EA">
        <w:rPr>
          <w:rFonts w:ascii="Times New Roman" w:eastAsia="Calibri" w:hAnsi="Times New Roman"/>
          <w:color w:val="000000"/>
          <w:sz w:val="24"/>
        </w:rPr>
        <w:t>.</w:t>
      </w:r>
    </w:p>
    <w:p w14:paraId="4B46A677" w14:textId="77777777" w:rsidR="007518E4" w:rsidRPr="00FE6ED4" w:rsidRDefault="007518E4" w:rsidP="00844E6D">
      <w:pPr>
        <w:pStyle w:val="BodyText"/>
        <w:spacing w:after="240"/>
        <w:ind w:left="0"/>
        <w:rPr>
          <w:rFonts w:ascii="Times New Roman" w:hAnsi="Times New Roman"/>
          <w:b/>
          <w:color w:val="FFC000"/>
          <w:sz w:val="24"/>
          <w:szCs w:val="21"/>
        </w:rPr>
      </w:pPr>
      <w:r w:rsidRPr="00FE6ED4">
        <w:rPr>
          <w:rFonts w:ascii="Times New Roman" w:hAnsi="Times New Roman"/>
          <w:b/>
          <w:color w:val="FFC000"/>
          <w:sz w:val="24"/>
          <w:szCs w:val="21"/>
        </w:rPr>
        <w:t xml:space="preserve">10.3 Contingent </w:t>
      </w:r>
      <w:r>
        <w:rPr>
          <w:rFonts w:ascii="Times New Roman" w:hAnsi="Times New Roman"/>
          <w:b/>
          <w:color w:val="FFC000"/>
          <w:sz w:val="24"/>
          <w:szCs w:val="21"/>
        </w:rPr>
        <w:t>l</w:t>
      </w:r>
      <w:r w:rsidRPr="00FE6ED4">
        <w:rPr>
          <w:rFonts w:ascii="Times New Roman" w:hAnsi="Times New Roman"/>
          <w:b/>
          <w:color w:val="FFC000"/>
          <w:sz w:val="24"/>
          <w:szCs w:val="21"/>
        </w:rPr>
        <w:t xml:space="preserve">iabilities and </w:t>
      </w:r>
      <w:r>
        <w:rPr>
          <w:rFonts w:ascii="Times New Roman" w:hAnsi="Times New Roman"/>
          <w:b/>
          <w:color w:val="FFC000"/>
          <w:sz w:val="24"/>
          <w:szCs w:val="21"/>
        </w:rPr>
        <w:t>o</w:t>
      </w:r>
      <w:r w:rsidRPr="00FE6ED4">
        <w:rPr>
          <w:rFonts w:ascii="Times New Roman" w:hAnsi="Times New Roman"/>
          <w:b/>
          <w:color w:val="FFC000"/>
          <w:sz w:val="24"/>
          <w:szCs w:val="21"/>
        </w:rPr>
        <w:t xml:space="preserve">ther </w:t>
      </w:r>
      <w:r>
        <w:rPr>
          <w:rFonts w:ascii="Times New Roman" w:hAnsi="Times New Roman"/>
          <w:b/>
          <w:color w:val="FFC000"/>
          <w:sz w:val="24"/>
          <w:szCs w:val="21"/>
        </w:rPr>
        <w:t>f</w:t>
      </w:r>
      <w:r w:rsidRPr="00FE6ED4">
        <w:rPr>
          <w:rFonts w:ascii="Times New Roman" w:hAnsi="Times New Roman"/>
          <w:b/>
          <w:color w:val="FFC000"/>
          <w:sz w:val="24"/>
          <w:szCs w:val="21"/>
        </w:rPr>
        <w:t xml:space="preserve">iscal </w:t>
      </w:r>
      <w:r>
        <w:rPr>
          <w:rFonts w:ascii="Times New Roman" w:hAnsi="Times New Roman"/>
          <w:b/>
          <w:color w:val="FFC000"/>
          <w:sz w:val="24"/>
          <w:szCs w:val="21"/>
        </w:rPr>
        <w:t>r</w:t>
      </w:r>
      <w:r w:rsidRPr="00FE6ED4">
        <w:rPr>
          <w:rFonts w:ascii="Times New Roman" w:hAnsi="Times New Roman"/>
          <w:b/>
          <w:color w:val="FFC000"/>
          <w:sz w:val="24"/>
          <w:szCs w:val="21"/>
        </w:rPr>
        <w:t>isks</w:t>
      </w:r>
    </w:p>
    <w:p w14:paraId="706CF2BA" w14:textId="77777777" w:rsidR="007518E4" w:rsidRPr="009F38FC" w:rsidRDefault="007518E4" w:rsidP="008037D9">
      <w:pPr>
        <w:pStyle w:val="ListParagraph"/>
        <w:numPr>
          <w:ilvl w:val="0"/>
          <w:numId w:val="53"/>
        </w:numPr>
        <w:spacing w:after="240"/>
        <w:ind w:left="0" w:firstLine="0"/>
        <w:contextualSpacing w:val="0"/>
        <w:rPr>
          <w:rFonts w:ascii="Times New Roman" w:hAnsi="Times New Roman"/>
          <w:sz w:val="24"/>
        </w:rPr>
      </w:pPr>
      <w:r w:rsidRPr="00844E6D">
        <w:rPr>
          <w:rFonts w:ascii="Times New Roman" w:hAnsi="Times New Roman"/>
          <w:b/>
          <w:sz w:val="24"/>
        </w:rPr>
        <w:t>T</w:t>
      </w:r>
      <w:r w:rsidRPr="00844E6D">
        <w:rPr>
          <w:rFonts w:ascii="Times New Roman" w:hAnsi="Times New Roman"/>
          <w:b/>
          <w:sz w:val="24"/>
          <w:lang w:eastAsia="en-IN"/>
        </w:rPr>
        <w:t>he financial reporting of the government includes general statements on the fiscal targets and trends but no specific identification of fiscal risks to the government.</w:t>
      </w:r>
      <w:r w:rsidR="00F70FF1">
        <w:rPr>
          <w:rFonts w:ascii="Times New Roman" w:hAnsi="Times New Roman"/>
          <w:sz w:val="24"/>
          <w:lang w:eastAsia="en-IN"/>
        </w:rPr>
        <w:t xml:space="preserve"> </w:t>
      </w:r>
      <w:r w:rsidRPr="009F38FC">
        <w:rPr>
          <w:rFonts w:ascii="Times New Roman" w:hAnsi="Times New Roman"/>
          <w:sz w:val="24"/>
          <w:lang w:eastAsia="en-IN"/>
        </w:rPr>
        <w:t>Contingent liabilities arising from infrastructure projects or from PPPs are not addressed in MoF reports, apart from the capital expendi</w:t>
      </w:r>
      <w:r w:rsidR="00F70FF1">
        <w:rPr>
          <w:rFonts w:ascii="Times New Roman" w:hAnsi="Times New Roman"/>
          <w:sz w:val="24"/>
          <w:lang w:eastAsia="en-IN"/>
        </w:rPr>
        <w:t xml:space="preserve">ture arrears. No risks are disclosed. </w:t>
      </w:r>
      <w:r w:rsidRPr="009F38FC">
        <w:rPr>
          <w:rFonts w:ascii="Times New Roman" w:hAnsi="Times New Roman"/>
          <w:sz w:val="24"/>
          <w:lang w:eastAsia="en-IN"/>
        </w:rPr>
        <w:t xml:space="preserve">The SBL does not include an annual fiscal risk assessment report as part </w:t>
      </w:r>
      <w:r w:rsidR="00F70FF1">
        <w:rPr>
          <w:rFonts w:ascii="Times New Roman" w:hAnsi="Times New Roman"/>
          <w:sz w:val="24"/>
          <w:lang w:eastAsia="en-IN"/>
        </w:rPr>
        <w:t xml:space="preserve">of documentation requirements. </w:t>
      </w:r>
      <w:r w:rsidRPr="009F38FC">
        <w:rPr>
          <w:rFonts w:ascii="Times New Roman" w:hAnsi="Times New Roman"/>
          <w:sz w:val="24"/>
          <w:lang w:eastAsia="en-IN"/>
        </w:rPr>
        <w:t>Given that: (i) financial reports are prepared on the basis of cash accounting - i.e. with no reporting obligations on actual liabilities or contingent liabilities; and (ii) extra-budgetary funds do not report to MoF or with substantial delays (ref. PI-6.3), and those reports do not specify contingent</w:t>
      </w:r>
      <w:r w:rsidRPr="009F38FC">
        <w:rPr>
          <w:rFonts w:ascii="Times New Roman" w:hAnsi="Times New Roman"/>
          <w:i/>
          <w:sz w:val="24"/>
          <w:lang w:eastAsia="en-IN"/>
        </w:rPr>
        <w:t xml:space="preserve"> </w:t>
      </w:r>
      <w:r w:rsidRPr="009F38FC">
        <w:rPr>
          <w:rFonts w:ascii="Times New Roman" w:hAnsi="Times New Roman"/>
          <w:sz w:val="24"/>
          <w:lang w:eastAsia="en-IN"/>
        </w:rPr>
        <w:t>liabilities (to the extent that the assessors have been able to view the reports), the conclusion is that very little analysis of fiscal risk from government operations is actually taking place. As evidenced by the backlog of arrears spiraling out of control on provincial capital expenditures until 2016, it is a major challenge for the government to address.</w:t>
      </w:r>
      <w:r w:rsidRPr="009F38FC">
        <w:rPr>
          <w:rFonts w:ascii="Times New Roman" w:hAnsi="Times New Roman"/>
          <w:color w:val="000000" w:themeColor="text1"/>
          <w:sz w:val="24"/>
        </w:rPr>
        <w:t xml:space="preserve">  </w:t>
      </w:r>
    </w:p>
    <w:p w14:paraId="1EA8BF0F" w14:textId="77777777" w:rsidR="007518E4" w:rsidRPr="009F38FC" w:rsidRDefault="007518E4" w:rsidP="008037D9">
      <w:pPr>
        <w:pStyle w:val="ListParagraph"/>
        <w:numPr>
          <w:ilvl w:val="0"/>
          <w:numId w:val="53"/>
        </w:numPr>
        <w:spacing w:after="240"/>
        <w:ind w:left="0" w:firstLine="0"/>
        <w:contextualSpacing w:val="0"/>
        <w:rPr>
          <w:rFonts w:ascii="Times New Roman" w:hAnsi="Times New Roman"/>
          <w:sz w:val="24"/>
        </w:rPr>
      </w:pPr>
      <w:r w:rsidRPr="00844E6D">
        <w:rPr>
          <w:rFonts w:ascii="Times New Roman" w:eastAsia="ヒラギノ角ゴ Pro W3" w:hAnsi="Times New Roman"/>
          <w:b/>
          <w:color w:val="000000"/>
          <w:sz w:val="24"/>
          <w:lang w:eastAsia="en-IN"/>
        </w:rPr>
        <w:lastRenderedPageBreak/>
        <w:t>No reporting takes place on contingent liabilities and other fiscal risks from central government’s operations</w:t>
      </w:r>
      <w:r w:rsidRPr="009F38FC">
        <w:rPr>
          <w:rFonts w:ascii="Times New Roman" w:eastAsia="ヒラギノ角ゴ Pro W3" w:hAnsi="Times New Roman"/>
          <w:color w:val="000000"/>
          <w:sz w:val="24"/>
          <w:lang w:eastAsia="en-IN"/>
        </w:rPr>
        <w:t>: Score D.</w:t>
      </w:r>
    </w:p>
    <w:p w14:paraId="4AB67518" w14:textId="77777777" w:rsidR="007518E4" w:rsidRPr="00D20287" w:rsidRDefault="007518E4" w:rsidP="008037D9">
      <w:pPr>
        <w:pStyle w:val="ListParagraph"/>
        <w:numPr>
          <w:ilvl w:val="0"/>
          <w:numId w:val="53"/>
        </w:numPr>
        <w:spacing w:after="240"/>
        <w:ind w:left="0" w:firstLine="0"/>
        <w:contextualSpacing w:val="0"/>
        <w:rPr>
          <w:rFonts w:ascii="Times New Roman" w:hAnsi="Times New Roman"/>
          <w:sz w:val="24"/>
        </w:rPr>
      </w:pPr>
      <w:r w:rsidRPr="00844E6D">
        <w:rPr>
          <w:rFonts w:ascii="Times New Roman" w:eastAsia="ヒラギノ角ゴ Pro W3" w:hAnsi="Times New Roman"/>
          <w:b/>
          <w:color w:val="000000"/>
          <w:sz w:val="24"/>
          <w:lang w:eastAsia="en-IN"/>
        </w:rPr>
        <w:t xml:space="preserve">Fiscal discipline and reporting on contingent explicit and implicit liabilities </w:t>
      </w:r>
      <w:proofErr w:type="gramStart"/>
      <w:r w:rsidRPr="00844E6D">
        <w:rPr>
          <w:rFonts w:ascii="Times New Roman" w:eastAsia="ヒラギノ角ゴ Pro W3" w:hAnsi="Times New Roman"/>
          <w:b/>
          <w:color w:val="000000"/>
          <w:sz w:val="24"/>
          <w:lang w:eastAsia="en-IN"/>
        </w:rPr>
        <w:t>has</w:t>
      </w:r>
      <w:proofErr w:type="gramEnd"/>
      <w:r w:rsidRPr="00844E6D">
        <w:rPr>
          <w:rFonts w:ascii="Times New Roman" w:eastAsia="ヒラギノ角ゴ Pro W3" w:hAnsi="Times New Roman"/>
          <w:b/>
          <w:color w:val="000000"/>
          <w:sz w:val="24"/>
          <w:lang w:eastAsia="en-IN"/>
        </w:rPr>
        <w:t xml:space="preserve"> become the major focus of the government since 2016</w:t>
      </w:r>
      <w:r w:rsidR="00844E6D">
        <w:rPr>
          <w:rFonts w:ascii="Times New Roman" w:eastAsia="ヒラギノ角ゴ Pro W3" w:hAnsi="Times New Roman"/>
          <w:b/>
          <w:color w:val="000000"/>
          <w:sz w:val="24"/>
          <w:lang w:eastAsia="en-IN"/>
        </w:rPr>
        <w:t xml:space="preserve">. </w:t>
      </w:r>
      <w:r w:rsidR="00844E6D" w:rsidRPr="0068375E">
        <w:rPr>
          <w:rFonts w:ascii="Times New Roman" w:eastAsia="ヒラギノ角ゴ Pro W3" w:hAnsi="Times New Roman"/>
          <w:color w:val="000000"/>
          <w:sz w:val="24"/>
          <w:lang w:eastAsia="en-IN"/>
        </w:rPr>
        <w:t>This</w:t>
      </w:r>
      <w:r w:rsidRPr="0068375E">
        <w:rPr>
          <w:rFonts w:ascii="Times New Roman" w:eastAsia="ヒラギノ角ゴ Pro W3" w:hAnsi="Times New Roman"/>
          <w:color w:val="000000"/>
          <w:sz w:val="24"/>
          <w:lang w:eastAsia="en-IN"/>
        </w:rPr>
        <w:t xml:space="preserve"> </w:t>
      </w:r>
      <w:r w:rsidRPr="009F38FC">
        <w:rPr>
          <w:rFonts w:ascii="Times New Roman" w:eastAsia="ヒラギノ角ゴ Pro W3" w:hAnsi="Times New Roman"/>
          <w:color w:val="000000"/>
          <w:sz w:val="24"/>
          <w:lang w:eastAsia="en-IN"/>
        </w:rPr>
        <w:t xml:space="preserve">has led to the consolidation and refinancing of the backlog of capital expenditure arrears (see PI-13) and the restructuring of MoF, with the consolidation of the domestic and external debt, the new </w:t>
      </w:r>
      <w:proofErr w:type="spellStart"/>
      <w:r w:rsidRPr="009F38FC">
        <w:rPr>
          <w:rFonts w:ascii="Times New Roman" w:eastAsia="ヒラギノ角ゴ Pro W3" w:hAnsi="Times New Roman"/>
          <w:color w:val="000000"/>
          <w:sz w:val="24"/>
          <w:lang w:eastAsia="en-IN"/>
        </w:rPr>
        <w:t>ToRs</w:t>
      </w:r>
      <w:proofErr w:type="spellEnd"/>
      <w:r w:rsidRPr="009F38FC">
        <w:rPr>
          <w:rFonts w:ascii="Times New Roman" w:eastAsia="ヒラギノ角ゴ Pro W3" w:hAnsi="Times New Roman"/>
          <w:color w:val="000000"/>
          <w:sz w:val="24"/>
          <w:lang w:eastAsia="en-IN"/>
        </w:rPr>
        <w:t xml:space="preserve"> for the SOE department and State Assets Management department. Enforcement of the new functional and legal requirements in place is considered a critical priority of the PFDS.</w:t>
      </w:r>
    </w:p>
    <w:p w14:paraId="54B700F8" w14:textId="77777777" w:rsidR="007518E4" w:rsidRDefault="007518E4" w:rsidP="0068375E">
      <w:pPr>
        <w:pStyle w:val="Heading3"/>
        <w:keepNext w:val="0"/>
        <w:spacing w:before="0"/>
        <w:ind w:left="0"/>
        <w:rPr>
          <w:rFonts w:ascii="Times New Roman" w:eastAsia="Calibri" w:hAnsi="Times New Roman"/>
          <w:b w:val="0"/>
          <w:bCs w:val="0"/>
          <w:color w:val="F9B416"/>
          <w:spacing w:val="-1"/>
          <w:szCs w:val="28"/>
        </w:rPr>
      </w:pPr>
      <w:bookmarkStart w:id="60" w:name="_Toc518901794"/>
      <w:bookmarkStart w:id="61" w:name="_Toc4148989"/>
      <w:r w:rsidRPr="00FE6ED4">
        <w:rPr>
          <w:rFonts w:ascii="Times New Roman" w:eastAsia="Calibri" w:hAnsi="Times New Roman"/>
          <w:color w:val="F9B416"/>
          <w:spacing w:val="-1"/>
          <w:szCs w:val="28"/>
        </w:rPr>
        <w:t xml:space="preserve">PI-11. Public </w:t>
      </w:r>
      <w:r>
        <w:rPr>
          <w:rFonts w:ascii="Times New Roman" w:eastAsia="Calibri" w:hAnsi="Times New Roman"/>
          <w:color w:val="F9B416"/>
          <w:spacing w:val="-1"/>
          <w:szCs w:val="28"/>
        </w:rPr>
        <w:t>i</w:t>
      </w:r>
      <w:r w:rsidRPr="00FE6ED4">
        <w:rPr>
          <w:rFonts w:ascii="Times New Roman" w:eastAsia="Calibri" w:hAnsi="Times New Roman"/>
          <w:color w:val="F9B416"/>
          <w:spacing w:val="-1"/>
          <w:szCs w:val="28"/>
        </w:rPr>
        <w:t xml:space="preserve">nvestment </w:t>
      </w:r>
      <w:r>
        <w:rPr>
          <w:rFonts w:ascii="Times New Roman" w:eastAsia="Calibri" w:hAnsi="Times New Roman"/>
          <w:color w:val="F9B416"/>
          <w:spacing w:val="-1"/>
          <w:szCs w:val="28"/>
        </w:rPr>
        <w:t>m</w:t>
      </w:r>
      <w:r w:rsidRPr="00FE6ED4">
        <w:rPr>
          <w:rFonts w:ascii="Times New Roman" w:eastAsia="Calibri" w:hAnsi="Times New Roman"/>
          <w:color w:val="F9B416"/>
          <w:spacing w:val="-1"/>
          <w:szCs w:val="28"/>
        </w:rPr>
        <w:t>anagement</w:t>
      </w:r>
      <w:bookmarkEnd w:id="60"/>
      <w:bookmarkEnd w:id="61"/>
    </w:p>
    <w:p w14:paraId="0BAD0F7A" w14:textId="77777777" w:rsidR="007518E4" w:rsidRPr="00664FD8" w:rsidRDefault="007518E4" w:rsidP="008037D9">
      <w:pPr>
        <w:pStyle w:val="ListParagraph"/>
        <w:numPr>
          <w:ilvl w:val="0"/>
          <w:numId w:val="54"/>
        </w:numPr>
        <w:spacing w:after="240"/>
        <w:contextualSpacing w:val="0"/>
        <w:rPr>
          <w:rFonts w:ascii="Times New Roman" w:hAnsi="Times New Roman"/>
          <w:b/>
          <w:bCs/>
          <w:sz w:val="24"/>
        </w:rPr>
      </w:pPr>
      <w:r w:rsidRPr="0068375E">
        <w:rPr>
          <w:rFonts w:ascii="Times New Roman" w:hAnsi="Times New Roman"/>
          <w:b/>
          <w:color w:val="000000"/>
          <w:sz w:val="24"/>
        </w:rPr>
        <w:t xml:space="preserve">This indicator assesses the economic appraisal, selection, costing and monitoring of public investment projects by the </w:t>
      </w:r>
      <w:r w:rsidRPr="0068375E">
        <w:rPr>
          <w:rFonts w:ascii="Times New Roman" w:hAnsi="Times New Roman"/>
          <w:b/>
          <w:sz w:val="24"/>
        </w:rPr>
        <w:t>government</w:t>
      </w:r>
      <w:r w:rsidRPr="0068375E">
        <w:rPr>
          <w:rFonts w:ascii="Times New Roman" w:hAnsi="Times New Roman"/>
          <w:b/>
          <w:color w:val="000000"/>
          <w:sz w:val="24"/>
        </w:rPr>
        <w:t xml:space="preserve">, with </w:t>
      </w:r>
      <w:r w:rsidRPr="0068375E">
        <w:rPr>
          <w:rFonts w:ascii="Times New Roman" w:hAnsi="Times New Roman"/>
          <w:b/>
          <w:sz w:val="24"/>
          <w:lang w:eastAsia="en-GB"/>
        </w:rPr>
        <w:t>emphasis</w:t>
      </w:r>
      <w:r w:rsidRPr="0068375E">
        <w:rPr>
          <w:rFonts w:ascii="Times New Roman" w:hAnsi="Times New Roman"/>
          <w:b/>
          <w:color w:val="000000"/>
          <w:sz w:val="24"/>
        </w:rPr>
        <w:t xml:space="preserve"> on the largest and most significant projects</w:t>
      </w:r>
      <w:r w:rsidRPr="001612C4">
        <w:rPr>
          <w:rFonts w:ascii="Times New Roman" w:hAnsi="Times New Roman"/>
          <w:color w:val="000000"/>
          <w:sz w:val="24"/>
        </w:rPr>
        <w:t>.</w:t>
      </w:r>
      <w:r w:rsidR="00F70FF1">
        <w:rPr>
          <w:rFonts w:ascii="Times New Roman" w:hAnsi="Times New Roman"/>
          <w:sz w:val="24"/>
        </w:rPr>
        <w:t xml:space="preserve"> </w:t>
      </w:r>
      <w:r w:rsidRPr="001612C4">
        <w:rPr>
          <w:rFonts w:ascii="Times New Roman" w:hAnsi="Times New Roman"/>
          <w:sz w:val="24"/>
        </w:rPr>
        <w:t xml:space="preserve">The assessment is based on the fiscal year </w:t>
      </w:r>
      <w:r>
        <w:rPr>
          <w:rFonts w:ascii="Times New Roman" w:hAnsi="Times New Roman"/>
          <w:sz w:val="24"/>
        </w:rPr>
        <w:t>2016/17 and covers central government</w:t>
      </w:r>
      <w:r w:rsidRPr="001612C4">
        <w:rPr>
          <w:rFonts w:ascii="Times New Roman" w:hAnsi="Times New Roman"/>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1356"/>
        <w:gridCol w:w="4932"/>
      </w:tblGrid>
      <w:tr w:rsidR="007518E4" w:rsidRPr="0013031E" w14:paraId="1F4B3CA6" w14:textId="77777777" w:rsidTr="007518E4">
        <w:trPr>
          <w:trHeight w:val="397"/>
          <w:tblHeader/>
          <w:jc w:val="center"/>
        </w:trPr>
        <w:tc>
          <w:tcPr>
            <w:tcW w:w="1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376595" w14:textId="77777777" w:rsidR="007518E4" w:rsidRPr="00664FD8" w:rsidRDefault="007518E4" w:rsidP="00F70FF1">
            <w:pPr>
              <w:spacing w:before="0"/>
              <w:ind w:hanging="539"/>
              <w:jc w:val="center"/>
              <w:rPr>
                <w:rFonts w:ascii="Times New Roman" w:hAnsi="Times New Roman"/>
              </w:rPr>
            </w:pPr>
            <w:r w:rsidRPr="00664FD8">
              <w:rPr>
                <w:rFonts w:ascii="Times New Roman" w:hAnsi="Times New Roman"/>
              </w:rPr>
              <w:t>Indicator/Dimension</w:t>
            </w:r>
          </w:p>
        </w:tc>
        <w:tc>
          <w:tcPr>
            <w:tcW w:w="7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40C9B1" w14:textId="77777777" w:rsidR="007518E4" w:rsidRPr="00664FD8" w:rsidRDefault="007518E4" w:rsidP="00F70FF1">
            <w:pPr>
              <w:spacing w:before="0"/>
              <w:ind w:left="0"/>
              <w:jc w:val="center"/>
              <w:rPr>
                <w:rFonts w:ascii="Times New Roman" w:hAnsi="Times New Roman"/>
              </w:rPr>
            </w:pPr>
            <w:r w:rsidRPr="00664FD8">
              <w:rPr>
                <w:rFonts w:ascii="Times New Roman" w:hAnsi="Times New Roman"/>
              </w:rPr>
              <w:t>Score</w:t>
            </w:r>
          </w:p>
        </w:tc>
        <w:tc>
          <w:tcPr>
            <w:tcW w:w="2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86467F" w14:textId="77777777" w:rsidR="007518E4" w:rsidRPr="00664FD8" w:rsidRDefault="007518E4" w:rsidP="00F70FF1">
            <w:pPr>
              <w:spacing w:before="0"/>
              <w:ind w:hanging="539"/>
              <w:jc w:val="center"/>
              <w:rPr>
                <w:rFonts w:ascii="Times New Roman" w:hAnsi="Times New Roman"/>
              </w:rPr>
            </w:pPr>
            <w:r w:rsidRPr="00664FD8">
              <w:rPr>
                <w:rFonts w:ascii="Times New Roman" w:hAnsi="Times New Roman"/>
              </w:rPr>
              <w:t>Brief Explanation</w:t>
            </w:r>
          </w:p>
        </w:tc>
      </w:tr>
      <w:tr w:rsidR="007518E4" w:rsidRPr="0013031E" w14:paraId="382522C0" w14:textId="77777777" w:rsidTr="007518E4">
        <w:trPr>
          <w:trHeight w:val="629"/>
          <w:jc w:val="center"/>
        </w:trPr>
        <w:tc>
          <w:tcPr>
            <w:tcW w:w="1513" w:type="pct"/>
            <w:tcBorders>
              <w:top w:val="single" w:sz="4" w:space="0" w:color="auto"/>
              <w:left w:val="single" w:sz="4" w:space="0" w:color="auto"/>
              <w:bottom w:val="single" w:sz="4" w:space="0" w:color="auto"/>
              <w:right w:val="single" w:sz="4" w:space="0" w:color="auto"/>
            </w:tcBorders>
            <w:vAlign w:val="center"/>
            <w:hideMark/>
          </w:tcPr>
          <w:p w14:paraId="24625CDC" w14:textId="77777777" w:rsidR="007518E4" w:rsidRPr="00664FD8" w:rsidRDefault="007518E4" w:rsidP="00F70FF1">
            <w:pPr>
              <w:spacing w:before="0"/>
              <w:ind w:left="0"/>
              <w:jc w:val="left"/>
              <w:rPr>
                <w:rFonts w:ascii="Times New Roman" w:hAnsi="Times New Roman"/>
              </w:rPr>
            </w:pPr>
            <w:r w:rsidRPr="00664FD8">
              <w:rPr>
                <w:rFonts w:ascii="Times New Roman" w:hAnsi="Times New Roman"/>
                <w:bCs/>
              </w:rPr>
              <w:t xml:space="preserve">PI-11 Public investment management </w:t>
            </w:r>
          </w:p>
        </w:tc>
        <w:tc>
          <w:tcPr>
            <w:tcW w:w="752" w:type="pct"/>
            <w:tcBorders>
              <w:top w:val="single" w:sz="4" w:space="0" w:color="auto"/>
              <w:left w:val="single" w:sz="4" w:space="0" w:color="auto"/>
              <w:bottom w:val="single" w:sz="4" w:space="0" w:color="auto"/>
              <w:right w:val="single" w:sz="4" w:space="0" w:color="auto"/>
            </w:tcBorders>
            <w:vAlign w:val="center"/>
            <w:hideMark/>
          </w:tcPr>
          <w:p w14:paraId="6C91325F" w14:textId="77777777" w:rsidR="007518E4" w:rsidRPr="00664FD8" w:rsidRDefault="007518E4" w:rsidP="0068375E">
            <w:pPr>
              <w:spacing w:before="0"/>
              <w:ind w:left="0"/>
              <w:jc w:val="center"/>
              <w:rPr>
                <w:rFonts w:ascii="Times New Roman" w:hAnsi="Times New Roman"/>
              </w:rPr>
            </w:pPr>
            <w:r w:rsidRPr="00664FD8">
              <w:rPr>
                <w:rFonts w:ascii="Times New Roman" w:hAnsi="Times New Roman"/>
              </w:rPr>
              <w:t>D+</w:t>
            </w:r>
          </w:p>
        </w:tc>
        <w:tc>
          <w:tcPr>
            <w:tcW w:w="2735" w:type="pct"/>
            <w:tcBorders>
              <w:top w:val="single" w:sz="4" w:space="0" w:color="auto"/>
              <w:left w:val="single" w:sz="4" w:space="0" w:color="auto"/>
              <w:bottom w:val="single" w:sz="4" w:space="0" w:color="auto"/>
              <w:right w:val="single" w:sz="4" w:space="0" w:color="auto"/>
            </w:tcBorders>
            <w:vAlign w:val="center"/>
            <w:hideMark/>
          </w:tcPr>
          <w:p w14:paraId="1946472C" w14:textId="77777777" w:rsidR="007518E4" w:rsidRPr="00664FD8" w:rsidRDefault="007518E4" w:rsidP="0068375E">
            <w:pPr>
              <w:spacing w:before="0"/>
              <w:ind w:left="0"/>
              <w:rPr>
                <w:rFonts w:ascii="Times New Roman" w:hAnsi="Times New Roman"/>
              </w:rPr>
            </w:pPr>
            <w:r w:rsidRPr="00664FD8">
              <w:rPr>
                <w:rFonts w:ascii="Times New Roman" w:hAnsi="Times New Roman"/>
              </w:rPr>
              <w:t>Dimension scores combined by Method M2 (average)</w:t>
            </w:r>
          </w:p>
        </w:tc>
      </w:tr>
      <w:tr w:rsidR="00625581" w:rsidRPr="0013031E" w14:paraId="3B6F178D" w14:textId="77777777" w:rsidTr="007518E4">
        <w:trPr>
          <w:jc w:val="center"/>
        </w:trPr>
        <w:tc>
          <w:tcPr>
            <w:tcW w:w="1513" w:type="pct"/>
            <w:tcBorders>
              <w:top w:val="single" w:sz="4" w:space="0" w:color="auto"/>
              <w:left w:val="single" w:sz="4" w:space="0" w:color="auto"/>
              <w:bottom w:val="single" w:sz="4" w:space="0" w:color="auto"/>
              <w:right w:val="single" w:sz="4" w:space="0" w:color="auto"/>
            </w:tcBorders>
            <w:vAlign w:val="center"/>
            <w:hideMark/>
          </w:tcPr>
          <w:p w14:paraId="03B2E955" w14:textId="77777777" w:rsidR="00625581" w:rsidRPr="00664FD8" w:rsidRDefault="00625581" w:rsidP="00625581">
            <w:pPr>
              <w:spacing w:before="0"/>
              <w:ind w:left="0"/>
              <w:jc w:val="left"/>
              <w:rPr>
                <w:rFonts w:ascii="Times New Roman" w:hAnsi="Times New Roman"/>
              </w:rPr>
            </w:pPr>
            <w:r w:rsidRPr="00664FD8">
              <w:rPr>
                <w:rFonts w:ascii="Times New Roman" w:hAnsi="Times New Roman"/>
              </w:rPr>
              <w:t>11.1 Economic analysis of investment proposals</w:t>
            </w:r>
          </w:p>
        </w:tc>
        <w:tc>
          <w:tcPr>
            <w:tcW w:w="752" w:type="pct"/>
            <w:tcBorders>
              <w:top w:val="single" w:sz="4" w:space="0" w:color="auto"/>
              <w:left w:val="single" w:sz="4" w:space="0" w:color="auto"/>
              <w:bottom w:val="single" w:sz="4" w:space="0" w:color="auto"/>
              <w:right w:val="single" w:sz="4" w:space="0" w:color="auto"/>
            </w:tcBorders>
            <w:vAlign w:val="center"/>
            <w:hideMark/>
          </w:tcPr>
          <w:p w14:paraId="01AE2398" w14:textId="77777777" w:rsidR="00625581" w:rsidRPr="00664FD8" w:rsidRDefault="00625581" w:rsidP="00625581">
            <w:pPr>
              <w:spacing w:before="0"/>
              <w:ind w:left="0"/>
              <w:jc w:val="center"/>
              <w:rPr>
                <w:rFonts w:ascii="Times New Roman" w:hAnsi="Times New Roman"/>
              </w:rPr>
            </w:pPr>
            <w:r w:rsidRPr="006672EE">
              <w:rPr>
                <w:rFonts w:ascii="Times New Roman" w:hAnsi="Times New Roman"/>
              </w:rPr>
              <w:t>C</w:t>
            </w:r>
          </w:p>
        </w:tc>
        <w:tc>
          <w:tcPr>
            <w:tcW w:w="2735" w:type="pct"/>
            <w:tcBorders>
              <w:top w:val="single" w:sz="4" w:space="0" w:color="auto"/>
              <w:left w:val="single" w:sz="4" w:space="0" w:color="auto"/>
              <w:bottom w:val="single" w:sz="4" w:space="0" w:color="auto"/>
              <w:right w:val="single" w:sz="4" w:space="0" w:color="auto"/>
            </w:tcBorders>
            <w:vAlign w:val="center"/>
            <w:hideMark/>
          </w:tcPr>
          <w:p w14:paraId="10983D29" w14:textId="203A1F79" w:rsidR="00625581" w:rsidRPr="001A5162" w:rsidRDefault="00625581" w:rsidP="00625581">
            <w:pPr>
              <w:spacing w:before="0"/>
              <w:ind w:left="0"/>
              <w:rPr>
                <w:rFonts w:ascii="Times New Roman" w:hAnsi="Times New Roman"/>
              </w:rPr>
            </w:pPr>
            <w:r>
              <w:rPr>
                <w:rFonts w:ascii="Times New Roman" w:eastAsia="ヒラギノ角ゴ Pro W3" w:hAnsi="Times New Roman"/>
                <w:color w:val="000000"/>
                <w:lang w:eastAsia="en-IN"/>
              </w:rPr>
              <w:t xml:space="preserve">Economic analysis </w:t>
            </w:r>
            <w:proofErr w:type="gramStart"/>
            <w:r>
              <w:rPr>
                <w:rFonts w:ascii="Times New Roman" w:eastAsia="ヒラギノ角ゴ Pro W3" w:hAnsi="Times New Roman"/>
                <w:color w:val="000000"/>
                <w:lang w:eastAsia="en-IN"/>
              </w:rPr>
              <w:t>have</w:t>
            </w:r>
            <w:proofErr w:type="gramEnd"/>
            <w:r>
              <w:rPr>
                <w:rFonts w:ascii="Times New Roman" w:eastAsia="ヒラギノ角ゴ Pro W3" w:hAnsi="Times New Roman"/>
                <w:color w:val="000000"/>
                <w:lang w:eastAsia="en-IN"/>
              </w:rPr>
              <w:t xml:space="preserve"> been conducted for the 10 major projects selected from the Public Investment Plan 2017, They </w:t>
            </w:r>
            <w:r w:rsidRPr="001A5162">
              <w:rPr>
                <w:rFonts w:ascii="Times New Roman" w:eastAsia="ヒラギノ角ゴ Pro W3" w:hAnsi="Times New Roman"/>
                <w:color w:val="000000"/>
                <w:lang w:eastAsia="en-IN"/>
              </w:rPr>
              <w:t xml:space="preserve">should in principle be </w:t>
            </w:r>
            <w:r>
              <w:rPr>
                <w:rFonts w:ascii="Times New Roman" w:eastAsia="ヒラギノ角ゴ Pro W3" w:hAnsi="Times New Roman"/>
                <w:color w:val="000000"/>
                <w:lang w:eastAsia="en-IN"/>
              </w:rPr>
              <w:t xml:space="preserve">also </w:t>
            </w:r>
            <w:r w:rsidRPr="001A5162">
              <w:rPr>
                <w:rFonts w:ascii="Times New Roman" w:eastAsia="ヒラギノ角ゴ Pro W3" w:hAnsi="Times New Roman"/>
                <w:color w:val="000000"/>
                <w:lang w:eastAsia="en-IN"/>
              </w:rPr>
              <w:t>included in the investment proposals submitted to MPI for review and inclusion in the State Budget</w:t>
            </w:r>
            <w:r>
              <w:rPr>
                <w:rFonts w:ascii="Times New Roman" w:eastAsia="ヒラギノ角ゴ Pro W3" w:hAnsi="Times New Roman"/>
                <w:color w:val="000000"/>
                <w:lang w:eastAsia="en-IN"/>
              </w:rPr>
              <w:t>.</w:t>
            </w:r>
            <w:r w:rsidRPr="001A5162">
              <w:rPr>
                <w:rFonts w:ascii="Times New Roman" w:eastAsia="ヒラギノ角ゴ Pro W3" w:hAnsi="Times New Roman"/>
                <w:color w:val="000000"/>
                <w:lang w:eastAsia="en-IN"/>
              </w:rPr>
              <w:t xml:space="preserve"> but are only conducted </w:t>
            </w:r>
            <w:proofErr w:type="gramStart"/>
            <w:r w:rsidRPr="001A5162">
              <w:rPr>
                <w:rFonts w:ascii="Times New Roman" w:eastAsia="ヒラギノ角ゴ Pro W3" w:hAnsi="Times New Roman"/>
                <w:color w:val="000000"/>
                <w:lang w:eastAsia="en-IN"/>
              </w:rPr>
              <w:t>for  major</w:t>
            </w:r>
            <w:proofErr w:type="gramEnd"/>
            <w:r w:rsidRPr="001A5162">
              <w:rPr>
                <w:rFonts w:ascii="Times New Roman" w:eastAsia="ヒラギノ角ゴ Pro W3" w:hAnsi="Times New Roman"/>
                <w:color w:val="000000"/>
                <w:lang w:eastAsia="en-IN"/>
              </w:rPr>
              <w:t xml:space="preserve"> investment projects and joint investments with external financing</w:t>
            </w:r>
            <w:r>
              <w:rPr>
                <w:rFonts w:ascii="Times New Roman" w:eastAsia="ヒラギノ角ゴ Pro W3" w:hAnsi="Times New Roman"/>
                <w:color w:val="000000"/>
                <w:lang w:eastAsia="en-IN"/>
              </w:rPr>
              <w:t>,</w:t>
            </w:r>
            <w:r w:rsidRPr="001A5162">
              <w:rPr>
                <w:rFonts w:ascii="Times New Roman" w:eastAsia="ヒラギノ角ゴ Pro W3" w:hAnsi="Times New Roman"/>
                <w:color w:val="000000"/>
                <w:lang w:eastAsia="en-IN"/>
              </w:rPr>
              <w:t xml:space="preserve"> representing at least 25 percent of the pipeline, and are not published</w:t>
            </w:r>
          </w:p>
        </w:tc>
      </w:tr>
      <w:tr w:rsidR="00625581" w:rsidRPr="0013031E" w14:paraId="315ED9BB" w14:textId="77777777" w:rsidTr="007518E4">
        <w:trPr>
          <w:trHeight w:val="962"/>
          <w:jc w:val="center"/>
        </w:trPr>
        <w:tc>
          <w:tcPr>
            <w:tcW w:w="1513" w:type="pct"/>
            <w:tcBorders>
              <w:top w:val="single" w:sz="4" w:space="0" w:color="auto"/>
              <w:left w:val="single" w:sz="4" w:space="0" w:color="auto"/>
              <w:bottom w:val="single" w:sz="4" w:space="0" w:color="auto"/>
              <w:right w:val="single" w:sz="4" w:space="0" w:color="auto"/>
            </w:tcBorders>
            <w:vAlign w:val="center"/>
            <w:hideMark/>
          </w:tcPr>
          <w:p w14:paraId="2FE75BE8" w14:textId="77777777" w:rsidR="00625581" w:rsidRPr="00664FD8" w:rsidRDefault="00625581" w:rsidP="00625581">
            <w:pPr>
              <w:spacing w:before="0"/>
              <w:ind w:left="0"/>
              <w:jc w:val="left"/>
              <w:rPr>
                <w:rFonts w:ascii="Times New Roman" w:hAnsi="Times New Roman"/>
              </w:rPr>
            </w:pPr>
            <w:r w:rsidRPr="00664FD8">
              <w:rPr>
                <w:rFonts w:ascii="Times New Roman" w:hAnsi="Times New Roman"/>
              </w:rPr>
              <w:t xml:space="preserve">11.2 </w:t>
            </w:r>
            <w:r>
              <w:rPr>
                <w:rFonts w:ascii="Times New Roman" w:hAnsi="Times New Roman"/>
              </w:rPr>
              <w:t>Investment p</w:t>
            </w:r>
            <w:r w:rsidRPr="00664FD8">
              <w:rPr>
                <w:rFonts w:ascii="Times New Roman" w:hAnsi="Times New Roman"/>
              </w:rPr>
              <w:t>roject selection</w:t>
            </w:r>
          </w:p>
        </w:tc>
        <w:tc>
          <w:tcPr>
            <w:tcW w:w="752" w:type="pct"/>
            <w:tcBorders>
              <w:top w:val="single" w:sz="4" w:space="0" w:color="auto"/>
              <w:left w:val="single" w:sz="4" w:space="0" w:color="auto"/>
              <w:bottom w:val="single" w:sz="4" w:space="0" w:color="auto"/>
              <w:right w:val="single" w:sz="4" w:space="0" w:color="auto"/>
            </w:tcBorders>
            <w:vAlign w:val="center"/>
            <w:hideMark/>
          </w:tcPr>
          <w:p w14:paraId="59BDAB65" w14:textId="77777777" w:rsidR="00625581" w:rsidRPr="00664FD8" w:rsidRDefault="00625581" w:rsidP="00625581">
            <w:pPr>
              <w:spacing w:before="0"/>
              <w:ind w:left="0"/>
              <w:jc w:val="center"/>
              <w:rPr>
                <w:rFonts w:ascii="Times New Roman" w:hAnsi="Times New Roman"/>
              </w:rPr>
            </w:pPr>
            <w:r w:rsidRPr="006672EE">
              <w:rPr>
                <w:rFonts w:ascii="Times New Roman" w:hAnsi="Times New Roman"/>
              </w:rPr>
              <w:t>C</w:t>
            </w:r>
          </w:p>
        </w:tc>
        <w:tc>
          <w:tcPr>
            <w:tcW w:w="2735" w:type="pct"/>
            <w:tcBorders>
              <w:top w:val="single" w:sz="4" w:space="0" w:color="auto"/>
              <w:left w:val="single" w:sz="4" w:space="0" w:color="auto"/>
              <w:bottom w:val="single" w:sz="4" w:space="0" w:color="auto"/>
              <w:right w:val="single" w:sz="4" w:space="0" w:color="auto"/>
            </w:tcBorders>
            <w:vAlign w:val="center"/>
            <w:hideMark/>
          </w:tcPr>
          <w:p w14:paraId="5C6532E8" w14:textId="63A991FE" w:rsidR="00625581" w:rsidRPr="001A1F70" w:rsidRDefault="00625581" w:rsidP="00625581">
            <w:pPr>
              <w:spacing w:before="0"/>
              <w:ind w:left="0"/>
              <w:rPr>
                <w:rFonts w:ascii="Times New Roman" w:hAnsi="Times New Roman"/>
              </w:rPr>
            </w:pPr>
            <w:r w:rsidRPr="001A1F70">
              <w:rPr>
                <w:rFonts w:ascii="Times New Roman" w:eastAsia="ヒラギノ角ゴ Pro W3" w:hAnsi="Times New Roman"/>
                <w:color w:val="000000"/>
                <w:lang w:eastAsia="en-IN"/>
              </w:rPr>
              <w:t xml:space="preserve">Prior to their inclusion in the budget major investment projects </w:t>
            </w:r>
            <w:r w:rsidRPr="001A5162">
              <w:rPr>
                <w:rFonts w:ascii="Times New Roman" w:eastAsia="ヒラギノ角ゴ Pro W3" w:hAnsi="Times New Roman"/>
                <w:color w:val="000000"/>
                <w:lang w:eastAsia="en-IN"/>
              </w:rPr>
              <w:t>representing at least 25 percent of the pipeline</w:t>
            </w:r>
            <w:r>
              <w:rPr>
                <w:rFonts w:ascii="Times New Roman" w:eastAsia="ヒラギノ角ゴ Pro W3" w:hAnsi="Times New Roman"/>
                <w:color w:val="000000"/>
                <w:lang w:eastAsia="en-IN"/>
              </w:rPr>
              <w:t xml:space="preserve">, </w:t>
            </w:r>
            <w:r w:rsidRPr="001A1F70">
              <w:rPr>
                <w:rFonts w:ascii="Times New Roman" w:eastAsia="ヒラギノ角ゴ Pro W3" w:hAnsi="Times New Roman"/>
                <w:color w:val="000000"/>
                <w:lang w:eastAsia="en-IN"/>
              </w:rPr>
              <w:t>are prioritized by the spending agencies and MPI PDPI Department for inclusion in the PIP and the annual budgets for NA approval</w:t>
            </w:r>
            <w:r w:rsidRPr="001A1F70">
              <w:rPr>
                <w:rFonts w:ascii="Times New Roman" w:hAnsi="Times New Roman"/>
              </w:rPr>
              <w:t>.</w:t>
            </w:r>
            <w:r>
              <w:rPr>
                <w:rFonts w:ascii="Times New Roman" w:hAnsi="Times New Roman"/>
              </w:rPr>
              <w:t xml:space="preserve"> </w:t>
            </w:r>
          </w:p>
        </w:tc>
      </w:tr>
      <w:tr w:rsidR="007518E4" w:rsidRPr="0013031E" w14:paraId="223FDCB9" w14:textId="77777777" w:rsidTr="007518E4">
        <w:trPr>
          <w:jc w:val="center"/>
        </w:trPr>
        <w:tc>
          <w:tcPr>
            <w:tcW w:w="1513" w:type="pct"/>
            <w:tcBorders>
              <w:top w:val="single" w:sz="4" w:space="0" w:color="auto"/>
              <w:left w:val="single" w:sz="4" w:space="0" w:color="auto"/>
              <w:bottom w:val="single" w:sz="4" w:space="0" w:color="auto"/>
              <w:right w:val="single" w:sz="4" w:space="0" w:color="auto"/>
            </w:tcBorders>
            <w:vAlign w:val="center"/>
            <w:hideMark/>
          </w:tcPr>
          <w:p w14:paraId="1ED3A08B" w14:textId="77777777" w:rsidR="007518E4" w:rsidRPr="00664FD8" w:rsidRDefault="007518E4" w:rsidP="00F70FF1">
            <w:pPr>
              <w:spacing w:before="0"/>
              <w:ind w:left="0"/>
              <w:jc w:val="left"/>
              <w:rPr>
                <w:rFonts w:ascii="Times New Roman" w:hAnsi="Times New Roman"/>
              </w:rPr>
            </w:pPr>
            <w:r w:rsidRPr="00664FD8">
              <w:rPr>
                <w:rFonts w:ascii="Times New Roman" w:hAnsi="Times New Roman"/>
              </w:rPr>
              <w:t>11.3 Investment project costing</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C2C485" w14:textId="77777777" w:rsidR="007518E4" w:rsidRPr="00664FD8" w:rsidRDefault="007518E4" w:rsidP="0068375E">
            <w:pPr>
              <w:spacing w:before="0"/>
              <w:ind w:left="0"/>
              <w:jc w:val="center"/>
              <w:rPr>
                <w:rFonts w:ascii="Times New Roman" w:hAnsi="Times New Roman"/>
              </w:rPr>
            </w:pPr>
            <w:r w:rsidRPr="00664FD8">
              <w:rPr>
                <w:rFonts w:ascii="Times New Roman" w:hAnsi="Times New Roman"/>
              </w:rPr>
              <w:t>D</w:t>
            </w:r>
          </w:p>
        </w:tc>
        <w:tc>
          <w:tcPr>
            <w:tcW w:w="2735" w:type="pct"/>
            <w:tcBorders>
              <w:top w:val="single" w:sz="4" w:space="0" w:color="auto"/>
              <w:left w:val="single" w:sz="4" w:space="0" w:color="auto"/>
              <w:bottom w:val="single" w:sz="4" w:space="0" w:color="auto"/>
              <w:right w:val="single" w:sz="4" w:space="0" w:color="auto"/>
            </w:tcBorders>
            <w:vAlign w:val="center"/>
            <w:hideMark/>
          </w:tcPr>
          <w:p w14:paraId="45F9FBDB" w14:textId="77777777" w:rsidR="007518E4" w:rsidRPr="00664FD8" w:rsidRDefault="007518E4" w:rsidP="0068375E">
            <w:pPr>
              <w:spacing w:before="0"/>
              <w:ind w:left="0"/>
              <w:rPr>
                <w:rFonts w:ascii="Times New Roman" w:hAnsi="Times New Roman"/>
              </w:rPr>
            </w:pPr>
            <w:bookmarkStart w:id="62" w:name="_Hlk499151919"/>
            <w:r w:rsidRPr="00664FD8">
              <w:rPr>
                <w:rFonts w:ascii="Times New Roman" w:hAnsi="Times New Roman"/>
              </w:rPr>
              <w:t>Projections of the total capital cost of some of the major investment projects, together with the capital costs for the forthcoming budget year are included in the PIP attached to the budget documentation</w:t>
            </w:r>
            <w:r>
              <w:rPr>
                <w:rFonts w:ascii="Times New Roman" w:hAnsi="Times New Roman"/>
              </w:rPr>
              <w:t xml:space="preserve">.  They </w:t>
            </w:r>
            <w:r w:rsidRPr="00664FD8">
              <w:rPr>
                <w:rFonts w:ascii="Times New Roman" w:hAnsi="Times New Roman"/>
              </w:rPr>
              <w:t>do not comprehensivel</w:t>
            </w:r>
            <w:bookmarkEnd w:id="62"/>
            <w:r w:rsidRPr="00664FD8">
              <w:rPr>
                <w:rFonts w:ascii="Times New Roman" w:hAnsi="Times New Roman"/>
              </w:rPr>
              <w:t xml:space="preserve">y cover the capital and recurrent costs over the whole life of the investment. </w:t>
            </w:r>
          </w:p>
        </w:tc>
      </w:tr>
      <w:tr w:rsidR="007518E4" w:rsidRPr="0013031E" w14:paraId="248EBA6A" w14:textId="77777777" w:rsidTr="007518E4">
        <w:trPr>
          <w:trHeight w:val="1115"/>
          <w:jc w:val="center"/>
        </w:trPr>
        <w:tc>
          <w:tcPr>
            <w:tcW w:w="1513" w:type="pct"/>
            <w:tcBorders>
              <w:top w:val="single" w:sz="4" w:space="0" w:color="auto"/>
              <w:left w:val="single" w:sz="4" w:space="0" w:color="auto"/>
              <w:bottom w:val="single" w:sz="4" w:space="0" w:color="auto"/>
              <w:right w:val="single" w:sz="4" w:space="0" w:color="auto"/>
            </w:tcBorders>
            <w:vAlign w:val="center"/>
            <w:hideMark/>
          </w:tcPr>
          <w:p w14:paraId="070368B9" w14:textId="77777777" w:rsidR="007518E4" w:rsidRPr="00664FD8" w:rsidRDefault="007518E4" w:rsidP="00F70FF1">
            <w:pPr>
              <w:spacing w:before="0"/>
              <w:ind w:left="0"/>
              <w:jc w:val="left"/>
              <w:rPr>
                <w:rFonts w:ascii="Times New Roman" w:hAnsi="Times New Roman"/>
              </w:rPr>
            </w:pPr>
            <w:r w:rsidRPr="00664FD8">
              <w:rPr>
                <w:rFonts w:ascii="Times New Roman" w:hAnsi="Times New Roman"/>
              </w:rPr>
              <w:t>11.4 Investment project monitoring</w:t>
            </w:r>
          </w:p>
        </w:tc>
        <w:tc>
          <w:tcPr>
            <w:tcW w:w="752" w:type="pct"/>
            <w:tcBorders>
              <w:top w:val="single" w:sz="4" w:space="0" w:color="auto"/>
              <w:left w:val="single" w:sz="4" w:space="0" w:color="auto"/>
              <w:bottom w:val="single" w:sz="4" w:space="0" w:color="auto"/>
              <w:right w:val="single" w:sz="4" w:space="0" w:color="auto"/>
            </w:tcBorders>
            <w:vAlign w:val="center"/>
            <w:hideMark/>
          </w:tcPr>
          <w:p w14:paraId="28D52792" w14:textId="77777777" w:rsidR="007518E4" w:rsidRPr="00664FD8" w:rsidRDefault="007518E4" w:rsidP="0068375E">
            <w:pPr>
              <w:spacing w:before="0"/>
              <w:ind w:left="0"/>
              <w:jc w:val="center"/>
              <w:rPr>
                <w:rFonts w:ascii="Times New Roman" w:hAnsi="Times New Roman"/>
              </w:rPr>
            </w:pPr>
            <w:r w:rsidRPr="00664FD8">
              <w:rPr>
                <w:rFonts w:ascii="Times New Roman" w:hAnsi="Times New Roman"/>
              </w:rPr>
              <w:t>D</w:t>
            </w:r>
            <w:r w:rsidR="00CC194B">
              <w:rPr>
                <w:rFonts w:ascii="Times New Roman" w:hAnsi="Times New Roman"/>
              </w:rPr>
              <w:t>*</w:t>
            </w:r>
          </w:p>
        </w:tc>
        <w:tc>
          <w:tcPr>
            <w:tcW w:w="2735" w:type="pct"/>
            <w:tcBorders>
              <w:top w:val="single" w:sz="4" w:space="0" w:color="auto"/>
              <w:left w:val="single" w:sz="4" w:space="0" w:color="auto"/>
              <w:bottom w:val="single" w:sz="4" w:space="0" w:color="auto"/>
              <w:right w:val="single" w:sz="4" w:space="0" w:color="auto"/>
            </w:tcBorders>
            <w:vAlign w:val="center"/>
            <w:hideMark/>
          </w:tcPr>
          <w:p w14:paraId="145BE5E2" w14:textId="77777777" w:rsidR="007518E4" w:rsidRPr="009E5143" w:rsidRDefault="007518E4" w:rsidP="0068375E">
            <w:pPr>
              <w:spacing w:before="0"/>
              <w:ind w:left="0"/>
              <w:rPr>
                <w:rFonts w:ascii="Times New Roman" w:hAnsi="Times New Roman"/>
              </w:rPr>
            </w:pPr>
            <w:r w:rsidRPr="009E5143">
              <w:rPr>
                <w:rFonts w:ascii="Times New Roman" w:hAnsi="Times New Roman"/>
                <w:lang w:eastAsia="en-IN"/>
              </w:rPr>
              <w:t>Full capital project costs to date can only be collected manually during the year from the implementing entities. Onsite visits are carried out jointly between the implementing entity and MPI Monitoring and Evaluation department to check on physical progress</w:t>
            </w:r>
            <w:r w:rsidR="00F70FF1">
              <w:rPr>
                <w:rFonts w:ascii="Times New Roman" w:hAnsi="Times New Roman"/>
                <w:lang w:eastAsia="en-IN"/>
              </w:rPr>
              <w:t>,</w:t>
            </w:r>
            <w:r w:rsidRPr="009E5143">
              <w:rPr>
                <w:rFonts w:ascii="Times New Roman" w:hAnsi="Times New Roman"/>
                <w:lang w:eastAsia="en-IN"/>
              </w:rPr>
              <w:t xml:space="preserve"> but this is only done on a sample basis. There is no database on integrated system to report and monitor in the PIP implementation and calculate deviations from the original budget envelope</w:t>
            </w:r>
            <w:r>
              <w:rPr>
                <w:rFonts w:ascii="Times New Roman" w:hAnsi="Times New Roman"/>
                <w:lang w:eastAsia="en-IN"/>
              </w:rPr>
              <w:t>.</w:t>
            </w:r>
          </w:p>
        </w:tc>
      </w:tr>
    </w:tbl>
    <w:p w14:paraId="12922789" w14:textId="2D700332" w:rsidR="007518E4" w:rsidRPr="00D20287" w:rsidRDefault="007518E4" w:rsidP="008037D9">
      <w:pPr>
        <w:pStyle w:val="ListParagraph"/>
        <w:numPr>
          <w:ilvl w:val="0"/>
          <w:numId w:val="54"/>
        </w:numPr>
        <w:rPr>
          <w:rFonts w:ascii="Times New Roman" w:hAnsi="Times New Roman"/>
          <w:sz w:val="24"/>
        </w:rPr>
      </w:pPr>
      <w:proofErr w:type="gramStart"/>
      <w:r w:rsidRPr="00200DE4">
        <w:rPr>
          <w:rFonts w:ascii="Times New Roman" w:hAnsi="Times New Roman"/>
          <w:b/>
          <w:sz w:val="24"/>
        </w:rPr>
        <w:t>For the purpose of</w:t>
      </w:r>
      <w:proofErr w:type="gramEnd"/>
      <w:r w:rsidRPr="00200DE4">
        <w:rPr>
          <w:rFonts w:ascii="Times New Roman" w:hAnsi="Times New Roman"/>
          <w:b/>
          <w:sz w:val="24"/>
        </w:rPr>
        <w:t xml:space="preserve"> the assessment, the sample of 10 major projects identified by the assessment team from the 2017 PIP are as </w:t>
      </w:r>
      <w:r w:rsidR="000C327A">
        <w:rPr>
          <w:rFonts w:ascii="Times New Roman" w:hAnsi="Times New Roman"/>
          <w:b/>
          <w:sz w:val="24"/>
        </w:rPr>
        <w:t>below.</w:t>
      </w:r>
      <w:r w:rsidR="000C327A">
        <w:rPr>
          <w:rFonts w:ascii="Times New Roman" w:hAnsi="Times New Roman"/>
          <w:sz w:val="24"/>
        </w:rPr>
        <w:t xml:space="preserve">  </w:t>
      </w:r>
      <w:r w:rsidR="000C327A" w:rsidRPr="000C327A">
        <w:rPr>
          <w:rFonts w:ascii="Times New Roman" w:hAnsi="Times New Roman"/>
          <w:color w:val="000000" w:themeColor="text1"/>
          <w:sz w:val="24"/>
        </w:rPr>
        <w:t xml:space="preserve">The total investment cost of the 10 </w:t>
      </w:r>
      <w:r w:rsidR="000C327A" w:rsidRPr="000C327A">
        <w:rPr>
          <w:rFonts w:ascii="Times New Roman" w:hAnsi="Times New Roman"/>
          <w:color w:val="000000" w:themeColor="text1"/>
          <w:sz w:val="24"/>
        </w:rPr>
        <w:lastRenderedPageBreak/>
        <w:t>mega – projects identified does not necessarily meet the requirement to represent 1% or more of the annual budget expenditure but has been extracted from the 2017 Public Investment Plan endorsed by the NA and submitted by MPI for the inclusion on the budget.</w:t>
      </w:r>
    </w:p>
    <w:p w14:paraId="0C038100" w14:textId="77777777" w:rsidR="007518E4" w:rsidRDefault="007518E4" w:rsidP="00200DE4">
      <w:pPr>
        <w:ind w:left="0"/>
        <w:jc w:val="left"/>
        <w:rPr>
          <w:rFonts w:cstheme="minorHAnsi"/>
        </w:rPr>
      </w:pPr>
      <w:r w:rsidRPr="00D20287">
        <w:rPr>
          <w:rFonts w:cstheme="minorHAnsi"/>
          <w:noProof/>
          <w:lang w:val="en-GB" w:eastAsia="en-GB"/>
        </w:rPr>
        <w:drawing>
          <wp:inline distT="0" distB="0" distL="0" distR="0" wp14:anchorId="42444295" wp14:editId="4FBB1D67">
            <wp:extent cx="6250898" cy="4969641"/>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4526" cy="4972526"/>
                    </a:xfrm>
                    <a:prstGeom prst="rect">
                      <a:avLst/>
                    </a:prstGeom>
                    <a:noFill/>
                    <a:ln>
                      <a:noFill/>
                    </a:ln>
                  </pic:spPr>
                </pic:pic>
              </a:graphicData>
            </a:graphic>
          </wp:inline>
        </w:drawing>
      </w:r>
    </w:p>
    <w:p w14:paraId="7D788263" w14:textId="77777777" w:rsidR="007A617C" w:rsidRPr="000C327A" w:rsidRDefault="00310D44" w:rsidP="000E3672">
      <w:pPr>
        <w:pStyle w:val="BodyText"/>
        <w:spacing w:before="0" w:after="240"/>
        <w:ind w:left="0"/>
        <w:rPr>
          <w:rFonts w:ascii="Times New Roman" w:hAnsi="Times New Roman"/>
          <w:color w:val="000000" w:themeColor="text1"/>
        </w:rPr>
      </w:pPr>
      <w:r w:rsidRPr="000C327A">
        <w:rPr>
          <w:rFonts w:ascii="Times New Roman" w:hAnsi="Times New Roman"/>
          <w:color w:val="000000" w:themeColor="text1"/>
        </w:rPr>
        <w:t>Source; Public Investment Plan 2017, MPI.</w:t>
      </w:r>
    </w:p>
    <w:p w14:paraId="132F024F" w14:textId="7C1D3CF4" w:rsidR="007A617C" w:rsidRPr="000C327A" w:rsidRDefault="007A617C" w:rsidP="0068375E">
      <w:pPr>
        <w:pStyle w:val="BodyText"/>
        <w:spacing w:after="240"/>
        <w:ind w:left="0"/>
        <w:rPr>
          <w:rFonts w:ascii="Times New Roman" w:hAnsi="Times New Roman"/>
          <w:color w:val="000000" w:themeColor="text1"/>
          <w:sz w:val="24"/>
        </w:rPr>
      </w:pPr>
    </w:p>
    <w:p w14:paraId="0D784B5F" w14:textId="77777777" w:rsidR="007518E4" w:rsidRPr="001612C4" w:rsidRDefault="007518E4" w:rsidP="0068375E">
      <w:pPr>
        <w:pStyle w:val="BodyText"/>
        <w:spacing w:after="240"/>
        <w:ind w:left="0"/>
        <w:rPr>
          <w:rFonts w:ascii="Times New Roman" w:hAnsi="Times New Roman"/>
          <w:b/>
          <w:color w:val="FFC000"/>
          <w:sz w:val="24"/>
        </w:rPr>
      </w:pPr>
      <w:r w:rsidRPr="001612C4">
        <w:rPr>
          <w:rFonts w:ascii="Times New Roman" w:hAnsi="Times New Roman"/>
          <w:b/>
          <w:color w:val="FFC000"/>
          <w:sz w:val="24"/>
        </w:rPr>
        <w:t xml:space="preserve">11.1 Economic </w:t>
      </w:r>
      <w:r>
        <w:rPr>
          <w:rFonts w:ascii="Times New Roman" w:hAnsi="Times New Roman"/>
          <w:b/>
          <w:color w:val="FFC000"/>
          <w:sz w:val="24"/>
        </w:rPr>
        <w:t>a</w:t>
      </w:r>
      <w:r w:rsidRPr="001612C4">
        <w:rPr>
          <w:rFonts w:ascii="Times New Roman" w:hAnsi="Times New Roman"/>
          <w:b/>
          <w:color w:val="FFC000"/>
          <w:sz w:val="24"/>
        </w:rPr>
        <w:t xml:space="preserve">nalysis </w:t>
      </w:r>
      <w:r>
        <w:rPr>
          <w:rFonts w:ascii="Times New Roman" w:hAnsi="Times New Roman"/>
          <w:b/>
          <w:color w:val="FFC000"/>
          <w:sz w:val="24"/>
        </w:rPr>
        <w:t>o</w:t>
      </w:r>
      <w:r w:rsidRPr="001612C4">
        <w:rPr>
          <w:rFonts w:ascii="Times New Roman" w:hAnsi="Times New Roman"/>
          <w:b/>
          <w:color w:val="FFC000"/>
          <w:sz w:val="24"/>
        </w:rPr>
        <w:t xml:space="preserve">f </w:t>
      </w:r>
      <w:r>
        <w:rPr>
          <w:rFonts w:ascii="Times New Roman" w:hAnsi="Times New Roman"/>
          <w:b/>
          <w:color w:val="FFC000"/>
          <w:sz w:val="24"/>
        </w:rPr>
        <w:t>i</w:t>
      </w:r>
      <w:r w:rsidRPr="001612C4">
        <w:rPr>
          <w:rFonts w:ascii="Times New Roman" w:hAnsi="Times New Roman"/>
          <w:b/>
          <w:color w:val="FFC000"/>
          <w:sz w:val="24"/>
        </w:rPr>
        <w:t xml:space="preserve">nvestment </w:t>
      </w:r>
      <w:r>
        <w:rPr>
          <w:rFonts w:ascii="Times New Roman" w:hAnsi="Times New Roman"/>
          <w:b/>
          <w:color w:val="FFC000"/>
          <w:sz w:val="24"/>
        </w:rPr>
        <w:t>p</w:t>
      </w:r>
      <w:r w:rsidRPr="001612C4">
        <w:rPr>
          <w:rFonts w:ascii="Times New Roman" w:hAnsi="Times New Roman"/>
          <w:b/>
          <w:color w:val="FFC000"/>
          <w:sz w:val="24"/>
        </w:rPr>
        <w:t>roposals</w:t>
      </w:r>
    </w:p>
    <w:p w14:paraId="5AF0379A" w14:textId="77777777" w:rsidR="007518E4" w:rsidRPr="00D20287" w:rsidRDefault="007518E4" w:rsidP="008037D9">
      <w:pPr>
        <w:pStyle w:val="ListParagraph"/>
        <w:numPr>
          <w:ilvl w:val="0"/>
          <w:numId w:val="94"/>
        </w:numPr>
        <w:spacing w:after="240"/>
        <w:contextualSpacing w:val="0"/>
        <w:rPr>
          <w:rFonts w:ascii="Times New Roman" w:eastAsia="Calibri" w:hAnsi="Times New Roman"/>
          <w:sz w:val="24"/>
        </w:rPr>
      </w:pPr>
      <w:r w:rsidRPr="0068375E">
        <w:rPr>
          <w:rFonts w:ascii="Times New Roman" w:eastAsia="Calibri" w:hAnsi="Times New Roman"/>
          <w:b/>
          <w:sz w:val="24"/>
        </w:rPr>
        <w:t>Public investment projects that have been included in the PIP have been prioritized by the government entities and included in their respective 5-year plan.</w:t>
      </w:r>
      <w:r w:rsidR="00F70FF1">
        <w:rPr>
          <w:rFonts w:ascii="Times New Roman" w:eastAsia="Calibri" w:hAnsi="Times New Roman"/>
          <w:sz w:val="24"/>
        </w:rPr>
        <w:t xml:space="preserve"> </w:t>
      </w:r>
      <w:r w:rsidRPr="00D20287">
        <w:rPr>
          <w:rFonts w:ascii="Times New Roman" w:eastAsia="Calibri" w:hAnsi="Times New Roman"/>
          <w:sz w:val="24"/>
        </w:rPr>
        <w:t xml:space="preserve">In principle, the proposing entities should conduct an ex ante assessment during the pre-investment stage according to the </w:t>
      </w:r>
      <w:r w:rsidRPr="00D20287">
        <w:rPr>
          <w:rFonts w:ascii="Times New Roman" w:eastAsia="ヒラギノ角ゴ Pro W3" w:hAnsi="Times New Roman"/>
          <w:color w:val="000000"/>
          <w:sz w:val="24"/>
          <w:lang w:eastAsia="en-IN"/>
        </w:rPr>
        <w:t xml:space="preserve">so-called “JICA guidelines” </w:t>
      </w:r>
      <w:r w:rsidRPr="00D20287">
        <w:rPr>
          <w:rFonts w:ascii="Times New Roman" w:hAnsi="Times New Roman"/>
          <w:sz w:val="24"/>
        </w:rPr>
        <w:t xml:space="preserve">developed under a JICA-financed “Project for Enhancing Capacity of Public Investment Program Management” (PCAP), </w:t>
      </w:r>
      <w:r w:rsidRPr="00D20287">
        <w:rPr>
          <w:rFonts w:ascii="Times New Roman" w:eastAsia="ヒラギノ角ゴ Pro W3" w:hAnsi="Times New Roman"/>
          <w:color w:val="000000"/>
          <w:sz w:val="24"/>
          <w:lang w:eastAsia="en-IN"/>
        </w:rPr>
        <w:t xml:space="preserve">governing all public investment procedures and recently updated in 2016. </w:t>
      </w:r>
    </w:p>
    <w:p w14:paraId="4C9202B6" w14:textId="77777777" w:rsidR="007518E4" w:rsidRDefault="007518E4" w:rsidP="008037D9">
      <w:pPr>
        <w:pStyle w:val="ListParagraph"/>
        <w:numPr>
          <w:ilvl w:val="0"/>
          <w:numId w:val="94"/>
        </w:numPr>
        <w:spacing w:after="240"/>
        <w:contextualSpacing w:val="0"/>
        <w:rPr>
          <w:rFonts w:ascii="Times New Roman" w:eastAsia="Calibri" w:hAnsi="Times New Roman"/>
          <w:sz w:val="24"/>
        </w:rPr>
      </w:pPr>
      <w:r w:rsidRPr="0068375E">
        <w:rPr>
          <w:rFonts w:ascii="Times New Roman" w:eastAsia="Calibri" w:hAnsi="Times New Roman"/>
          <w:b/>
          <w:sz w:val="24"/>
        </w:rPr>
        <w:t>The guidelines for ministry planning departments include a project planning phase: “stage when the potential public investment projects are identified, formulated and designed and the necessary environmental, disaster prevention, climate risk, social impact analysis are made”</w:t>
      </w:r>
      <w:r w:rsidRPr="00D20287">
        <w:rPr>
          <w:rFonts w:ascii="Times New Roman" w:eastAsia="Calibri" w:hAnsi="Times New Roman"/>
          <w:sz w:val="24"/>
        </w:rPr>
        <w:t xml:space="preserve">. However, the checklist for the project proposal for a new infrastructure project includes that “a financial/economic Analysis of the project is conducted, </w:t>
      </w:r>
      <w:r w:rsidRPr="00D20287">
        <w:rPr>
          <w:rFonts w:ascii="Times New Roman" w:eastAsia="Calibri" w:hAnsi="Times New Roman"/>
          <w:sz w:val="24"/>
        </w:rPr>
        <w:lastRenderedPageBreak/>
        <w:t>and one among Net Present Value, Cost and Benefic Ratio, and Internal Rate of Return, is calculated and attached.”</w:t>
      </w:r>
    </w:p>
    <w:p w14:paraId="187ECBF3" w14:textId="50267D91" w:rsidR="007518E4" w:rsidRDefault="003549DC" w:rsidP="008037D9">
      <w:pPr>
        <w:pStyle w:val="ListParagraph"/>
        <w:numPr>
          <w:ilvl w:val="0"/>
          <w:numId w:val="94"/>
        </w:numPr>
        <w:spacing w:after="240"/>
        <w:contextualSpacing w:val="0"/>
        <w:rPr>
          <w:rFonts w:ascii="Times New Roman" w:eastAsia="Calibri" w:hAnsi="Times New Roman"/>
          <w:sz w:val="24"/>
        </w:rPr>
      </w:pPr>
      <w:r>
        <w:rPr>
          <w:rFonts w:ascii="Times New Roman" w:eastAsia="Calibri" w:hAnsi="Times New Roman"/>
          <w:b/>
          <w:sz w:val="24"/>
        </w:rPr>
        <w:t xml:space="preserve">Specific </w:t>
      </w:r>
      <w:proofErr w:type="gramStart"/>
      <w:r>
        <w:rPr>
          <w:rFonts w:ascii="Times New Roman" w:eastAsia="Calibri" w:hAnsi="Times New Roman"/>
          <w:b/>
          <w:sz w:val="24"/>
        </w:rPr>
        <w:t>i</w:t>
      </w:r>
      <w:r w:rsidR="007518E4" w:rsidRPr="0068375E">
        <w:rPr>
          <w:rFonts w:ascii="Times New Roman" w:eastAsia="Calibri" w:hAnsi="Times New Roman"/>
          <w:b/>
          <w:sz w:val="24"/>
        </w:rPr>
        <w:t xml:space="preserve">nformation </w:t>
      </w:r>
      <w:r w:rsidR="000C327A">
        <w:rPr>
          <w:rFonts w:ascii="Times New Roman" w:eastAsia="Calibri" w:hAnsi="Times New Roman"/>
          <w:b/>
          <w:sz w:val="24"/>
        </w:rPr>
        <w:t xml:space="preserve"> </w:t>
      </w:r>
      <w:r w:rsidR="007518E4" w:rsidRPr="0068375E">
        <w:rPr>
          <w:rFonts w:ascii="Times New Roman" w:eastAsia="Calibri" w:hAnsi="Times New Roman"/>
          <w:b/>
          <w:sz w:val="24"/>
        </w:rPr>
        <w:t>for</w:t>
      </w:r>
      <w:proofErr w:type="gramEnd"/>
      <w:r w:rsidR="007518E4" w:rsidRPr="0068375E">
        <w:rPr>
          <w:rFonts w:ascii="Times New Roman" w:eastAsia="Calibri" w:hAnsi="Times New Roman"/>
          <w:b/>
          <w:sz w:val="24"/>
        </w:rPr>
        <w:t xml:space="preserve"> the 10 major projects selected as the sample could not be accessed.</w:t>
      </w:r>
      <w:r w:rsidR="00F70FF1">
        <w:rPr>
          <w:rFonts w:ascii="Times New Roman" w:eastAsia="Calibri" w:hAnsi="Times New Roman"/>
          <w:sz w:val="24"/>
        </w:rPr>
        <w:t xml:space="preserve"> </w:t>
      </w:r>
      <w:r w:rsidR="000C327A">
        <w:rPr>
          <w:rFonts w:ascii="Times New Roman" w:eastAsia="Calibri" w:hAnsi="Times New Roman"/>
          <w:sz w:val="24"/>
        </w:rPr>
        <w:t xml:space="preserve">  However, </w:t>
      </w:r>
      <w:r w:rsidR="0068477C">
        <w:rPr>
          <w:rFonts w:ascii="Times New Roman" w:eastAsia="Calibri" w:hAnsi="Times New Roman"/>
          <w:sz w:val="24"/>
        </w:rPr>
        <w:t>the checklist of information collected for the major projects screened by the MPI officials was provided and</w:t>
      </w:r>
      <w:r w:rsidR="0068477C" w:rsidRPr="0068477C">
        <w:rPr>
          <w:rFonts w:ascii="Times New Roman" w:eastAsia="Calibri" w:hAnsi="Times New Roman"/>
          <w:sz w:val="24"/>
        </w:rPr>
        <w:t xml:space="preserve"> </w:t>
      </w:r>
      <w:r w:rsidR="0068477C">
        <w:rPr>
          <w:rFonts w:ascii="Times New Roman" w:eastAsia="Calibri" w:hAnsi="Times New Roman"/>
          <w:sz w:val="24"/>
        </w:rPr>
        <w:t xml:space="preserve">confirmation was received that all </w:t>
      </w:r>
      <w:r w:rsidR="0068477C" w:rsidRPr="001A5162">
        <w:rPr>
          <w:rFonts w:ascii="Times New Roman" w:eastAsia="Calibri" w:hAnsi="Times New Roman"/>
          <w:sz w:val="24"/>
        </w:rPr>
        <w:t xml:space="preserve">externally financed </w:t>
      </w:r>
      <w:r w:rsidR="0068477C">
        <w:rPr>
          <w:rFonts w:ascii="Times New Roman" w:eastAsia="Calibri" w:hAnsi="Times New Roman"/>
          <w:sz w:val="24"/>
        </w:rPr>
        <w:t>and</w:t>
      </w:r>
      <w:r w:rsidR="0068477C" w:rsidRPr="001A5162">
        <w:rPr>
          <w:rFonts w:ascii="Times New Roman" w:eastAsia="Calibri" w:hAnsi="Times New Roman"/>
          <w:sz w:val="24"/>
        </w:rPr>
        <w:t xml:space="preserve"> very strategic and visible projects </w:t>
      </w:r>
      <w:proofErr w:type="gramStart"/>
      <w:r w:rsidR="0068477C" w:rsidRPr="001A5162">
        <w:rPr>
          <w:rFonts w:ascii="Times New Roman" w:eastAsia="Calibri" w:hAnsi="Times New Roman"/>
          <w:sz w:val="24"/>
        </w:rPr>
        <w:t>are  covered</w:t>
      </w:r>
      <w:proofErr w:type="gramEnd"/>
      <w:r w:rsidR="0068477C" w:rsidRPr="001A5162">
        <w:rPr>
          <w:rFonts w:ascii="Times New Roman" w:eastAsia="Calibri" w:hAnsi="Times New Roman"/>
          <w:sz w:val="24"/>
        </w:rPr>
        <w:t xml:space="preserve"> by a systematic economic analysis and feasibility study. </w:t>
      </w:r>
      <w:r w:rsidR="0068477C">
        <w:rPr>
          <w:rFonts w:ascii="Times New Roman" w:eastAsia="Calibri" w:hAnsi="Times New Roman"/>
          <w:sz w:val="24"/>
        </w:rPr>
        <w:t xml:space="preserve"> </w:t>
      </w:r>
      <w:proofErr w:type="gramStart"/>
      <w:r w:rsidR="0068477C">
        <w:rPr>
          <w:rFonts w:ascii="Times New Roman" w:eastAsia="Calibri" w:hAnsi="Times New Roman"/>
          <w:sz w:val="24"/>
        </w:rPr>
        <w:t xml:space="preserve">However,  </w:t>
      </w:r>
      <w:r w:rsidR="007518E4" w:rsidRPr="001A5162">
        <w:rPr>
          <w:rFonts w:ascii="Times New Roman" w:eastAsia="Calibri" w:hAnsi="Times New Roman"/>
          <w:sz w:val="24"/>
        </w:rPr>
        <w:t>ministries</w:t>
      </w:r>
      <w:proofErr w:type="gramEnd"/>
      <w:r w:rsidR="007518E4" w:rsidRPr="001A5162">
        <w:rPr>
          <w:rFonts w:ascii="Times New Roman" w:eastAsia="Calibri" w:hAnsi="Times New Roman"/>
          <w:sz w:val="24"/>
        </w:rPr>
        <w:t xml:space="preserve"> and provinces indicates that economic analysis is not always conducted for projects funded from domestic resources, and that cost estimation </w:t>
      </w:r>
      <w:r w:rsidR="0068477C">
        <w:rPr>
          <w:rFonts w:ascii="Times New Roman" w:eastAsia="Calibri" w:hAnsi="Times New Roman"/>
          <w:sz w:val="24"/>
        </w:rPr>
        <w:t>can</w:t>
      </w:r>
      <w:r w:rsidR="007518E4" w:rsidRPr="001A5162">
        <w:rPr>
          <w:rFonts w:ascii="Times New Roman" w:eastAsia="Calibri" w:hAnsi="Times New Roman"/>
          <w:sz w:val="24"/>
        </w:rPr>
        <w:t xml:space="preserve">not </w:t>
      </w:r>
      <w:proofErr w:type="spellStart"/>
      <w:r w:rsidR="007518E4" w:rsidRPr="001A5162">
        <w:rPr>
          <w:rFonts w:ascii="Times New Roman" w:eastAsia="Calibri" w:hAnsi="Times New Roman"/>
          <w:sz w:val="24"/>
        </w:rPr>
        <w:t>b</w:t>
      </w:r>
      <w:r w:rsidR="0068477C">
        <w:rPr>
          <w:rFonts w:ascii="Times New Roman" w:eastAsia="Calibri" w:hAnsi="Times New Roman"/>
          <w:sz w:val="24"/>
        </w:rPr>
        <w:t>e</w:t>
      </w:r>
      <w:r w:rsidR="007518E4" w:rsidRPr="001A5162">
        <w:rPr>
          <w:rFonts w:ascii="Times New Roman" w:eastAsia="Calibri" w:hAnsi="Times New Roman"/>
          <w:sz w:val="24"/>
        </w:rPr>
        <w:t>n</w:t>
      </w:r>
      <w:proofErr w:type="spellEnd"/>
      <w:r w:rsidR="007518E4" w:rsidRPr="001A5162">
        <w:rPr>
          <w:rFonts w:ascii="Times New Roman" w:eastAsia="Calibri" w:hAnsi="Times New Roman"/>
          <w:sz w:val="24"/>
        </w:rPr>
        <w:t xml:space="preserve"> done in a consistent manner due to financial and tech</w:t>
      </w:r>
      <w:r w:rsidR="00F70FF1">
        <w:rPr>
          <w:rFonts w:ascii="Times New Roman" w:eastAsia="Calibri" w:hAnsi="Times New Roman"/>
          <w:sz w:val="24"/>
        </w:rPr>
        <w:t xml:space="preserve">nical capacity to constraints. </w:t>
      </w:r>
      <w:r w:rsidR="007518E4" w:rsidRPr="001A5162">
        <w:rPr>
          <w:rFonts w:ascii="Times New Roman" w:eastAsia="Calibri" w:hAnsi="Times New Roman"/>
          <w:sz w:val="24"/>
        </w:rPr>
        <w:t xml:space="preserve">Economic feasibility studies </w:t>
      </w:r>
      <w:r w:rsidR="0068477C">
        <w:rPr>
          <w:rFonts w:ascii="Times New Roman" w:eastAsia="Calibri" w:hAnsi="Times New Roman"/>
          <w:sz w:val="24"/>
        </w:rPr>
        <w:t xml:space="preserve">for smaller projects in the investment pipeline </w:t>
      </w:r>
      <w:r w:rsidR="007518E4" w:rsidRPr="001A5162">
        <w:rPr>
          <w:rFonts w:ascii="Times New Roman" w:eastAsia="Calibri" w:hAnsi="Times New Roman"/>
          <w:sz w:val="24"/>
        </w:rPr>
        <w:t xml:space="preserve">are </w:t>
      </w:r>
      <w:proofErr w:type="spellStart"/>
      <w:r w:rsidR="0068477C">
        <w:rPr>
          <w:rFonts w:ascii="Times New Roman" w:eastAsia="Calibri" w:hAnsi="Times New Roman"/>
          <w:sz w:val="24"/>
        </w:rPr>
        <w:t>therefore</w:t>
      </w:r>
      <w:r w:rsidR="007518E4" w:rsidRPr="001A5162">
        <w:rPr>
          <w:rFonts w:ascii="Times New Roman" w:eastAsia="Calibri" w:hAnsi="Times New Roman"/>
          <w:sz w:val="24"/>
        </w:rPr>
        <w:t>seriously</w:t>
      </w:r>
      <w:proofErr w:type="spellEnd"/>
      <w:r w:rsidR="007518E4" w:rsidRPr="001A5162">
        <w:rPr>
          <w:rFonts w:ascii="Times New Roman" w:eastAsia="Calibri" w:hAnsi="Times New Roman"/>
          <w:sz w:val="24"/>
        </w:rPr>
        <w:t xml:space="preserve"> cons</w:t>
      </w:r>
      <w:r w:rsidR="00F70FF1">
        <w:rPr>
          <w:rFonts w:ascii="Times New Roman" w:eastAsia="Calibri" w:hAnsi="Times New Roman"/>
          <w:sz w:val="24"/>
        </w:rPr>
        <w:t>trained and are often bypassed.</w:t>
      </w:r>
      <w:r w:rsidR="007518E4" w:rsidRPr="001A5162">
        <w:rPr>
          <w:rFonts w:ascii="Times New Roman" w:eastAsia="Calibri" w:hAnsi="Times New Roman"/>
          <w:sz w:val="24"/>
        </w:rPr>
        <w:t xml:space="preserve">  </w:t>
      </w:r>
    </w:p>
    <w:p w14:paraId="5362D5DC" w14:textId="77777777" w:rsidR="007518E4" w:rsidRPr="0068375E" w:rsidRDefault="007518E4" w:rsidP="008037D9">
      <w:pPr>
        <w:pStyle w:val="ListParagraph"/>
        <w:numPr>
          <w:ilvl w:val="0"/>
          <w:numId w:val="94"/>
        </w:numPr>
        <w:spacing w:after="240"/>
        <w:contextualSpacing w:val="0"/>
        <w:rPr>
          <w:rFonts w:ascii="Times New Roman" w:eastAsia="Calibri" w:hAnsi="Times New Roman"/>
          <w:b/>
          <w:sz w:val="24"/>
        </w:rPr>
      </w:pPr>
      <w:r w:rsidRPr="0068375E">
        <w:rPr>
          <w:rFonts w:ascii="Times New Roman" w:eastAsia="Calibri" w:hAnsi="Times New Roman"/>
          <w:b/>
          <w:sz w:val="24"/>
        </w:rPr>
        <w:t>Investment proposals are reviewed by MPI</w:t>
      </w:r>
      <w:r w:rsidR="0068375E">
        <w:rPr>
          <w:rFonts w:ascii="Times New Roman" w:eastAsia="Calibri" w:hAnsi="Times New Roman"/>
          <w:b/>
          <w:sz w:val="24"/>
        </w:rPr>
        <w:t xml:space="preserve">. </w:t>
      </w:r>
      <w:r w:rsidR="0068375E" w:rsidRPr="0068375E">
        <w:rPr>
          <w:rFonts w:ascii="Times New Roman" w:eastAsia="Calibri" w:hAnsi="Times New Roman"/>
          <w:sz w:val="24"/>
        </w:rPr>
        <w:t>However</w:t>
      </w:r>
      <w:r w:rsidRPr="0068375E">
        <w:rPr>
          <w:rFonts w:ascii="Times New Roman" w:eastAsia="Calibri" w:hAnsi="Times New Roman"/>
          <w:sz w:val="24"/>
        </w:rPr>
        <w:t>, in any case, with external funding or not, the results of economic and social assessments that are made in the formulation of government investment projects are not published.</w:t>
      </w:r>
      <w:r w:rsidRPr="0068375E">
        <w:rPr>
          <w:rFonts w:ascii="Times New Roman" w:eastAsia="Calibri" w:hAnsi="Times New Roman"/>
          <w:b/>
          <w:sz w:val="24"/>
        </w:rPr>
        <w:t xml:space="preserve"> </w:t>
      </w:r>
    </w:p>
    <w:p w14:paraId="11B335B0" w14:textId="111A701A" w:rsidR="007518E4" w:rsidRPr="001A5162" w:rsidRDefault="007518E4" w:rsidP="008037D9">
      <w:pPr>
        <w:pStyle w:val="ListParagraph"/>
        <w:numPr>
          <w:ilvl w:val="0"/>
          <w:numId w:val="94"/>
        </w:numPr>
        <w:spacing w:after="240"/>
        <w:contextualSpacing w:val="0"/>
        <w:rPr>
          <w:rFonts w:ascii="Times New Roman" w:hAnsi="Times New Roman"/>
          <w:sz w:val="24"/>
        </w:rPr>
      </w:pPr>
      <w:r w:rsidRPr="0068375E">
        <w:rPr>
          <w:rFonts w:ascii="Times New Roman" w:eastAsia="ヒラギノ角ゴ Pro W3" w:hAnsi="Times New Roman"/>
          <w:b/>
          <w:color w:val="000000"/>
          <w:sz w:val="24"/>
          <w:lang w:eastAsia="en-IN"/>
        </w:rPr>
        <w:t>Economic analysis should in principle be included in the investment proposals submitted to MPI for review and inclusion in the State Budget</w:t>
      </w:r>
      <w:r w:rsidR="0068375E">
        <w:rPr>
          <w:rFonts w:ascii="Times New Roman" w:eastAsia="ヒラギノ角ゴ Pro W3" w:hAnsi="Times New Roman"/>
          <w:b/>
          <w:color w:val="000000"/>
          <w:sz w:val="24"/>
          <w:lang w:eastAsia="en-IN"/>
        </w:rPr>
        <w:t xml:space="preserve">. </w:t>
      </w:r>
      <w:r w:rsidR="0068375E" w:rsidRPr="0068375E">
        <w:rPr>
          <w:rFonts w:ascii="Times New Roman" w:eastAsia="ヒラギノ角ゴ Pro W3" w:hAnsi="Times New Roman"/>
          <w:color w:val="000000"/>
          <w:sz w:val="24"/>
          <w:lang w:eastAsia="en-IN"/>
        </w:rPr>
        <w:t>They</w:t>
      </w:r>
      <w:r w:rsidRPr="0068375E">
        <w:rPr>
          <w:rFonts w:ascii="Times New Roman" w:eastAsia="ヒラギノ角ゴ Pro W3" w:hAnsi="Times New Roman"/>
          <w:color w:val="000000"/>
          <w:sz w:val="24"/>
          <w:lang w:eastAsia="en-IN"/>
        </w:rPr>
        <w:t xml:space="preserve"> </w:t>
      </w:r>
      <w:proofErr w:type="gramStart"/>
      <w:r w:rsidRPr="0068375E">
        <w:rPr>
          <w:rFonts w:ascii="Times New Roman" w:eastAsia="ヒラギノ角ゴ Pro W3" w:hAnsi="Times New Roman"/>
          <w:color w:val="000000"/>
          <w:sz w:val="24"/>
          <w:lang w:eastAsia="en-IN"/>
        </w:rPr>
        <w:t>a</w:t>
      </w:r>
      <w:r w:rsidRPr="001A5162">
        <w:rPr>
          <w:rFonts w:ascii="Times New Roman" w:eastAsia="ヒラギノ角ゴ Pro W3" w:hAnsi="Times New Roman"/>
          <w:color w:val="000000"/>
          <w:sz w:val="24"/>
          <w:lang w:eastAsia="en-IN"/>
        </w:rPr>
        <w:t>re  conducted</w:t>
      </w:r>
      <w:proofErr w:type="gramEnd"/>
      <w:r w:rsidRPr="001A5162">
        <w:rPr>
          <w:rFonts w:ascii="Times New Roman" w:eastAsia="ヒラギノ角ゴ Pro W3" w:hAnsi="Times New Roman"/>
          <w:color w:val="000000"/>
          <w:sz w:val="24"/>
          <w:lang w:eastAsia="en-IN"/>
        </w:rPr>
        <w:t xml:space="preserve"> </w:t>
      </w:r>
      <w:r w:rsidR="0068477C">
        <w:rPr>
          <w:rFonts w:ascii="Times New Roman" w:eastAsia="ヒラギノ角ゴ Pro W3" w:hAnsi="Times New Roman"/>
          <w:color w:val="000000"/>
          <w:sz w:val="24"/>
          <w:lang w:eastAsia="en-IN"/>
        </w:rPr>
        <w:t xml:space="preserve">systematically </w:t>
      </w:r>
      <w:r w:rsidRPr="001A5162">
        <w:rPr>
          <w:rFonts w:ascii="Times New Roman" w:eastAsia="ヒラギノ角ゴ Pro W3" w:hAnsi="Times New Roman"/>
          <w:color w:val="000000"/>
          <w:sz w:val="24"/>
          <w:lang w:eastAsia="en-IN"/>
        </w:rPr>
        <w:t xml:space="preserve">for  major </w:t>
      </w:r>
      <w:r w:rsidR="0068477C">
        <w:rPr>
          <w:rFonts w:ascii="Times New Roman" w:eastAsia="ヒラギノ角ゴ Pro W3" w:hAnsi="Times New Roman"/>
          <w:color w:val="000000"/>
          <w:sz w:val="24"/>
          <w:lang w:eastAsia="en-IN"/>
        </w:rPr>
        <w:t xml:space="preserve">public </w:t>
      </w:r>
      <w:r w:rsidRPr="001A5162">
        <w:rPr>
          <w:rFonts w:ascii="Times New Roman" w:eastAsia="ヒラギノ角ゴ Pro W3" w:hAnsi="Times New Roman"/>
          <w:color w:val="000000"/>
          <w:sz w:val="24"/>
          <w:lang w:eastAsia="en-IN"/>
        </w:rPr>
        <w:t>investment projects and joint investments with external financing</w:t>
      </w:r>
      <w:r w:rsidR="00CC194B">
        <w:rPr>
          <w:rFonts w:ascii="Times New Roman" w:eastAsia="ヒラギノ角ゴ Pro W3" w:hAnsi="Times New Roman"/>
          <w:color w:val="000000"/>
          <w:sz w:val="24"/>
          <w:lang w:eastAsia="en-IN"/>
        </w:rPr>
        <w:t xml:space="preserve">.  </w:t>
      </w:r>
      <w:proofErr w:type="gramStart"/>
      <w:r w:rsidR="00CC194B">
        <w:rPr>
          <w:rFonts w:ascii="Times New Roman" w:eastAsia="ヒラギノ角ゴ Pro W3" w:hAnsi="Times New Roman"/>
          <w:color w:val="000000"/>
          <w:sz w:val="24"/>
          <w:lang w:eastAsia="en-IN"/>
        </w:rPr>
        <w:t xml:space="preserve">These </w:t>
      </w:r>
      <w:r w:rsidRPr="001A5162">
        <w:rPr>
          <w:rFonts w:ascii="Times New Roman" w:eastAsia="ヒラギノ角ゴ Pro W3" w:hAnsi="Times New Roman"/>
          <w:color w:val="000000"/>
          <w:sz w:val="24"/>
          <w:lang w:eastAsia="en-IN"/>
        </w:rPr>
        <w:t xml:space="preserve"> represent</w:t>
      </w:r>
      <w:proofErr w:type="gramEnd"/>
      <w:r w:rsidRPr="001A5162">
        <w:rPr>
          <w:rFonts w:ascii="Times New Roman" w:eastAsia="ヒラギノ角ゴ Pro W3" w:hAnsi="Times New Roman"/>
          <w:color w:val="000000"/>
          <w:sz w:val="24"/>
          <w:lang w:eastAsia="en-IN"/>
        </w:rPr>
        <w:t xml:space="preserve"> at least 25</w:t>
      </w:r>
      <w:r>
        <w:rPr>
          <w:rFonts w:ascii="Times New Roman" w:eastAsia="ヒラギノ角ゴ Pro W3" w:hAnsi="Times New Roman"/>
          <w:color w:val="000000"/>
          <w:sz w:val="24"/>
          <w:lang w:eastAsia="en-IN"/>
        </w:rPr>
        <w:t xml:space="preserve"> </w:t>
      </w:r>
      <w:r w:rsidRPr="001A5162">
        <w:rPr>
          <w:rFonts w:ascii="Times New Roman" w:eastAsia="ヒラギノ角ゴ Pro W3" w:hAnsi="Times New Roman"/>
          <w:color w:val="000000"/>
          <w:sz w:val="24"/>
          <w:lang w:eastAsia="en-IN"/>
        </w:rPr>
        <w:t xml:space="preserve">percent of the pipeline, </w:t>
      </w:r>
      <w:r w:rsidR="00CC194B">
        <w:rPr>
          <w:rFonts w:ascii="Times New Roman" w:eastAsia="ヒラギノ角ゴ Pro W3" w:hAnsi="Times New Roman"/>
          <w:color w:val="000000"/>
          <w:sz w:val="24"/>
          <w:lang w:eastAsia="en-IN"/>
        </w:rPr>
        <w:t>but</w:t>
      </w:r>
      <w:r w:rsidRPr="001A5162">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 xml:space="preserve">are </w:t>
      </w:r>
      <w:r w:rsidRPr="001A5162">
        <w:rPr>
          <w:rFonts w:ascii="Times New Roman" w:eastAsia="ヒラギノ角ゴ Pro W3" w:hAnsi="Times New Roman"/>
          <w:color w:val="000000"/>
          <w:sz w:val="24"/>
          <w:lang w:eastAsia="en-IN"/>
        </w:rPr>
        <w:t>not published: Score C</w:t>
      </w:r>
    </w:p>
    <w:p w14:paraId="231F4F78" w14:textId="77777777" w:rsidR="007518E4" w:rsidRPr="001612C4" w:rsidRDefault="007518E4" w:rsidP="00200DE4">
      <w:pPr>
        <w:pStyle w:val="BodyText"/>
        <w:spacing w:after="240"/>
        <w:ind w:left="0"/>
        <w:rPr>
          <w:rFonts w:ascii="Times New Roman" w:hAnsi="Times New Roman"/>
          <w:b/>
          <w:color w:val="FFC000"/>
          <w:sz w:val="24"/>
        </w:rPr>
      </w:pPr>
      <w:r w:rsidRPr="001612C4">
        <w:rPr>
          <w:rFonts w:ascii="Times New Roman" w:hAnsi="Times New Roman"/>
          <w:b/>
          <w:color w:val="FFC000"/>
          <w:sz w:val="24"/>
        </w:rPr>
        <w:t xml:space="preserve">11.2 Investment </w:t>
      </w:r>
      <w:r>
        <w:rPr>
          <w:rFonts w:ascii="Times New Roman" w:hAnsi="Times New Roman"/>
          <w:b/>
          <w:color w:val="FFC000"/>
          <w:sz w:val="24"/>
        </w:rPr>
        <w:t>p</w:t>
      </w:r>
      <w:r w:rsidRPr="001612C4">
        <w:rPr>
          <w:rFonts w:ascii="Times New Roman" w:hAnsi="Times New Roman"/>
          <w:b/>
          <w:color w:val="FFC000"/>
          <w:sz w:val="24"/>
        </w:rPr>
        <w:t xml:space="preserve">roject </w:t>
      </w:r>
      <w:r>
        <w:rPr>
          <w:rFonts w:ascii="Times New Roman" w:hAnsi="Times New Roman"/>
          <w:b/>
          <w:color w:val="FFC000"/>
          <w:sz w:val="24"/>
        </w:rPr>
        <w:t>s</w:t>
      </w:r>
      <w:r w:rsidRPr="001612C4">
        <w:rPr>
          <w:rFonts w:ascii="Times New Roman" w:hAnsi="Times New Roman"/>
          <w:b/>
          <w:color w:val="FFC000"/>
          <w:sz w:val="24"/>
        </w:rPr>
        <w:t>election</w:t>
      </w:r>
    </w:p>
    <w:p w14:paraId="033880B8" w14:textId="77777777" w:rsidR="007518E4" w:rsidRDefault="007518E4" w:rsidP="008037D9">
      <w:pPr>
        <w:pStyle w:val="ListParagraph"/>
        <w:numPr>
          <w:ilvl w:val="0"/>
          <w:numId w:val="94"/>
        </w:numPr>
        <w:spacing w:after="240"/>
        <w:contextualSpacing w:val="0"/>
        <w:rPr>
          <w:rFonts w:ascii="Times New Roman" w:hAnsi="Times New Roman"/>
          <w:sz w:val="24"/>
        </w:rPr>
      </w:pPr>
      <w:r w:rsidRPr="0068375E">
        <w:rPr>
          <w:rFonts w:ascii="Times New Roman" w:hAnsi="Times New Roman"/>
          <w:b/>
          <w:sz w:val="24"/>
        </w:rPr>
        <w:t>Improving public investment selection has been a major focus government</w:t>
      </w:r>
      <w:r w:rsidRPr="002005CF">
        <w:rPr>
          <w:rFonts w:ascii="Times New Roman" w:hAnsi="Times New Roman"/>
          <w:sz w:val="24"/>
        </w:rPr>
        <w:t>.  Since 2017 after the guidelines were revised, screening (with letters A to F) prior to selection is in place under a new and well</w:t>
      </w:r>
      <w:r w:rsidR="00E343CA">
        <w:rPr>
          <w:rFonts w:ascii="Times New Roman" w:hAnsi="Times New Roman"/>
          <w:sz w:val="24"/>
        </w:rPr>
        <w:t>-</w:t>
      </w:r>
      <w:r w:rsidRPr="002005CF">
        <w:rPr>
          <w:rFonts w:ascii="Times New Roman" w:hAnsi="Times New Roman"/>
          <w:sz w:val="24"/>
        </w:rPr>
        <w:t xml:space="preserve">defined system. All projects identified by the ministries and provinces have first - as a pre-condition - to have been included in the relevant PIP </w:t>
      </w:r>
      <w:r w:rsidRPr="002005CF">
        <w:rPr>
          <w:rFonts w:ascii="Times New Roman" w:hAnsi="Times New Roman"/>
          <w:bCs/>
          <w:sz w:val="24"/>
        </w:rPr>
        <w:t>which contains detailed project lists for each of the 5 years</w:t>
      </w:r>
      <w:r w:rsidRPr="002005CF">
        <w:rPr>
          <w:rFonts w:ascii="Times New Roman" w:hAnsi="Times New Roman"/>
          <w:b/>
          <w:bCs/>
          <w:sz w:val="24"/>
        </w:rPr>
        <w:t>.</w:t>
      </w:r>
      <w:r w:rsidRPr="002005CF">
        <w:rPr>
          <w:rFonts w:ascii="Times New Roman" w:hAnsi="Times New Roman"/>
          <w:sz w:val="24"/>
        </w:rPr>
        <w:t xml:space="preserve"> five year- NESDP to qualify and be included in the stock of projects to be undertaken by the government with State budget funding. </w:t>
      </w:r>
    </w:p>
    <w:p w14:paraId="29AEC951" w14:textId="77777777" w:rsidR="007518E4" w:rsidRPr="002005CF" w:rsidRDefault="007518E4" w:rsidP="008037D9">
      <w:pPr>
        <w:pStyle w:val="ListParagraph"/>
        <w:numPr>
          <w:ilvl w:val="0"/>
          <w:numId w:val="94"/>
        </w:numPr>
        <w:spacing w:after="240"/>
        <w:contextualSpacing w:val="0"/>
        <w:rPr>
          <w:rFonts w:ascii="Times New Roman" w:hAnsi="Times New Roman"/>
          <w:sz w:val="24"/>
        </w:rPr>
      </w:pPr>
      <w:r w:rsidRPr="0068375E">
        <w:rPr>
          <w:rFonts w:ascii="Times New Roman" w:eastAsia="ヒラギノ角ゴ Pro W3" w:hAnsi="Times New Roman"/>
          <w:b/>
          <w:color w:val="000000"/>
          <w:sz w:val="24"/>
          <w:lang w:eastAsia="en-IN"/>
        </w:rPr>
        <w:t>Investment proposals are prepared based on the templates and provisions from the “JICA guidelines”.</w:t>
      </w:r>
      <w:r w:rsidRPr="002005CF">
        <w:rPr>
          <w:rFonts w:ascii="Times New Roman" w:eastAsia="ヒラギノ角ゴ Pro W3" w:hAnsi="Times New Roman"/>
          <w:color w:val="000000"/>
          <w:sz w:val="24"/>
          <w:lang w:eastAsia="en-IN"/>
        </w:rPr>
        <w:t xml:space="preserve"> The PIP contains a very detailed list of all projects already pre-approved for inclusion in the budget with a breakdown by category, cost by year, total costs and implementation agency.  It is managed by </w:t>
      </w:r>
      <w:r w:rsidRPr="002005CF">
        <w:rPr>
          <w:rFonts w:ascii="Times New Roman" w:eastAsia="ヒラギノ角ゴ Pro W3" w:hAnsi="Times New Roman"/>
          <w:sz w:val="24"/>
          <w:lang w:eastAsia="en-IN"/>
        </w:rPr>
        <w:t>the Evaluation Department within MPI. This department is responsible for the review of the pipeline of proposals from</w:t>
      </w:r>
      <w:r w:rsidRPr="002005CF">
        <w:rPr>
          <w:rFonts w:ascii="Times New Roman" w:eastAsia="ヒラギノ角ゴ Pro W3" w:hAnsi="Times New Roman"/>
          <w:color w:val="000000"/>
          <w:sz w:val="24"/>
          <w:lang w:eastAsia="en-IN"/>
        </w:rPr>
        <w:t xml:space="preserve"> ministries and provinces and for the screening of the projects through a set of objective criteria </w:t>
      </w:r>
      <w:proofErr w:type="gramStart"/>
      <w:r w:rsidRPr="002005CF">
        <w:rPr>
          <w:rFonts w:ascii="Times New Roman" w:eastAsia="ヒラギノ角ゴ Pro W3" w:hAnsi="Times New Roman"/>
          <w:color w:val="000000"/>
          <w:sz w:val="24"/>
          <w:lang w:eastAsia="en-IN"/>
        </w:rPr>
        <w:t>in order to</w:t>
      </w:r>
      <w:proofErr w:type="gramEnd"/>
      <w:r w:rsidRPr="002005CF">
        <w:rPr>
          <w:rFonts w:ascii="Times New Roman" w:eastAsia="ヒラギノ角ゴ Pro W3" w:hAnsi="Times New Roman"/>
          <w:color w:val="000000"/>
          <w:sz w:val="24"/>
          <w:lang w:eastAsia="en-IN"/>
        </w:rPr>
        <w:t xml:space="preserve"> identify the list of potential projects that can be prioritized projects and be included in the State budget.  </w:t>
      </w:r>
    </w:p>
    <w:p w14:paraId="316E044B" w14:textId="77777777" w:rsidR="007518E4" w:rsidRPr="002005CF" w:rsidRDefault="007518E4" w:rsidP="008037D9">
      <w:pPr>
        <w:pStyle w:val="ListParagraph"/>
        <w:numPr>
          <w:ilvl w:val="0"/>
          <w:numId w:val="94"/>
        </w:numPr>
        <w:spacing w:after="240"/>
        <w:contextualSpacing w:val="0"/>
        <w:rPr>
          <w:rFonts w:ascii="Times New Roman" w:hAnsi="Times New Roman"/>
          <w:sz w:val="24"/>
        </w:rPr>
      </w:pPr>
      <w:r w:rsidRPr="0068375E">
        <w:rPr>
          <w:rFonts w:ascii="Times New Roman" w:hAnsi="Times New Roman"/>
          <w:b/>
          <w:sz w:val="24"/>
        </w:rPr>
        <w:t>The identification and selection process at provincial level involves the following steps for the projects</w:t>
      </w:r>
      <w:r>
        <w:rPr>
          <w:rFonts w:ascii="Times New Roman" w:hAnsi="Times New Roman"/>
          <w:sz w:val="24"/>
        </w:rPr>
        <w:t>:</w:t>
      </w:r>
    </w:p>
    <w:p w14:paraId="64A76FE2" w14:textId="77777777" w:rsidR="007518E4" w:rsidRPr="001A5162" w:rsidRDefault="007518E4" w:rsidP="00F70FF1">
      <w:pPr>
        <w:pStyle w:val="ListParagraph"/>
        <w:numPr>
          <w:ilvl w:val="0"/>
          <w:numId w:val="52"/>
        </w:numPr>
        <w:spacing w:after="120"/>
        <w:contextualSpacing w:val="0"/>
        <w:rPr>
          <w:rFonts w:ascii="Times New Roman" w:hAnsi="Times New Roman"/>
          <w:sz w:val="24"/>
        </w:rPr>
      </w:pPr>
      <w:r w:rsidRPr="001A5162">
        <w:rPr>
          <w:rFonts w:ascii="Times New Roman" w:hAnsi="Times New Roman"/>
          <w:sz w:val="24"/>
        </w:rPr>
        <w:t>The Public Investment Project Priority List and the Three-Year Rolling Plan are developed based on the Five-year Public Investment Plan and the NSEDP. The investment proposals are submitted to the provincial assembly to be included within the investment ceiling to be defined by MPI for the year,</w:t>
      </w:r>
    </w:p>
    <w:p w14:paraId="067C2B9D" w14:textId="77777777" w:rsidR="007518E4" w:rsidRPr="00F70FF1" w:rsidRDefault="007518E4" w:rsidP="00F70FF1">
      <w:pPr>
        <w:pStyle w:val="ListParagraph"/>
        <w:numPr>
          <w:ilvl w:val="0"/>
          <w:numId w:val="52"/>
        </w:numPr>
        <w:spacing w:after="120"/>
        <w:contextualSpacing w:val="0"/>
        <w:rPr>
          <w:rFonts w:ascii="Times New Roman" w:eastAsia="ヒラギノ角ゴ Pro W3" w:hAnsi="Times New Roman"/>
          <w:color w:val="000000"/>
          <w:sz w:val="24"/>
          <w:lang w:eastAsia="en-IN"/>
        </w:rPr>
      </w:pPr>
      <w:r w:rsidRPr="00F70FF1">
        <w:rPr>
          <w:rFonts w:ascii="Times New Roman" w:eastAsia="ヒラギノ角ゴ Pro W3" w:hAnsi="Times New Roman"/>
          <w:color w:val="000000"/>
          <w:sz w:val="24"/>
          <w:lang w:eastAsia="en-IN"/>
        </w:rPr>
        <w:lastRenderedPageBreak/>
        <w:t>Once the capital budget ceiling is defined, MPI sends annual instructions and guidance based on the PIP and the NSEDP, to start the annual ministry/province capital budgeting process,</w:t>
      </w:r>
    </w:p>
    <w:p w14:paraId="64A1D8D6" w14:textId="77777777" w:rsidR="007518E4" w:rsidRPr="00F70FF1" w:rsidRDefault="007518E4" w:rsidP="00F70FF1">
      <w:pPr>
        <w:pStyle w:val="ListParagraph"/>
        <w:numPr>
          <w:ilvl w:val="0"/>
          <w:numId w:val="52"/>
        </w:numPr>
        <w:spacing w:after="120"/>
        <w:contextualSpacing w:val="0"/>
        <w:rPr>
          <w:rFonts w:ascii="Times New Roman" w:eastAsia="ヒラギノ角ゴ Pro W3" w:hAnsi="Times New Roman"/>
          <w:color w:val="000000"/>
          <w:sz w:val="24"/>
          <w:lang w:eastAsia="en-IN"/>
        </w:rPr>
      </w:pPr>
      <w:r w:rsidRPr="00F70FF1">
        <w:rPr>
          <w:rFonts w:ascii="Times New Roman" w:eastAsia="ヒラギノ角ゴ Pro W3" w:hAnsi="Times New Roman"/>
          <w:color w:val="000000"/>
          <w:sz w:val="24"/>
          <w:lang w:eastAsia="en-IN"/>
        </w:rPr>
        <w:t>After consultation, sector departments will send all investment proposals from districts and respective service facilities to the planning department with some prioritization, using the proposal format and methodology developed under PCAP.</w:t>
      </w:r>
    </w:p>
    <w:p w14:paraId="3008696D" w14:textId="77777777" w:rsidR="007518E4" w:rsidRPr="001A5162" w:rsidRDefault="007518E4" w:rsidP="00F70FF1">
      <w:pPr>
        <w:pStyle w:val="ListParagraph"/>
        <w:numPr>
          <w:ilvl w:val="0"/>
          <w:numId w:val="52"/>
        </w:numPr>
        <w:spacing w:after="120"/>
        <w:contextualSpacing w:val="0"/>
        <w:rPr>
          <w:rFonts w:ascii="Times New Roman" w:hAnsi="Times New Roman"/>
          <w:sz w:val="24"/>
        </w:rPr>
      </w:pPr>
      <w:r w:rsidRPr="00F70FF1">
        <w:rPr>
          <w:rFonts w:ascii="Times New Roman" w:eastAsia="ヒラギノ角ゴ Pro W3" w:hAnsi="Times New Roman"/>
          <w:color w:val="000000"/>
          <w:sz w:val="24"/>
          <w:lang w:eastAsia="en-IN"/>
        </w:rPr>
        <w:t>The planning department will start its appraisal process and validate technical details, costs, e</w:t>
      </w:r>
      <w:r w:rsidRPr="001A5162">
        <w:rPr>
          <w:rFonts w:ascii="Times New Roman" w:hAnsi="Times New Roman"/>
          <w:sz w:val="24"/>
        </w:rPr>
        <w:t xml:space="preserve">tc. </w:t>
      </w:r>
      <w:r>
        <w:rPr>
          <w:rFonts w:ascii="Times New Roman" w:hAnsi="Times New Roman"/>
          <w:sz w:val="24"/>
        </w:rPr>
        <w:t xml:space="preserve">with </w:t>
      </w:r>
      <w:r w:rsidRPr="001A5162">
        <w:rPr>
          <w:rFonts w:ascii="Times New Roman" w:hAnsi="Times New Roman"/>
          <w:sz w:val="24"/>
        </w:rPr>
        <w:t>the following key criteria for screening and prioritizing:</w:t>
      </w:r>
    </w:p>
    <w:p w14:paraId="4DC152B6" w14:textId="77777777" w:rsidR="007518E4" w:rsidRPr="001A5162" w:rsidRDefault="007518E4" w:rsidP="008037D9">
      <w:pPr>
        <w:pStyle w:val="ListParagraph"/>
        <w:numPr>
          <w:ilvl w:val="1"/>
          <w:numId w:val="49"/>
        </w:numPr>
        <w:spacing w:before="0" w:after="60"/>
        <w:ind w:left="1434" w:hanging="357"/>
        <w:contextualSpacing w:val="0"/>
        <w:rPr>
          <w:rFonts w:ascii="Times New Roman" w:hAnsi="Times New Roman"/>
          <w:sz w:val="24"/>
        </w:rPr>
      </w:pPr>
      <w:r w:rsidRPr="001A5162">
        <w:rPr>
          <w:rFonts w:ascii="Times New Roman" w:hAnsi="Times New Roman"/>
          <w:sz w:val="24"/>
        </w:rPr>
        <w:t>Consistency with the NSEDP, and sector and province plans;</w:t>
      </w:r>
    </w:p>
    <w:p w14:paraId="0C8F0156" w14:textId="77777777" w:rsidR="007518E4" w:rsidRPr="001A5162" w:rsidRDefault="007518E4" w:rsidP="008037D9">
      <w:pPr>
        <w:pStyle w:val="ListParagraph"/>
        <w:numPr>
          <w:ilvl w:val="1"/>
          <w:numId w:val="49"/>
        </w:numPr>
        <w:spacing w:before="0" w:after="60"/>
        <w:ind w:left="1434" w:hanging="357"/>
        <w:contextualSpacing w:val="0"/>
        <w:rPr>
          <w:rFonts w:ascii="Times New Roman" w:hAnsi="Times New Roman"/>
          <w:sz w:val="24"/>
        </w:rPr>
      </w:pPr>
      <w:r w:rsidRPr="001A5162">
        <w:rPr>
          <w:rFonts w:ascii="Times New Roman" w:hAnsi="Times New Roman"/>
          <w:sz w:val="24"/>
        </w:rPr>
        <w:t>The relative priority given by the proposing department, and</w:t>
      </w:r>
    </w:p>
    <w:p w14:paraId="65330553" w14:textId="77777777" w:rsidR="007518E4" w:rsidRPr="001A5162" w:rsidRDefault="007518E4" w:rsidP="008037D9">
      <w:pPr>
        <w:pStyle w:val="ListParagraph"/>
        <w:numPr>
          <w:ilvl w:val="1"/>
          <w:numId w:val="49"/>
        </w:numPr>
        <w:spacing w:before="0" w:after="60"/>
        <w:ind w:left="1434" w:hanging="357"/>
        <w:contextualSpacing w:val="0"/>
        <w:rPr>
          <w:rFonts w:ascii="Times New Roman" w:hAnsi="Times New Roman"/>
          <w:sz w:val="24"/>
        </w:rPr>
      </w:pPr>
      <w:r w:rsidRPr="001A5162">
        <w:rPr>
          <w:rFonts w:ascii="Times New Roman" w:hAnsi="Times New Roman"/>
          <w:sz w:val="24"/>
        </w:rPr>
        <w:t>The status of the investment: “debt”, “ongoing” or new (with highest priority given to the first two categories)</w:t>
      </w:r>
    </w:p>
    <w:p w14:paraId="71602D1F" w14:textId="77777777" w:rsidR="007518E4" w:rsidRPr="001A5162" w:rsidRDefault="007518E4" w:rsidP="00F70FF1">
      <w:pPr>
        <w:pStyle w:val="ListParagraph"/>
        <w:numPr>
          <w:ilvl w:val="0"/>
          <w:numId w:val="52"/>
        </w:numPr>
        <w:spacing w:after="120"/>
        <w:contextualSpacing w:val="0"/>
        <w:rPr>
          <w:rFonts w:ascii="Times New Roman" w:hAnsi="Times New Roman"/>
          <w:sz w:val="24"/>
        </w:rPr>
      </w:pPr>
      <w:r w:rsidRPr="001A5162">
        <w:rPr>
          <w:rFonts w:ascii="Times New Roman" w:hAnsi="Times New Roman"/>
          <w:sz w:val="24"/>
        </w:rPr>
        <w:t>The ranking of projects is established on a scale from A to F carried out by the Evaluation department. Only investments ranking highly in this process, A or B, exceptionally C, are then submitted to the MPI for review and clearance, and to respective sector ministries for review and consolidation</w:t>
      </w:r>
      <w:r>
        <w:rPr>
          <w:rFonts w:ascii="Times New Roman" w:hAnsi="Times New Roman"/>
          <w:sz w:val="24"/>
        </w:rPr>
        <w:t>.</w:t>
      </w:r>
    </w:p>
    <w:p w14:paraId="11AFF4A7" w14:textId="77777777" w:rsidR="007518E4" w:rsidRPr="001A5162" w:rsidRDefault="007518E4" w:rsidP="00F70FF1">
      <w:pPr>
        <w:pStyle w:val="ListParagraph"/>
        <w:numPr>
          <w:ilvl w:val="0"/>
          <w:numId w:val="52"/>
        </w:numPr>
        <w:spacing w:after="120"/>
        <w:contextualSpacing w:val="0"/>
        <w:rPr>
          <w:rFonts w:ascii="Times New Roman" w:hAnsi="Times New Roman"/>
          <w:sz w:val="24"/>
        </w:rPr>
      </w:pPr>
      <w:r w:rsidRPr="001A5162">
        <w:rPr>
          <w:rFonts w:ascii="Times New Roman" w:hAnsi="Times New Roman"/>
          <w:sz w:val="24"/>
        </w:rPr>
        <w:t>Following announcement of the NA-approved budget, and the capital investment ceiling within it, the provincial assembly will endorse the investments submitted at the following January session.</w:t>
      </w:r>
    </w:p>
    <w:p w14:paraId="26495DD9" w14:textId="77777777" w:rsidR="007518E4" w:rsidRPr="001A5162" w:rsidRDefault="007518E4" w:rsidP="00F70FF1">
      <w:pPr>
        <w:pStyle w:val="ListParagraph"/>
        <w:numPr>
          <w:ilvl w:val="0"/>
          <w:numId w:val="52"/>
        </w:numPr>
        <w:spacing w:after="120"/>
        <w:contextualSpacing w:val="0"/>
        <w:rPr>
          <w:rFonts w:ascii="Times New Roman" w:hAnsi="Times New Roman"/>
          <w:sz w:val="24"/>
        </w:rPr>
      </w:pPr>
      <w:r w:rsidRPr="001A5162">
        <w:rPr>
          <w:rFonts w:ascii="Times New Roman" w:hAnsi="Times New Roman"/>
          <w:sz w:val="24"/>
        </w:rPr>
        <w:t xml:space="preserve">For larger capital budget requests, ministries will submit proposals directly to MPI. If approved by MPI it will then be included in the budget proposal to the NA </w:t>
      </w:r>
    </w:p>
    <w:p w14:paraId="67A203A1" w14:textId="77777777" w:rsidR="007518E4" w:rsidRPr="001A5162" w:rsidRDefault="007518E4" w:rsidP="008037D9">
      <w:pPr>
        <w:pStyle w:val="ListParagraph"/>
        <w:numPr>
          <w:ilvl w:val="0"/>
          <w:numId w:val="55"/>
        </w:numPr>
        <w:spacing w:after="120"/>
        <w:contextualSpacing w:val="0"/>
        <w:rPr>
          <w:rFonts w:ascii="Times New Roman" w:hAnsi="Times New Roman"/>
          <w:sz w:val="24"/>
        </w:rPr>
      </w:pPr>
      <w:r w:rsidRPr="0068375E">
        <w:rPr>
          <w:rFonts w:ascii="Times New Roman" w:hAnsi="Times New Roman"/>
          <w:b/>
          <w:sz w:val="24"/>
        </w:rPr>
        <w:t>The PIP is structured by six thematic areas</w:t>
      </w:r>
      <w:r w:rsidR="00F70FF1">
        <w:rPr>
          <w:rFonts w:ascii="Times New Roman" w:hAnsi="Times New Roman"/>
          <w:sz w:val="24"/>
        </w:rPr>
        <w:t xml:space="preserve">. </w:t>
      </w:r>
      <w:r w:rsidR="0068375E">
        <w:rPr>
          <w:rFonts w:ascii="Times New Roman" w:hAnsi="Times New Roman"/>
          <w:sz w:val="24"/>
        </w:rPr>
        <w:t xml:space="preserve">These </w:t>
      </w:r>
      <w:r w:rsidRPr="001A5162">
        <w:rPr>
          <w:rFonts w:ascii="Times New Roman" w:hAnsi="Times New Roman"/>
          <w:sz w:val="24"/>
        </w:rPr>
        <w:t>are; sustainable economic growth, social support and disaster risk management, social development, infrastructure development, improved governance and gender capacity development. Of these thematic areas investment projects which are on top of the priority list (‘flagship’ projects) are those focused on sustainable economic growth and infrastructure development. In principle all projects are screened by MPI according to the “JICA” evaluation criteria and methodology.  However, it is unclear just how far this process really captures relative costs and benefits, or factors-in other national policy or geographic targeting criteria, such as preference for under-served areas. Then, PDPI ranks proposals based both on priorities assigned by the originating department and then by project status/commitment criteria.</w:t>
      </w:r>
    </w:p>
    <w:p w14:paraId="4D72215D" w14:textId="77777777" w:rsidR="007518E4" w:rsidRPr="001A1F70" w:rsidRDefault="007518E4" w:rsidP="008037D9">
      <w:pPr>
        <w:pStyle w:val="ListParagraph"/>
        <w:numPr>
          <w:ilvl w:val="0"/>
          <w:numId w:val="55"/>
        </w:numPr>
        <w:spacing w:after="240"/>
        <w:contextualSpacing w:val="0"/>
        <w:rPr>
          <w:rFonts w:ascii="Times New Roman" w:eastAsia="ヒラギノ角ゴ Pro W3" w:hAnsi="Times New Roman"/>
          <w:b/>
          <w:color w:val="000000"/>
          <w:sz w:val="24"/>
          <w:lang w:eastAsia="en-IN"/>
        </w:rPr>
      </w:pPr>
      <w:r w:rsidRPr="0068375E">
        <w:rPr>
          <w:rFonts w:ascii="Times New Roman" w:hAnsi="Times New Roman"/>
          <w:b/>
          <w:sz w:val="24"/>
        </w:rPr>
        <w:t>The PDPI division establishes ceilings based on the resource envelope available and whether the project fits into the priority list.</w:t>
      </w:r>
      <w:r w:rsidR="00F70FF1">
        <w:rPr>
          <w:rFonts w:ascii="Times New Roman" w:hAnsi="Times New Roman"/>
          <w:sz w:val="24"/>
        </w:rPr>
        <w:t xml:space="preserve"> </w:t>
      </w:r>
      <w:r w:rsidRPr="001A1F70">
        <w:rPr>
          <w:rFonts w:ascii="Times New Roman" w:hAnsi="Times New Roman"/>
          <w:sz w:val="24"/>
        </w:rPr>
        <w:t xml:space="preserve">Some projects are included in the PIP but due to limited funding may not be included in the current year budget and left for the next one. Additionally, upon presentation of the PIP and list of projects to the government Cabinet, the political importance of projects and central government priorities will also be </w:t>
      </w:r>
      <w:proofErr w:type="gramStart"/>
      <w:r w:rsidRPr="001A1F70">
        <w:rPr>
          <w:rFonts w:ascii="Times New Roman" w:hAnsi="Times New Roman"/>
          <w:sz w:val="24"/>
        </w:rPr>
        <w:t>taken into account</w:t>
      </w:r>
      <w:proofErr w:type="gramEnd"/>
      <w:r w:rsidRPr="001A1F70">
        <w:rPr>
          <w:rFonts w:ascii="Times New Roman" w:hAnsi="Times New Roman"/>
          <w:sz w:val="24"/>
        </w:rPr>
        <w:t>. Ultimately, the prioritization process is conditioned by the need to clear the backlog of debt arrears, the limited fiscal space for new investment financing and the major infrastructure priorities defined at central government level.</w:t>
      </w:r>
    </w:p>
    <w:p w14:paraId="2E76B983" w14:textId="77777777" w:rsidR="007518E4" w:rsidRPr="001A1F70" w:rsidRDefault="007518E4" w:rsidP="008037D9">
      <w:pPr>
        <w:pStyle w:val="ListParagraph"/>
        <w:numPr>
          <w:ilvl w:val="0"/>
          <w:numId w:val="55"/>
        </w:numPr>
        <w:spacing w:after="240"/>
        <w:contextualSpacing w:val="0"/>
        <w:rPr>
          <w:rFonts w:ascii="Times New Roman" w:eastAsia="ヒラギノ角ゴ Pro W3" w:hAnsi="Times New Roman"/>
          <w:color w:val="000000"/>
          <w:sz w:val="24"/>
          <w:lang w:eastAsia="en-IN"/>
        </w:rPr>
      </w:pPr>
      <w:r w:rsidRPr="0068375E">
        <w:rPr>
          <w:rFonts w:ascii="Times New Roman" w:eastAsia="ヒラギノ角ゴ Pro W3" w:hAnsi="Times New Roman"/>
          <w:b/>
          <w:color w:val="000000"/>
          <w:sz w:val="24"/>
          <w:lang w:eastAsia="en-IN"/>
        </w:rPr>
        <w:t xml:space="preserve">Prior to their inclusion in the </w:t>
      </w:r>
      <w:proofErr w:type="gramStart"/>
      <w:r w:rsidRPr="0068375E">
        <w:rPr>
          <w:rFonts w:ascii="Times New Roman" w:eastAsia="ヒラギノ角ゴ Pro W3" w:hAnsi="Times New Roman"/>
          <w:b/>
          <w:color w:val="000000"/>
          <w:sz w:val="24"/>
          <w:lang w:eastAsia="en-IN"/>
        </w:rPr>
        <w:t>budget</w:t>
      </w:r>
      <w:r w:rsidR="003549DC">
        <w:rPr>
          <w:rFonts w:ascii="Times New Roman" w:eastAsia="ヒラギノ角ゴ Pro W3" w:hAnsi="Times New Roman"/>
          <w:b/>
          <w:color w:val="000000"/>
          <w:sz w:val="24"/>
          <w:lang w:eastAsia="en-IN"/>
        </w:rPr>
        <w:t xml:space="preserve">, </w:t>
      </w:r>
      <w:r w:rsidRPr="0068375E">
        <w:rPr>
          <w:rFonts w:ascii="Times New Roman" w:eastAsia="ヒラギノ角ゴ Pro W3" w:hAnsi="Times New Roman"/>
          <w:b/>
          <w:color w:val="000000"/>
          <w:sz w:val="24"/>
          <w:lang w:eastAsia="en-IN"/>
        </w:rPr>
        <w:t xml:space="preserve"> major</w:t>
      </w:r>
      <w:proofErr w:type="gramEnd"/>
      <w:r w:rsidRPr="0068375E">
        <w:rPr>
          <w:rFonts w:ascii="Times New Roman" w:eastAsia="ヒラギノ角ゴ Pro W3" w:hAnsi="Times New Roman"/>
          <w:b/>
          <w:color w:val="000000"/>
          <w:sz w:val="24"/>
          <w:lang w:eastAsia="en-IN"/>
        </w:rPr>
        <w:t xml:space="preserve"> investment projects are </w:t>
      </w:r>
      <w:r w:rsidR="00A44CD5">
        <w:rPr>
          <w:rFonts w:ascii="Times New Roman" w:eastAsia="ヒラギノ角ゴ Pro W3" w:hAnsi="Times New Roman"/>
          <w:b/>
          <w:color w:val="000000"/>
          <w:sz w:val="24"/>
          <w:lang w:eastAsia="en-IN"/>
        </w:rPr>
        <w:t xml:space="preserve">normally </w:t>
      </w:r>
      <w:r w:rsidRPr="0068375E">
        <w:rPr>
          <w:rFonts w:ascii="Times New Roman" w:eastAsia="ヒラギノ角ゴ Pro W3" w:hAnsi="Times New Roman"/>
          <w:b/>
          <w:color w:val="000000"/>
          <w:sz w:val="24"/>
          <w:lang w:eastAsia="en-IN"/>
        </w:rPr>
        <w:t xml:space="preserve">prioritized by the spending agencies </w:t>
      </w:r>
      <w:r w:rsidR="003549DC">
        <w:rPr>
          <w:rFonts w:ascii="Times New Roman" w:eastAsia="ヒラギノ角ゴ Pro W3" w:hAnsi="Times New Roman"/>
          <w:b/>
          <w:color w:val="000000"/>
          <w:sz w:val="24"/>
          <w:lang w:eastAsia="en-IN"/>
        </w:rPr>
        <w:t xml:space="preserve">at central level </w:t>
      </w:r>
      <w:r w:rsidRPr="0068375E">
        <w:rPr>
          <w:rFonts w:ascii="Times New Roman" w:eastAsia="ヒラギノ角ゴ Pro W3" w:hAnsi="Times New Roman"/>
          <w:b/>
          <w:color w:val="000000"/>
          <w:sz w:val="24"/>
          <w:lang w:eastAsia="en-IN"/>
        </w:rPr>
        <w:t xml:space="preserve">and MPI PDPI Department for </w:t>
      </w:r>
      <w:r w:rsidRPr="0068375E">
        <w:rPr>
          <w:rFonts w:ascii="Times New Roman" w:eastAsia="ヒラギノ角ゴ Pro W3" w:hAnsi="Times New Roman"/>
          <w:b/>
          <w:color w:val="000000"/>
          <w:sz w:val="24"/>
          <w:lang w:eastAsia="en-IN"/>
        </w:rPr>
        <w:lastRenderedPageBreak/>
        <w:t>inclusion in the PIP and the annual budgets for NA approval</w:t>
      </w:r>
      <w:r w:rsidR="003549DC">
        <w:rPr>
          <w:rFonts w:ascii="Times New Roman" w:eastAsia="ヒラギノ角ゴ Pro W3" w:hAnsi="Times New Roman"/>
          <w:b/>
          <w:color w:val="000000"/>
          <w:sz w:val="24"/>
          <w:lang w:eastAsia="en-IN"/>
        </w:rPr>
        <w:t xml:space="preserve"> but information could be obtained </w:t>
      </w:r>
      <w:r w:rsidR="00A44CD5">
        <w:rPr>
          <w:rFonts w:ascii="Times New Roman" w:eastAsia="ヒラギノ角ゴ Pro W3" w:hAnsi="Times New Roman"/>
          <w:b/>
          <w:color w:val="000000"/>
          <w:sz w:val="24"/>
          <w:lang w:eastAsia="en-IN"/>
        </w:rPr>
        <w:t xml:space="preserve">from MPI </w:t>
      </w:r>
      <w:r w:rsidR="003549DC">
        <w:rPr>
          <w:rFonts w:ascii="Times New Roman" w:eastAsia="ヒラギノ角ゴ Pro W3" w:hAnsi="Times New Roman"/>
          <w:b/>
          <w:color w:val="000000"/>
          <w:sz w:val="24"/>
          <w:lang w:eastAsia="en-IN"/>
        </w:rPr>
        <w:t xml:space="preserve">for </w:t>
      </w:r>
      <w:r w:rsidR="00A44CD5">
        <w:rPr>
          <w:rFonts w:ascii="Times New Roman" w:eastAsia="ヒラギノ角ゴ Pro W3" w:hAnsi="Times New Roman"/>
          <w:b/>
          <w:color w:val="000000"/>
          <w:sz w:val="24"/>
          <w:lang w:eastAsia="en-IN"/>
        </w:rPr>
        <w:t>only some of the</w:t>
      </w:r>
      <w:r w:rsidR="003549DC">
        <w:rPr>
          <w:rFonts w:ascii="Times New Roman" w:eastAsia="ヒラギノ角ゴ Pro W3" w:hAnsi="Times New Roman"/>
          <w:b/>
          <w:color w:val="000000"/>
          <w:sz w:val="24"/>
          <w:lang w:eastAsia="en-IN"/>
        </w:rPr>
        <w:t xml:space="preserve"> 10 mega projects identified </w:t>
      </w:r>
      <w:r w:rsidR="00A44CD5">
        <w:rPr>
          <w:rFonts w:ascii="Times New Roman" w:eastAsia="ヒラギノ角ゴ Pro W3" w:hAnsi="Times New Roman"/>
          <w:b/>
          <w:color w:val="000000"/>
          <w:sz w:val="24"/>
          <w:lang w:eastAsia="en-IN"/>
        </w:rPr>
        <w:t>from</w:t>
      </w:r>
      <w:r w:rsidR="003549DC">
        <w:rPr>
          <w:rFonts w:ascii="Times New Roman" w:eastAsia="ヒラギノ角ゴ Pro W3" w:hAnsi="Times New Roman"/>
          <w:b/>
          <w:color w:val="000000"/>
          <w:sz w:val="24"/>
          <w:lang w:eastAsia="en-IN"/>
        </w:rPr>
        <w:t xml:space="preserve"> PIP 2017</w:t>
      </w:r>
      <w:r w:rsidRPr="001A1F70">
        <w:rPr>
          <w:rFonts w:ascii="Times New Roman" w:eastAsia="ヒラギノ角ゴ Pro W3" w:hAnsi="Times New Roman"/>
          <w:color w:val="000000"/>
          <w:sz w:val="24"/>
          <w:lang w:eastAsia="en-IN"/>
        </w:rPr>
        <w:t>: Score C.</w:t>
      </w:r>
    </w:p>
    <w:p w14:paraId="1BB7B06E" w14:textId="77777777" w:rsidR="007518E4" w:rsidRPr="001612C4" w:rsidRDefault="007518E4" w:rsidP="0068375E">
      <w:pPr>
        <w:pStyle w:val="BodyText"/>
        <w:spacing w:after="240"/>
        <w:ind w:left="0"/>
        <w:rPr>
          <w:rFonts w:ascii="Times New Roman" w:hAnsi="Times New Roman"/>
          <w:b/>
          <w:color w:val="FFC000"/>
          <w:sz w:val="24"/>
        </w:rPr>
      </w:pPr>
      <w:r w:rsidRPr="001612C4">
        <w:rPr>
          <w:rFonts w:ascii="Times New Roman" w:hAnsi="Times New Roman"/>
          <w:b/>
          <w:color w:val="FFC000"/>
          <w:sz w:val="24"/>
        </w:rPr>
        <w:t xml:space="preserve">11.3 Investment </w:t>
      </w:r>
      <w:r>
        <w:rPr>
          <w:rFonts w:ascii="Times New Roman" w:hAnsi="Times New Roman"/>
          <w:b/>
          <w:color w:val="FFC000"/>
          <w:sz w:val="24"/>
        </w:rPr>
        <w:t>p</w:t>
      </w:r>
      <w:r w:rsidRPr="001612C4">
        <w:rPr>
          <w:rFonts w:ascii="Times New Roman" w:hAnsi="Times New Roman"/>
          <w:b/>
          <w:color w:val="FFC000"/>
          <w:sz w:val="24"/>
        </w:rPr>
        <w:t xml:space="preserve">roject </w:t>
      </w:r>
      <w:r>
        <w:rPr>
          <w:rFonts w:ascii="Times New Roman" w:hAnsi="Times New Roman"/>
          <w:b/>
          <w:color w:val="FFC000"/>
          <w:sz w:val="24"/>
        </w:rPr>
        <w:t>c</w:t>
      </w:r>
      <w:r w:rsidRPr="001612C4">
        <w:rPr>
          <w:rFonts w:ascii="Times New Roman" w:hAnsi="Times New Roman"/>
          <w:b/>
          <w:color w:val="FFC000"/>
          <w:sz w:val="24"/>
        </w:rPr>
        <w:t>osting</w:t>
      </w:r>
    </w:p>
    <w:p w14:paraId="70F83DA1" w14:textId="77777777" w:rsidR="007518E4" w:rsidRPr="001A1F70"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68375E">
        <w:rPr>
          <w:rFonts w:ascii="Times New Roman" w:eastAsia="ヒラギノ角ゴ Pro W3" w:hAnsi="Times New Roman"/>
          <w:b/>
          <w:color w:val="000000"/>
          <w:sz w:val="24"/>
          <w:lang w:eastAsia="en-IN"/>
        </w:rPr>
        <w:t>MPI manages two pipelines of projects</w:t>
      </w:r>
      <w:r w:rsidRPr="001A1F70">
        <w:rPr>
          <w:rFonts w:ascii="Times New Roman" w:eastAsia="ヒラギノ角ゴ Pro W3" w:hAnsi="Times New Roman"/>
          <w:color w:val="000000"/>
          <w:sz w:val="24"/>
          <w:lang w:eastAsia="en-IN"/>
        </w:rPr>
        <w:t>. Project cost estimates for donor</w:t>
      </w:r>
      <w:r>
        <w:rPr>
          <w:rFonts w:ascii="Times New Roman" w:eastAsia="ヒラギノ角ゴ Pro W3" w:hAnsi="Times New Roman"/>
          <w:color w:val="000000"/>
          <w:sz w:val="24"/>
          <w:lang w:eastAsia="en-IN"/>
        </w:rPr>
        <w:t>s</w:t>
      </w:r>
      <w:r w:rsidRPr="001A1F70">
        <w:rPr>
          <w:rFonts w:ascii="Times New Roman" w:eastAsia="ヒラギノ角ゴ Pro W3" w:hAnsi="Times New Roman"/>
          <w:color w:val="000000"/>
          <w:sz w:val="24"/>
          <w:lang w:eastAsia="en-IN"/>
        </w:rPr>
        <w:t xml:space="preserve"> and externally funded projects </w:t>
      </w:r>
      <w:r>
        <w:rPr>
          <w:rFonts w:ascii="Times New Roman" w:eastAsia="ヒラギノ角ゴ Pro W3" w:hAnsi="Times New Roman"/>
          <w:color w:val="000000"/>
          <w:sz w:val="24"/>
          <w:lang w:eastAsia="en-IN"/>
        </w:rPr>
        <w:t>include</w:t>
      </w:r>
      <w:r w:rsidRPr="001A1F70">
        <w:rPr>
          <w:rFonts w:ascii="Times New Roman" w:eastAsia="ヒラギノ角ゴ Pro W3" w:hAnsi="Times New Roman"/>
          <w:color w:val="000000"/>
          <w:sz w:val="24"/>
          <w:lang w:eastAsia="en-IN"/>
        </w:rPr>
        <w:t xml:space="preserve"> the total project costs for the entire project life cycle. </w:t>
      </w:r>
      <w:r>
        <w:rPr>
          <w:rFonts w:ascii="Times New Roman" w:eastAsia="ヒラギノ角ゴ Pro W3" w:hAnsi="Times New Roman"/>
          <w:color w:val="000000"/>
          <w:sz w:val="24"/>
          <w:lang w:eastAsia="en-IN"/>
        </w:rPr>
        <w:t xml:space="preserve"> </w:t>
      </w:r>
      <w:r w:rsidRPr="001A1F70">
        <w:rPr>
          <w:rFonts w:ascii="Times New Roman" w:eastAsia="ヒラギノ角ゴ Pro W3" w:hAnsi="Times New Roman"/>
          <w:color w:val="000000"/>
          <w:sz w:val="24"/>
          <w:lang w:eastAsia="en-IN"/>
        </w:rPr>
        <w:t xml:space="preserve">Such costs include the cost of carrying out feasibility studies covering up to the end of the project life cycle. </w:t>
      </w:r>
    </w:p>
    <w:p w14:paraId="7E61493D" w14:textId="77777777" w:rsidR="007518E4" w:rsidRPr="001A1F70"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68375E">
        <w:rPr>
          <w:rFonts w:ascii="Times New Roman" w:eastAsia="ヒラギノ角ゴ Pro W3" w:hAnsi="Times New Roman"/>
          <w:b/>
          <w:color w:val="000000"/>
          <w:sz w:val="24"/>
          <w:lang w:eastAsia="en-IN"/>
        </w:rPr>
        <w:t>For government-sponsored projects, the total capital costs for the past period and the next for budget period is included in the PIP</w:t>
      </w:r>
      <w:r w:rsidRPr="001A1F70">
        <w:rPr>
          <w:rFonts w:ascii="Times New Roman" w:eastAsia="ヒラギノ角ゴ Pro W3" w:hAnsi="Times New Roman"/>
          <w:color w:val="000000"/>
          <w:sz w:val="24"/>
          <w:lang w:eastAsia="en-IN"/>
        </w:rPr>
        <w:t xml:space="preserve"> </w:t>
      </w:r>
      <w:r w:rsidRPr="0068375E">
        <w:rPr>
          <w:rFonts w:ascii="Times New Roman" w:eastAsia="ヒラギノ角ゴ Pro W3" w:hAnsi="Times New Roman"/>
          <w:b/>
          <w:color w:val="000000"/>
          <w:sz w:val="24"/>
          <w:lang w:eastAsia="en-IN"/>
        </w:rPr>
        <w:t>and submitted to NA approval with the State Budget Plan.</w:t>
      </w:r>
      <w:r>
        <w:rPr>
          <w:rFonts w:ascii="Times New Roman" w:eastAsia="ヒラギノ角ゴ Pro W3" w:hAnsi="Times New Roman"/>
          <w:color w:val="000000"/>
          <w:sz w:val="24"/>
          <w:lang w:eastAsia="en-IN"/>
        </w:rPr>
        <w:t xml:space="preserve"> </w:t>
      </w:r>
      <w:r w:rsidRPr="001A1F70">
        <w:rPr>
          <w:rFonts w:ascii="Times New Roman" w:eastAsia="ヒラギノ角ゴ Pro W3" w:hAnsi="Times New Roman"/>
          <w:color w:val="000000"/>
          <w:sz w:val="24"/>
          <w:lang w:eastAsia="en-IN"/>
        </w:rPr>
        <w:t xml:space="preserve">However, even though the total costs are </w:t>
      </w:r>
      <w:r>
        <w:rPr>
          <w:rFonts w:ascii="Times New Roman" w:eastAsia="ヒラギノ角ゴ Pro W3" w:hAnsi="Times New Roman"/>
          <w:color w:val="000000"/>
          <w:sz w:val="24"/>
          <w:lang w:eastAsia="en-IN"/>
        </w:rPr>
        <w:t>calculated</w:t>
      </w:r>
      <w:r w:rsidRPr="001A1F70">
        <w:rPr>
          <w:rFonts w:ascii="Times New Roman" w:eastAsia="ヒラギノ角ゴ Pro W3" w:hAnsi="Times New Roman"/>
          <w:color w:val="000000"/>
          <w:sz w:val="24"/>
          <w:lang w:eastAsia="en-IN"/>
        </w:rPr>
        <w:t>, the esti</w:t>
      </w:r>
      <w:r>
        <w:rPr>
          <w:rFonts w:ascii="Times New Roman" w:eastAsia="ヒラギノ角ゴ Pro W3" w:hAnsi="Times New Roman"/>
          <w:color w:val="000000"/>
          <w:sz w:val="24"/>
          <w:lang w:eastAsia="en-IN"/>
        </w:rPr>
        <w:t>mates are at times not reliable in the absence of</w:t>
      </w:r>
      <w:r w:rsidRPr="001A1F70">
        <w:rPr>
          <w:rFonts w:ascii="Times New Roman" w:eastAsia="ヒラギノ角ゴ Pro W3" w:hAnsi="Times New Roman"/>
          <w:color w:val="000000"/>
          <w:sz w:val="24"/>
          <w:lang w:eastAsia="en-IN"/>
        </w:rPr>
        <w:t xml:space="preserve"> comprehensive feasibility studies. </w:t>
      </w:r>
      <w:r>
        <w:rPr>
          <w:rFonts w:ascii="Times New Roman" w:eastAsia="ヒラギノ角ゴ Pro W3" w:hAnsi="Times New Roman"/>
          <w:color w:val="000000"/>
          <w:sz w:val="24"/>
          <w:lang w:eastAsia="en-IN"/>
        </w:rPr>
        <w:t xml:space="preserve"> E</w:t>
      </w:r>
      <w:r w:rsidRPr="001A1F70">
        <w:rPr>
          <w:rFonts w:ascii="Times New Roman" w:eastAsia="ヒラギノ角ゴ Pro W3" w:hAnsi="Times New Roman"/>
          <w:color w:val="000000"/>
          <w:sz w:val="24"/>
          <w:lang w:eastAsia="en-IN"/>
        </w:rPr>
        <w:t xml:space="preserve">stimated costs </w:t>
      </w:r>
      <w:r>
        <w:rPr>
          <w:rFonts w:ascii="Times New Roman" w:eastAsia="ヒラギノ角ゴ Pro W3" w:hAnsi="Times New Roman"/>
          <w:color w:val="000000"/>
          <w:sz w:val="24"/>
          <w:lang w:eastAsia="en-IN"/>
        </w:rPr>
        <w:t xml:space="preserve">are continuously </w:t>
      </w:r>
      <w:r w:rsidRPr="001A1F70">
        <w:rPr>
          <w:rFonts w:ascii="Times New Roman" w:eastAsia="ヒラギノ角ゴ Pro W3" w:hAnsi="Times New Roman"/>
          <w:color w:val="000000"/>
          <w:sz w:val="24"/>
          <w:lang w:eastAsia="en-IN"/>
        </w:rPr>
        <w:t xml:space="preserve">revised during the implementation stage of the project, as evidenced by the number of projects started in a year and still ongoing after several years due to cost overrun. </w:t>
      </w:r>
      <w:r>
        <w:rPr>
          <w:rFonts w:ascii="Times New Roman" w:eastAsia="ヒラギノ角ゴ Pro W3" w:hAnsi="Times New Roman"/>
          <w:color w:val="000000"/>
          <w:sz w:val="24"/>
          <w:lang w:eastAsia="en-IN"/>
        </w:rPr>
        <w:t xml:space="preserve"> </w:t>
      </w:r>
      <w:r w:rsidRPr="001A1F70">
        <w:rPr>
          <w:rFonts w:ascii="Times New Roman" w:eastAsia="ヒラギノ角ゴ Pro W3" w:hAnsi="Times New Roman"/>
          <w:color w:val="000000"/>
          <w:sz w:val="24"/>
          <w:lang w:eastAsia="en-IN"/>
        </w:rPr>
        <w:t>The full costing and inclusion of the recurrent costs of the projects are the responsibility of each ministry and provinces</w:t>
      </w:r>
      <w:r>
        <w:rPr>
          <w:rFonts w:ascii="Times New Roman" w:eastAsia="ヒラギノ角ゴ Pro W3" w:hAnsi="Times New Roman"/>
          <w:color w:val="000000"/>
          <w:sz w:val="24"/>
          <w:lang w:eastAsia="en-IN"/>
        </w:rPr>
        <w:t>.  Given</w:t>
      </w:r>
      <w:r w:rsidRPr="001A1F70">
        <w:rPr>
          <w:rFonts w:ascii="Times New Roman" w:eastAsia="ヒラギノ角ゴ Pro W3" w:hAnsi="Times New Roman"/>
          <w:color w:val="000000"/>
          <w:sz w:val="24"/>
          <w:lang w:eastAsia="en-IN"/>
        </w:rPr>
        <w:t xml:space="preserve"> limited capacity and budget constraints, </w:t>
      </w:r>
      <w:r>
        <w:rPr>
          <w:rFonts w:ascii="Times New Roman" w:eastAsia="ヒラギノ角ゴ Pro W3" w:hAnsi="Times New Roman"/>
          <w:color w:val="000000"/>
          <w:sz w:val="24"/>
          <w:lang w:eastAsia="en-IN"/>
        </w:rPr>
        <w:t xml:space="preserve">there is </w:t>
      </w:r>
      <w:r w:rsidRPr="001A1F70">
        <w:rPr>
          <w:rFonts w:ascii="Times New Roman" w:eastAsia="ヒラギノ角ゴ Pro W3" w:hAnsi="Times New Roman"/>
          <w:color w:val="000000"/>
          <w:sz w:val="24"/>
          <w:lang w:eastAsia="en-IN"/>
        </w:rPr>
        <w:t xml:space="preserve">a strong incentive to get the project in the pipeline to ensure availability of budget envelope at some point. </w:t>
      </w:r>
      <w:r>
        <w:rPr>
          <w:rFonts w:ascii="Times New Roman" w:eastAsia="ヒラギノ角ゴ Pro W3" w:hAnsi="Times New Roman"/>
          <w:color w:val="000000"/>
          <w:sz w:val="24"/>
          <w:lang w:eastAsia="en-IN"/>
        </w:rPr>
        <w:t xml:space="preserve"> </w:t>
      </w:r>
      <w:r w:rsidRPr="001A1F70">
        <w:rPr>
          <w:rFonts w:ascii="Times New Roman" w:eastAsia="ヒラギノ角ゴ Pro W3" w:hAnsi="Times New Roman"/>
          <w:color w:val="000000"/>
          <w:sz w:val="24"/>
          <w:lang w:eastAsia="en-IN"/>
        </w:rPr>
        <w:t>The MPI technical review is the final screening for the cost estimates and decision on inclusion in the PIP. According to information collected from MPI</w:t>
      </w:r>
      <w:r>
        <w:rPr>
          <w:rFonts w:ascii="Times New Roman" w:eastAsia="ヒラギノ角ゴ Pro W3" w:hAnsi="Times New Roman"/>
          <w:color w:val="000000"/>
          <w:sz w:val="24"/>
          <w:lang w:eastAsia="en-IN"/>
        </w:rPr>
        <w:t>,</w:t>
      </w:r>
      <w:r w:rsidRPr="001A1F70">
        <w:rPr>
          <w:rFonts w:ascii="Times New Roman" w:eastAsia="ヒラギノ角ゴ Pro W3" w:hAnsi="Times New Roman"/>
          <w:color w:val="000000"/>
          <w:sz w:val="24"/>
          <w:lang w:eastAsia="en-IN"/>
        </w:rPr>
        <w:t xml:space="preserve"> projects with incomplete information a</w:t>
      </w:r>
      <w:r>
        <w:rPr>
          <w:rFonts w:ascii="Times New Roman" w:eastAsia="ヒラギノ角ゴ Pro W3" w:hAnsi="Times New Roman"/>
          <w:color w:val="000000"/>
          <w:sz w:val="24"/>
          <w:lang w:eastAsia="en-IN"/>
        </w:rPr>
        <w:t>re subject to revision until</w:t>
      </w:r>
      <w:r w:rsidRPr="001A1F70">
        <w:rPr>
          <w:rFonts w:ascii="Times New Roman" w:eastAsia="ヒラギノ角ゴ Pro W3" w:hAnsi="Times New Roman"/>
          <w:color w:val="000000"/>
          <w:sz w:val="24"/>
          <w:lang w:eastAsia="en-IN"/>
        </w:rPr>
        <w:t xml:space="preserve"> full costing is submitted. </w:t>
      </w:r>
      <w:r>
        <w:rPr>
          <w:rFonts w:ascii="Times New Roman" w:eastAsia="ヒラギノ角ゴ Pro W3" w:hAnsi="Times New Roman"/>
          <w:color w:val="000000"/>
          <w:sz w:val="24"/>
          <w:lang w:eastAsia="en-IN"/>
        </w:rPr>
        <w:t xml:space="preserve"> </w:t>
      </w:r>
      <w:r w:rsidRPr="001A1F70">
        <w:rPr>
          <w:rFonts w:ascii="Times New Roman" w:eastAsia="ヒラギノ角ゴ Pro W3" w:hAnsi="Times New Roman"/>
          <w:color w:val="000000"/>
          <w:sz w:val="24"/>
          <w:lang w:eastAsia="en-IN"/>
        </w:rPr>
        <w:t>However, it is not clear whether this secures the adequate financing under the recurrent budget</w:t>
      </w:r>
      <w:r>
        <w:rPr>
          <w:rFonts w:ascii="Times New Roman" w:eastAsia="ヒラギノ角ゴ Pro W3" w:hAnsi="Times New Roman"/>
          <w:color w:val="000000"/>
          <w:sz w:val="24"/>
          <w:lang w:eastAsia="en-IN"/>
        </w:rPr>
        <w:t xml:space="preserve"> prepared</w:t>
      </w:r>
      <w:r w:rsidRPr="001A1F70">
        <w:rPr>
          <w:rFonts w:ascii="Times New Roman" w:eastAsia="ヒラギノ角ゴ Pro W3" w:hAnsi="Times New Roman"/>
          <w:color w:val="000000"/>
          <w:sz w:val="24"/>
          <w:lang w:eastAsia="en-IN"/>
        </w:rPr>
        <w:t xml:space="preserve"> by MoF. </w:t>
      </w:r>
      <w:r>
        <w:rPr>
          <w:rFonts w:ascii="Times New Roman" w:eastAsia="ヒラギノ角ゴ Pro W3" w:hAnsi="Times New Roman"/>
          <w:color w:val="000000"/>
          <w:sz w:val="24"/>
          <w:lang w:eastAsia="en-IN"/>
        </w:rPr>
        <w:t xml:space="preserve"> </w:t>
      </w:r>
      <w:r w:rsidRPr="001A1F70">
        <w:rPr>
          <w:rFonts w:ascii="Times New Roman" w:eastAsia="ヒラギノ角ゴ Pro W3" w:hAnsi="Times New Roman"/>
          <w:color w:val="000000"/>
          <w:sz w:val="24"/>
          <w:lang w:eastAsia="en-IN"/>
        </w:rPr>
        <w:t xml:space="preserve">The parallel budget process is a constraint and the lack of integrated management information system is an issue to capture projects and their total costs. </w:t>
      </w:r>
    </w:p>
    <w:p w14:paraId="75439DD2" w14:textId="6B5B7ED5" w:rsidR="007518E4" w:rsidRPr="00637699"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68375E">
        <w:rPr>
          <w:rFonts w:ascii="Times New Roman" w:eastAsia="ヒラギノ角ゴ Pro W3" w:hAnsi="Times New Roman"/>
          <w:b/>
          <w:color w:val="000000"/>
          <w:sz w:val="24"/>
          <w:lang w:eastAsia="en-IN"/>
        </w:rPr>
        <w:t>Total estimated capital cost for major projects together with the capital costs for the forthcoming budget year are included in the budget documents</w:t>
      </w:r>
      <w:r w:rsidR="00F70FF1">
        <w:rPr>
          <w:rFonts w:ascii="Times New Roman" w:eastAsia="ヒラギノ角ゴ Pro W3" w:hAnsi="Times New Roman"/>
          <w:color w:val="000000"/>
          <w:sz w:val="24"/>
          <w:lang w:eastAsia="en-IN"/>
        </w:rPr>
        <w:t xml:space="preserve">. </w:t>
      </w:r>
      <w:r w:rsidR="0068375E">
        <w:rPr>
          <w:rFonts w:ascii="Times New Roman" w:eastAsia="ヒラギノ角ゴ Pro W3" w:hAnsi="Times New Roman"/>
          <w:color w:val="000000"/>
          <w:sz w:val="24"/>
          <w:lang w:eastAsia="en-IN"/>
        </w:rPr>
        <w:t>The</w:t>
      </w:r>
      <w:r w:rsidRPr="00637699">
        <w:rPr>
          <w:rFonts w:ascii="Times New Roman" w:eastAsia="ヒラギノ角ゴ Pro W3" w:hAnsi="Times New Roman"/>
          <w:color w:val="000000"/>
          <w:sz w:val="24"/>
          <w:lang w:eastAsia="en-IN"/>
        </w:rPr>
        <w:t xml:space="preserve"> dual budget formulation process and the lack of an integrated project management system between MPI and MOF </w:t>
      </w:r>
      <w:r w:rsidR="00E343CA">
        <w:rPr>
          <w:rFonts w:ascii="Times New Roman" w:eastAsia="ヒラギノ角ゴ Pro W3" w:hAnsi="Times New Roman"/>
          <w:color w:val="000000"/>
          <w:sz w:val="24"/>
          <w:lang w:eastAsia="en-IN"/>
        </w:rPr>
        <w:t>generate</w:t>
      </w:r>
      <w:r w:rsidRPr="00637699">
        <w:rPr>
          <w:rFonts w:ascii="Times New Roman" w:eastAsia="ヒラギノ角ゴ Pro W3" w:hAnsi="Times New Roman"/>
          <w:color w:val="000000"/>
          <w:sz w:val="24"/>
          <w:lang w:eastAsia="en-IN"/>
        </w:rPr>
        <w:t xml:space="preserve"> a constraint and the costs presented in the PIP are often not fully </w:t>
      </w:r>
      <w:r w:rsidR="00F22524">
        <w:rPr>
          <w:rFonts w:ascii="Times New Roman" w:eastAsia="ヒラギノ角ゴ Pro W3" w:hAnsi="Times New Roman"/>
          <w:color w:val="000000"/>
          <w:sz w:val="24"/>
          <w:lang w:eastAsia="en-IN"/>
        </w:rPr>
        <w:t>comprehensive or calculated based on reliable costing methodology</w:t>
      </w:r>
      <w:r w:rsidR="00E343CA">
        <w:rPr>
          <w:rFonts w:ascii="Times New Roman" w:eastAsia="ヒラギノ角ゴ Pro W3" w:hAnsi="Times New Roman"/>
          <w:color w:val="000000"/>
          <w:sz w:val="24"/>
          <w:lang w:eastAsia="en-IN"/>
        </w:rPr>
        <w:t>.</w:t>
      </w:r>
      <w:r w:rsidRPr="00637699">
        <w:rPr>
          <w:rFonts w:ascii="Times New Roman" w:eastAsia="ヒラギノ角ゴ Pro W3" w:hAnsi="Times New Roman"/>
          <w:color w:val="000000"/>
          <w:sz w:val="24"/>
          <w:lang w:eastAsia="en-IN"/>
        </w:rPr>
        <w:t xml:space="preserve"> Score D.</w:t>
      </w:r>
    </w:p>
    <w:p w14:paraId="3E0A7A73" w14:textId="77777777" w:rsidR="007518E4" w:rsidRPr="001612C4" w:rsidRDefault="007518E4" w:rsidP="0068375E">
      <w:pPr>
        <w:pStyle w:val="BodyText"/>
        <w:spacing w:after="240"/>
        <w:ind w:left="0"/>
        <w:rPr>
          <w:rFonts w:ascii="Times New Roman" w:hAnsi="Times New Roman"/>
          <w:b/>
          <w:color w:val="FFC000"/>
          <w:sz w:val="24"/>
        </w:rPr>
      </w:pPr>
      <w:r w:rsidRPr="001612C4">
        <w:rPr>
          <w:rFonts w:ascii="Times New Roman" w:hAnsi="Times New Roman"/>
          <w:b/>
          <w:color w:val="FFC000"/>
          <w:sz w:val="24"/>
        </w:rPr>
        <w:t xml:space="preserve">11.4 Investment </w:t>
      </w:r>
      <w:r>
        <w:rPr>
          <w:rFonts w:ascii="Times New Roman" w:hAnsi="Times New Roman"/>
          <w:b/>
          <w:color w:val="FFC000"/>
          <w:sz w:val="24"/>
        </w:rPr>
        <w:t>p</w:t>
      </w:r>
      <w:r w:rsidRPr="001612C4">
        <w:rPr>
          <w:rFonts w:ascii="Times New Roman" w:hAnsi="Times New Roman"/>
          <w:b/>
          <w:color w:val="FFC000"/>
          <w:sz w:val="24"/>
        </w:rPr>
        <w:t xml:space="preserve">roject </w:t>
      </w:r>
      <w:r>
        <w:rPr>
          <w:rFonts w:ascii="Times New Roman" w:hAnsi="Times New Roman"/>
          <w:b/>
          <w:color w:val="FFC000"/>
          <w:sz w:val="24"/>
        </w:rPr>
        <w:t>m</w:t>
      </w:r>
      <w:r w:rsidRPr="001612C4">
        <w:rPr>
          <w:rFonts w:ascii="Times New Roman" w:hAnsi="Times New Roman"/>
          <w:b/>
          <w:color w:val="FFC000"/>
          <w:sz w:val="24"/>
        </w:rPr>
        <w:t>onitoring</w:t>
      </w:r>
    </w:p>
    <w:p w14:paraId="33085CAE" w14:textId="77777777" w:rsidR="007518E4" w:rsidRPr="00637699" w:rsidRDefault="007518E4" w:rsidP="008037D9">
      <w:pPr>
        <w:pStyle w:val="ListParagraph"/>
        <w:numPr>
          <w:ilvl w:val="0"/>
          <w:numId w:val="62"/>
        </w:numPr>
        <w:spacing w:after="240"/>
        <w:contextualSpacing w:val="0"/>
        <w:rPr>
          <w:rFonts w:ascii="Times New Roman" w:hAnsi="Times New Roman"/>
          <w:i/>
          <w:sz w:val="24"/>
          <w:lang w:eastAsia="en-IN"/>
        </w:rPr>
      </w:pPr>
      <w:r w:rsidRPr="0068375E">
        <w:rPr>
          <w:rFonts w:ascii="Times New Roman" w:hAnsi="Times New Roman"/>
          <w:b/>
          <w:sz w:val="24"/>
          <w:lang w:eastAsia="en-IN"/>
        </w:rPr>
        <w:t xml:space="preserve">The project implementing entity has responsibility for monitoring the total cost of a project as well as financial and physical implementation progress during the project life cycle. </w:t>
      </w:r>
      <w:r>
        <w:rPr>
          <w:rFonts w:ascii="Times New Roman" w:hAnsi="Times New Roman"/>
          <w:sz w:val="24"/>
          <w:lang w:eastAsia="en-IN"/>
        </w:rPr>
        <w:t xml:space="preserve">Such monitoring </w:t>
      </w:r>
      <w:r w:rsidRPr="00637699">
        <w:rPr>
          <w:rFonts w:ascii="Times New Roman" w:hAnsi="Times New Roman"/>
          <w:sz w:val="24"/>
          <w:lang w:eastAsia="en-IN"/>
        </w:rPr>
        <w:t>is meant to take place regularly during the implementation</w:t>
      </w:r>
      <w:r>
        <w:rPr>
          <w:rFonts w:ascii="Times New Roman" w:hAnsi="Times New Roman"/>
          <w:sz w:val="24"/>
          <w:lang w:eastAsia="en-IN"/>
        </w:rPr>
        <w:t xml:space="preserve">.  It </w:t>
      </w:r>
      <w:r w:rsidRPr="00637699">
        <w:rPr>
          <w:rFonts w:ascii="Times New Roman" w:hAnsi="Times New Roman"/>
          <w:sz w:val="24"/>
          <w:lang w:eastAsia="en-IN"/>
        </w:rPr>
        <w:t>is compulsory prior to the final and often only payment to the contractor</w:t>
      </w:r>
      <w:r>
        <w:rPr>
          <w:rFonts w:ascii="Times New Roman" w:hAnsi="Times New Roman"/>
          <w:sz w:val="24"/>
          <w:lang w:eastAsia="en-IN"/>
        </w:rPr>
        <w:t>.  F</w:t>
      </w:r>
      <w:r w:rsidRPr="00637699">
        <w:rPr>
          <w:rFonts w:ascii="Times New Roman" w:hAnsi="Times New Roman"/>
          <w:sz w:val="24"/>
          <w:lang w:eastAsia="en-IN"/>
        </w:rPr>
        <w:t xml:space="preserve">or ongoing projects </w:t>
      </w:r>
      <w:r>
        <w:rPr>
          <w:rFonts w:ascii="Times New Roman" w:hAnsi="Times New Roman"/>
          <w:sz w:val="24"/>
          <w:lang w:eastAsia="en-IN"/>
        </w:rPr>
        <w:t xml:space="preserve">such monitoring is provides </w:t>
      </w:r>
      <w:r w:rsidRPr="00637699">
        <w:rPr>
          <w:rFonts w:ascii="Times New Roman" w:hAnsi="Times New Roman"/>
          <w:sz w:val="24"/>
          <w:lang w:eastAsia="en-IN"/>
        </w:rPr>
        <w:t xml:space="preserve">information </w:t>
      </w:r>
      <w:r>
        <w:rPr>
          <w:rFonts w:ascii="Times New Roman" w:hAnsi="Times New Roman"/>
          <w:sz w:val="24"/>
          <w:lang w:eastAsia="en-IN"/>
        </w:rPr>
        <w:t xml:space="preserve">for </w:t>
      </w:r>
      <w:r w:rsidRPr="00637699">
        <w:rPr>
          <w:rFonts w:ascii="Times New Roman" w:hAnsi="Times New Roman"/>
          <w:sz w:val="24"/>
          <w:lang w:eastAsia="en-IN"/>
        </w:rPr>
        <w:t xml:space="preserve">the capital budget submission. </w:t>
      </w:r>
      <w:r>
        <w:rPr>
          <w:rFonts w:ascii="Times New Roman" w:hAnsi="Times New Roman"/>
          <w:sz w:val="24"/>
          <w:lang w:eastAsia="en-IN"/>
        </w:rPr>
        <w:t xml:space="preserve"> </w:t>
      </w:r>
      <w:r w:rsidRPr="00637699">
        <w:rPr>
          <w:rFonts w:ascii="Times New Roman" w:hAnsi="Times New Roman"/>
          <w:sz w:val="24"/>
          <w:lang w:eastAsia="en-IN"/>
        </w:rPr>
        <w:t>For the physical monitorin</w:t>
      </w:r>
      <w:r>
        <w:rPr>
          <w:rFonts w:ascii="Times New Roman" w:hAnsi="Times New Roman"/>
          <w:sz w:val="24"/>
          <w:lang w:eastAsia="en-IN"/>
        </w:rPr>
        <w:t>g, the implementing department and the</w:t>
      </w:r>
      <w:r w:rsidRPr="00637699">
        <w:rPr>
          <w:rFonts w:ascii="Times New Roman" w:hAnsi="Times New Roman"/>
          <w:sz w:val="24"/>
          <w:lang w:eastAsia="en-IN"/>
        </w:rPr>
        <w:t xml:space="preserve"> MPI Monitorin</w:t>
      </w:r>
      <w:r>
        <w:rPr>
          <w:rFonts w:ascii="Times New Roman" w:hAnsi="Times New Roman"/>
          <w:sz w:val="24"/>
          <w:lang w:eastAsia="en-IN"/>
        </w:rPr>
        <w:t>g and Evaluation department jointly carries</w:t>
      </w:r>
      <w:r w:rsidRPr="00637699">
        <w:rPr>
          <w:rFonts w:ascii="Times New Roman" w:hAnsi="Times New Roman"/>
          <w:sz w:val="24"/>
          <w:lang w:eastAsia="en-IN"/>
        </w:rPr>
        <w:t xml:space="preserve"> out onsite visits to the projects to evaluate the physical progress on the ground</w:t>
      </w:r>
      <w:r>
        <w:rPr>
          <w:rFonts w:ascii="Times New Roman" w:hAnsi="Times New Roman"/>
          <w:sz w:val="24"/>
          <w:lang w:eastAsia="en-IN"/>
        </w:rPr>
        <w:t>.  A</w:t>
      </w:r>
      <w:r w:rsidRPr="00637699">
        <w:rPr>
          <w:rFonts w:ascii="Times New Roman" w:hAnsi="Times New Roman"/>
          <w:sz w:val="24"/>
          <w:lang w:eastAsia="en-IN"/>
        </w:rPr>
        <w:t xml:space="preserve"> report </w:t>
      </w:r>
      <w:r>
        <w:rPr>
          <w:rFonts w:ascii="Times New Roman" w:hAnsi="Times New Roman"/>
          <w:sz w:val="24"/>
          <w:lang w:eastAsia="en-IN"/>
        </w:rPr>
        <w:t xml:space="preserve">is produced </w:t>
      </w:r>
      <w:r w:rsidRPr="00637699">
        <w:rPr>
          <w:rFonts w:ascii="Times New Roman" w:hAnsi="Times New Roman"/>
          <w:sz w:val="24"/>
          <w:lang w:eastAsia="en-IN"/>
        </w:rPr>
        <w:t xml:space="preserve">as formal attachment </w:t>
      </w:r>
      <w:r>
        <w:rPr>
          <w:rFonts w:ascii="Times New Roman" w:hAnsi="Times New Roman"/>
          <w:sz w:val="24"/>
          <w:lang w:eastAsia="en-IN"/>
        </w:rPr>
        <w:t>for</w:t>
      </w:r>
      <w:r w:rsidRPr="00637699">
        <w:rPr>
          <w:rFonts w:ascii="Times New Roman" w:hAnsi="Times New Roman"/>
          <w:sz w:val="24"/>
          <w:lang w:eastAsia="en-IN"/>
        </w:rPr>
        <w:t xml:space="preserve"> payment by the Treasury department. </w:t>
      </w:r>
      <w:r>
        <w:rPr>
          <w:rFonts w:ascii="Times New Roman" w:hAnsi="Times New Roman"/>
          <w:sz w:val="24"/>
          <w:lang w:eastAsia="en-IN"/>
        </w:rPr>
        <w:t xml:space="preserve"> </w:t>
      </w:r>
      <w:r w:rsidRPr="00637699">
        <w:rPr>
          <w:rFonts w:ascii="Times New Roman" w:hAnsi="Times New Roman"/>
          <w:sz w:val="24"/>
          <w:lang w:eastAsia="en-IN"/>
        </w:rPr>
        <w:t xml:space="preserve">However, given the number of projects that are concurrently being carried out (more than 300), and the limited resources available at CG level, physical verification is carried out on a sample basis. Coverage during the year could not be calculated directly but </w:t>
      </w:r>
      <w:r>
        <w:rPr>
          <w:rFonts w:ascii="Times New Roman" w:hAnsi="Times New Roman"/>
          <w:sz w:val="24"/>
          <w:lang w:eastAsia="en-IN"/>
        </w:rPr>
        <w:t xml:space="preserve">is </w:t>
      </w:r>
      <w:r w:rsidRPr="00637699">
        <w:rPr>
          <w:rFonts w:ascii="Times New Roman" w:hAnsi="Times New Roman"/>
          <w:sz w:val="24"/>
          <w:lang w:eastAsia="en-IN"/>
        </w:rPr>
        <w:t>estimated at 40 to 50 percent of the projects under implementation (corresponding to the number of projects receiving payments in one year).</w:t>
      </w:r>
    </w:p>
    <w:p w14:paraId="62D83CF3" w14:textId="77777777" w:rsidR="007518E4" w:rsidRPr="006512B9" w:rsidRDefault="007518E4" w:rsidP="008037D9">
      <w:pPr>
        <w:pStyle w:val="ListParagraph"/>
        <w:numPr>
          <w:ilvl w:val="0"/>
          <w:numId w:val="62"/>
        </w:numPr>
        <w:spacing w:after="240"/>
        <w:contextualSpacing w:val="0"/>
        <w:rPr>
          <w:rFonts w:ascii="Times New Roman" w:hAnsi="Times New Roman"/>
          <w:i/>
          <w:sz w:val="24"/>
          <w:lang w:eastAsia="en-IN"/>
        </w:rPr>
      </w:pPr>
      <w:r w:rsidRPr="0068375E">
        <w:rPr>
          <w:rFonts w:ascii="Times New Roman" w:hAnsi="Times New Roman"/>
          <w:b/>
          <w:sz w:val="24"/>
          <w:lang w:eastAsia="en-IN"/>
        </w:rPr>
        <w:lastRenderedPageBreak/>
        <w:t>Full capital project costs to date can only be collected manually during the year from the implementing entities.</w:t>
      </w:r>
      <w:r w:rsidRPr="006512B9">
        <w:rPr>
          <w:rFonts w:ascii="Times New Roman" w:hAnsi="Times New Roman"/>
          <w:sz w:val="24"/>
          <w:lang w:eastAsia="en-IN"/>
        </w:rPr>
        <w:t xml:space="preserve"> Onsite visits are carried out jointly between the implementing entity and MPI Monitoring and Evaluation department to check on physical progress</w:t>
      </w:r>
      <w:r w:rsidR="00F70FF1">
        <w:rPr>
          <w:rFonts w:ascii="Times New Roman" w:hAnsi="Times New Roman"/>
          <w:sz w:val="24"/>
          <w:lang w:eastAsia="en-IN"/>
        </w:rPr>
        <w:t>,</w:t>
      </w:r>
      <w:r w:rsidRPr="006512B9">
        <w:rPr>
          <w:rFonts w:ascii="Times New Roman" w:hAnsi="Times New Roman"/>
          <w:sz w:val="24"/>
          <w:lang w:eastAsia="en-IN"/>
        </w:rPr>
        <w:t xml:space="preserve"> but this is only done on a sample basis. There is no database on integrated system to report and monitor in the PIP implementation and calculate deviations from the original budget envelope: Score D</w:t>
      </w:r>
      <w:r w:rsidR="00CC194B">
        <w:rPr>
          <w:rFonts w:ascii="Times New Roman" w:hAnsi="Times New Roman"/>
          <w:sz w:val="24"/>
          <w:lang w:eastAsia="en-IN"/>
        </w:rPr>
        <w:t>*</w:t>
      </w:r>
      <w:r w:rsidRPr="006512B9">
        <w:rPr>
          <w:rFonts w:ascii="Times New Roman" w:hAnsi="Times New Roman"/>
          <w:sz w:val="24"/>
          <w:lang w:eastAsia="en-IN"/>
        </w:rPr>
        <w:t xml:space="preserve">. </w:t>
      </w:r>
    </w:p>
    <w:p w14:paraId="1CA729E5" w14:textId="77777777" w:rsidR="007518E4" w:rsidRPr="006512B9" w:rsidRDefault="007518E4" w:rsidP="008037D9">
      <w:pPr>
        <w:pStyle w:val="ListParagraph"/>
        <w:numPr>
          <w:ilvl w:val="0"/>
          <w:numId w:val="62"/>
        </w:numPr>
        <w:spacing w:after="240"/>
        <w:contextualSpacing w:val="0"/>
        <w:rPr>
          <w:rFonts w:ascii="Times New Roman" w:hAnsi="Times New Roman"/>
          <w:i/>
          <w:sz w:val="24"/>
          <w:lang w:eastAsia="en-IN"/>
        </w:rPr>
      </w:pPr>
      <w:r w:rsidRPr="0068375E">
        <w:rPr>
          <w:rFonts w:ascii="Times New Roman" w:hAnsi="Times New Roman"/>
          <w:b/>
          <w:sz w:val="24"/>
          <w:lang w:eastAsia="en-IN"/>
        </w:rPr>
        <w:t>Improvement of the public investment management has been one of the key policy priorities for the government since 2016</w:t>
      </w:r>
      <w:r w:rsidRPr="006512B9">
        <w:rPr>
          <w:rFonts w:ascii="Times New Roman" w:hAnsi="Times New Roman"/>
          <w:sz w:val="24"/>
          <w:lang w:eastAsia="en-IN"/>
        </w:rPr>
        <w:t xml:space="preserve">. The launch of the debt diversion initiative and passing of the new Public Debt and Procurement Laws are defining a strong framework to impose strong measures to ensure a more transparent and sustainable selection and implementation of infrastructure projects in the future. The Ministry of Planning and Investment has been instructed to take an active role in this area and to set up a centralized, robust public investment management monitoring system. </w:t>
      </w:r>
      <w:r>
        <w:rPr>
          <w:rFonts w:ascii="Times New Roman" w:hAnsi="Times New Roman"/>
          <w:sz w:val="24"/>
          <w:lang w:eastAsia="en-IN"/>
        </w:rPr>
        <w:t xml:space="preserve"> </w:t>
      </w:r>
      <w:r w:rsidRPr="006512B9">
        <w:rPr>
          <w:rFonts w:ascii="Times New Roman" w:hAnsi="Times New Roman"/>
          <w:sz w:val="24"/>
          <w:lang w:eastAsia="en-IN"/>
        </w:rPr>
        <w:t>Meanwhile, government sectors and provinces must follow their five-year investment budget plans as a reference or guideline for infrastructure development in their areas.</w:t>
      </w:r>
    </w:p>
    <w:p w14:paraId="53FEF415" w14:textId="77777777" w:rsidR="007518E4" w:rsidRDefault="007518E4" w:rsidP="0068375E">
      <w:pPr>
        <w:pStyle w:val="Heading3"/>
        <w:spacing w:after="240"/>
        <w:ind w:left="0"/>
        <w:rPr>
          <w:rFonts w:ascii="Times New Roman" w:eastAsia="Calibri" w:hAnsi="Times New Roman"/>
          <w:b w:val="0"/>
          <w:bCs w:val="0"/>
          <w:color w:val="F9B416"/>
          <w:spacing w:val="-1"/>
          <w:szCs w:val="28"/>
        </w:rPr>
      </w:pPr>
      <w:bookmarkStart w:id="63" w:name="_Toc518901795"/>
      <w:bookmarkStart w:id="64" w:name="_Toc4148990"/>
      <w:r w:rsidRPr="00FE6ED4">
        <w:rPr>
          <w:rFonts w:ascii="Times New Roman" w:eastAsia="Calibri" w:hAnsi="Times New Roman"/>
          <w:color w:val="F9B416"/>
          <w:spacing w:val="-1"/>
          <w:szCs w:val="28"/>
        </w:rPr>
        <w:t xml:space="preserve">PI-12. Public </w:t>
      </w:r>
      <w:r>
        <w:rPr>
          <w:rFonts w:ascii="Times New Roman" w:eastAsia="Calibri" w:hAnsi="Times New Roman"/>
          <w:color w:val="F9B416"/>
          <w:spacing w:val="-1"/>
          <w:szCs w:val="28"/>
        </w:rPr>
        <w:t>a</w:t>
      </w:r>
      <w:r w:rsidRPr="00FE6ED4">
        <w:rPr>
          <w:rFonts w:ascii="Times New Roman" w:eastAsia="Calibri" w:hAnsi="Times New Roman"/>
          <w:color w:val="F9B416"/>
          <w:spacing w:val="-1"/>
          <w:szCs w:val="28"/>
        </w:rPr>
        <w:t xml:space="preserve">sset </w:t>
      </w:r>
      <w:r>
        <w:rPr>
          <w:rFonts w:ascii="Times New Roman" w:eastAsia="Calibri" w:hAnsi="Times New Roman"/>
          <w:color w:val="F9B416"/>
          <w:spacing w:val="-1"/>
          <w:szCs w:val="28"/>
        </w:rPr>
        <w:t>m</w:t>
      </w:r>
      <w:r w:rsidRPr="00FE6ED4">
        <w:rPr>
          <w:rFonts w:ascii="Times New Roman" w:eastAsia="Calibri" w:hAnsi="Times New Roman"/>
          <w:color w:val="F9B416"/>
          <w:spacing w:val="-1"/>
          <w:szCs w:val="28"/>
        </w:rPr>
        <w:t>anagement</w:t>
      </w:r>
      <w:bookmarkEnd w:id="63"/>
      <w:bookmarkEnd w:id="64"/>
    </w:p>
    <w:p w14:paraId="76E6A4D0" w14:textId="77777777" w:rsidR="007518E4" w:rsidRPr="006512B9" w:rsidRDefault="007518E4" w:rsidP="008037D9">
      <w:pPr>
        <w:pStyle w:val="ListParagraph"/>
        <w:numPr>
          <w:ilvl w:val="0"/>
          <w:numId w:val="62"/>
        </w:numPr>
        <w:spacing w:after="240"/>
        <w:contextualSpacing w:val="0"/>
        <w:rPr>
          <w:rFonts w:ascii="Times New Roman" w:hAnsi="Times New Roman"/>
          <w:noProof/>
          <w:sz w:val="24"/>
        </w:rPr>
      </w:pPr>
      <w:r w:rsidRPr="0068375E">
        <w:rPr>
          <w:rFonts w:ascii="Times New Roman" w:hAnsi="Times New Roman"/>
          <w:b/>
          <w:sz w:val="24"/>
        </w:rPr>
        <w:t>This indicator assesses the management and monitoring of government assets and transparency of asset disposals.</w:t>
      </w:r>
      <w:r w:rsidRPr="00A83EC2">
        <w:rPr>
          <w:rFonts w:ascii="Times New Roman" w:hAnsi="Times New Roman"/>
          <w:noProof/>
          <w:sz w:val="24"/>
        </w:rPr>
        <w:t xml:space="preserve"> The assessment is based on the fiscal year </w:t>
      </w:r>
      <w:r>
        <w:rPr>
          <w:rFonts w:ascii="Times New Roman" w:hAnsi="Times New Roman"/>
          <w:noProof/>
          <w:sz w:val="24"/>
        </w:rPr>
        <w:t>2016/17</w:t>
      </w:r>
      <w:r w:rsidRPr="00A83EC2">
        <w:rPr>
          <w:rFonts w:ascii="Times New Roman" w:hAnsi="Times New Roman"/>
          <w:noProof/>
          <w:sz w:val="24"/>
        </w:rPr>
        <w:t>.</w:t>
      </w:r>
      <w:r w:rsidRPr="00A83EC2">
        <w:rPr>
          <w:rFonts w:ascii="Times New Roman" w:hAnsi="Times New Roman"/>
          <w:bCs/>
          <w:sz w:val="24"/>
          <w:lang w:val="en-GB"/>
        </w:rPr>
        <w:t xml:space="preserve"> Coverage for dimension 12.2 is </w:t>
      </w:r>
      <w:r w:rsidRPr="00A83EC2">
        <w:rPr>
          <w:rFonts w:ascii="Times New Roman" w:hAnsi="Times New Roman"/>
          <w:sz w:val="24"/>
          <w:lang w:val="en-GB"/>
        </w:rPr>
        <w:t>Budgetary Central Government and d</w:t>
      </w:r>
      <w:r w:rsidRPr="00A83EC2">
        <w:rPr>
          <w:rFonts w:ascii="Times New Roman" w:hAnsi="Times New Roman"/>
          <w:bCs/>
          <w:sz w:val="24"/>
          <w:lang w:val="en-GB"/>
        </w:rPr>
        <w:t xml:space="preserve">imension 12.3: </w:t>
      </w:r>
      <w:r w:rsidRPr="00A83EC2">
        <w:rPr>
          <w:rFonts w:ascii="Times New Roman" w:hAnsi="Times New Roman"/>
          <w:sz w:val="24"/>
          <w:lang w:val="en-GB"/>
        </w:rPr>
        <w:t>Central Government for financial assets and Central Government for nonfinancial assets</w:t>
      </w:r>
      <w:r>
        <w:rPr>
          <w:rFonts w:ascii="Times New Roman" w:hAnsi="Times New Roman"/>
          <w:sz w:val="24"/>
          <w:lang w:val="en-GB"/>
        </w:rPr>
        <w:t>.</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1271"/>
        <w:gridCol w:w="4932"/>
      </w:tblGrid>
      <w:tr w:rsidR="007518E4" w:rsidRPr="006512B9" w14:paraId="60B4304F" w14:textId="77777777" w:rsidTr="00374990">
        <w:trPr>
          <w:trHeight w:val="397"/>
          <w:jc w:val="center"/>
        </w:trPr>
        <w:tc>
          <w:tcPr>
            <w:tcW w:w="14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4DC1F1" w14:textId="77777777" w:rsidR="007518E4" w:rsidRPr="006512B9" w:rsidRDefault="007518E4" w:rsidP="00F70FF1">
            <w:pPr>
              <w:spacing w:before="0"/>
              <w:ind w:hanging="539"/>
              <w:jc w:val="center"/>
              <w:rPr>
                <w:rFonts w:ascii="Times New Roman" w:hAnsi="Times New Roman"/>
              </w:rPr>
            </w:pPr>
            <w:r w:rsidRPr="006512B9">
              <w:rPr>
                <w:rFonts w:ascii="Times New Roman" w:hAnsi="Times New Roman"/>
              </w:rPr>
              <w:t>Indicator/Dimension</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15F021" w14:textId="77777777" w:rsidR="007518E4" w:rsidRPr="006512B9" w:rsidRDefault="007518E4" w:rsidP="00F70FF1">
            <w:pPr>
              <w:spacing w:before="0"/>
              <w:ind w:left="0"/>
              <w:jc w:val="center"/>
              <w:rPr>
                <w:rFonts w:ascii="Times New Roman" w:hAnsi="Times New Roman"/>
              </w:rPr>
            </w:pPr>
            <w:r w:rsidRPr="006512B9">
              <w:rPr>
                <w:rFonts w:ascii="Times New Roman" w:hAnsi="Times New Roman"/>
              </w:rPr>
              <w:t>Score</w:t>
            </w:r>
          </w:p>
        </w:tc>
        <w:tc>
          <w:tcPr>
            <w:tcW w:w="27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A9D097" w14:textId="77777777" w:rsidR="007518E4" w:rsidRPr="006512B9" w:rsidRDefault="007518E4" w:rsidP="00F70FF1">
            <w:pPr>
              <w:spacing w:before="0"/>
              <w:ind w:hanging="539"/>
              <w:jc w:val="center"/>
              <w:rPr>
                <w:rFonts w:ascii="Times New Roman" w:hAnsi="Times New Roman"/>
              </w:rPr>
            </w:pPr>
            <w:r w:rsidRPr="006512B9">
              <w:rPr>
                <w:rFonts w:ascii="Times New Roman" w:hAnsi="Times New Roman"/>
              </w:rPr>
              <w:t>Brief Explanation</w:t>
            </w:r>
          </w:p>
        </w:tc>
      </w:tr>
      <w:tr w:rsidR="007518E4" w:rsidRPr="006512B9" w14:paraId="65914B74" w14:textId="77777777" w:rsidTr="00374990">
        <w:trPr>
          <w:trHeight w:val="647"/>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14:paraId="7BAE1F7C" w14:textId="77777777" w:rsidR="007518E4" w:rsidRPr="006512B9" w:rsidRDefault="007518E4" w:rsidP="00F70FF1">
            <w:pPr>
              <w:spacing w:before="0"/>
              <w:ind w:left="0"/>
              <w:jc w:val="left"/>
              <w:rPr>
                <w:rFonts w:ascii="Times New Roman" w:hAnsi="Times New Roman"/>
              </w:rPr>
            </w:pPr>
            <w:r w:rsidRPr="006512B9">
              <w:rPr>
                <w:rFonts w:ascii="Times New Roman" w:hAnsi="Times New Roman"/>
                <w:bCs/>
              </w:rPr>
              <w:t>PI-12 Public asset management</w:t>
            </w:r>
          </w:p>
        </w:tc>
        <w:tc>
          <w:tcPr>
            <w:tcW w:w="720" w:type="pct"/>
            <w:tcBorders>
              <w:top w:val="single" w:sz="4" w:space="0" w:color="auto"/>
              <w:left w:val="single" w:sz="4" w:space="0" w:color="auto"/>
              <w:bottom w:val="single" w:sz="4" w:space="0" w:color="auto"/>
              <w:right w:val="single" w:sz="4" w:space="0" w:color="auto"/>
            </w:tcBorders>
            <w:vAlign w:val="center"/>
            <w:hideMark/>
          </w:tcPr>
          <w:p w14:paraId="61FAE19D" w14:textId="77777777" w:rsidR="007518E4" w:rsidRPr="006512B9" w:rsidRDefault="007518E4" w:rsidP="0068375E">
            <w:pPr>
              <w:spacing w:before="0"/>
              <w:ind w:left="0"/>
              <w:jc w:val="center"/>
              <w:rPr>
                <w:rFonts w:ascii="Times New Roman" w:hAnsi="Times New Roman"/>
              </w:rPr>
            </w:pPr>
            <w:r w:rsidRPr="006512B9">
              <w:rPr>
                <w:rFonts w:ascii="Times New Roman" w:hAnsi="Times New Roman"/>
              </w:rPr>
              <w:t>D+</w:t>
            </w:r>
          </w:p>
        </w:tc>
        <w:tc>
          <w:tcPr>
            <w:tcW w:w="2795" w:type="pct"/>
            <w:tcBorders>
              <w:top w:val="single" w:sz="4" w:space="0" w:color="auto"/>
              <w:left w:val="single" w:sz="4" w:space="0" w:color="auto"/>
              <w:bottom w:val="single" w:sz="4" w:space="0" w:color="auto"/>
              <w:right w:val="single" w:sz="4" w:space="0" w:color="auto"/>
            </w:tcBorders>
            <w:vAlign w:val="center"/>
            <w:hideMark/>
          </w:tcPr>
          <w:p w14:paraId="70AE30C1" w14:textId="77777777" w:rsidR="007518E4" w:rsidRPr="006512B9" w:rsidRDefault="007518E4" w:rsidP="0068375E">
            <w:pPr>
              <w:spacing w:before="0"/>
              <w:ind w:left="0"/>
              <w:rPr>
                <w:rFonts w:ascii="Times New Roman" w:hAnsi="Times New Roman"/>
              </w:rPr>
            </w:pPr>
            <w:r w:rsidRPr="006512B9">
              <w:rPr>
                <w:rFonts w:ascii="Times New Roman" w:hAnsi="Times New Roman"/>
              </w:rPr>
              <w:t>Dimension scores combined by Method M2</w:t>
            </w:r>
          </w:p>
        </w:tc>
      </w:tr>
      <w:tr w:rsidR="007518E4" w:rsidRPr="006512B9" w14:paraId="06009A49" w14:textId="77777777" w:rsidTr="00374990">
        <w:trPr>
          <w:trHeight w:val="647"/>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14:paraId="12089E59" w14:textId="77777777" w:rsidR="007518E4" w:rsidRPr="006512B9" w:rsidRDefault="007518E4" w:rsidP="00F70FF1">
            <w:pPr>
              <w:spacing w:before="0"/>
              <w:ind w:left="0"/>
              <w:jc w:val="left"/>
              <w:rPr>
                <w:rFonts w:ascii="Times New Roman" w:hAnsi="Times New Roman"/>
                <w:color w:val="000000"/>
              </w:rPr>
            </w:pPr>
            <w:r w:rsidRPr="006512B9">
              <w:rPr>
                <w:rFonts w:ascii="Times New Roman" w:hAnsi="Times New Roman"/>
                <w:color w:val="000000"/>
              </w:rPr>
              <w:t>12.1 Financial asset monitoring</w:t>
            </w:r>
          </w:p>
        </w:tc>
        <w:tc>
          <w:tcPr>
            <w:tcW w:w="720" w:type="pct"/>
            <w:tcBorders>
              <w:top w:val="single" w:sz="4" w:space="0" w:color="auto"/>
              <w:left w:val="single" w:sz="4" w:space="0" w:color="auto"/>
              <w:bottom w:val="single" w:sz="4" w:space="0" w:color="auto"/>
              <w:right w:val="single" w:sz="4" w:space="0" w:color="auto"/>
            </w:tcBorders>
            <w:vAlign w:val="center"/>
            <w:hideMark/>
          </w:tcPr>
          <w:p w14:paraId="6FAF83D0" w14:textId="77777777" w:rsidR="007518E4" w:rsidRPr="006512B9" w:rsidRDefault="007518E4" w:rsidP="0068375E">
            <w:pPr>
              <w:spacing w:before="0"/>
              <w:ind w:left="0"/>
              <w:jc w:val="center"/>
              <w:rPr>
                <w:rFonts w:ascii="Times New Roman" w:hAnsi="Times New Roman"/>
              </w:rPr>
            </w:pPr>
            <w:r w:rsidRPr="006512B9">
              <w:rPr>
                <w:rFonts w:ascii="Times New Roman" w:hAnsi="Times New Roman"/>
              </w:rPr>
              <w:t>C</w:t>
            </w:r>
          </w:p>
        </w:tc>
        <w:tc>
          <w:tcPr>
            <w:tcW w:w="2795" w:type="pct"/>
            <w:tcBorders>
              <w:top w:val="single" w:sz="4" w:space="0" w:color="auto"/>
              <w:left w:val="single" w:sz="4" w:space="0" w:color="auto"/>
              <w:bottom w:val="single" w:sz="4" w:space="0" w:color="auto"/>
              <w:right w:val="single" w:sz="4" w:space="0" w:color="auto"/>
            </w:tcBorders>
            <w:vAlign w:val="center"/>
            <w:hideMark/>
          </w:tcPr>
          <w:p w14:paraId="3B60A757" w14:textId="77777777" w:rsidR="007518E4" w:rsidRPr="00D2250B" w:rsidRDefault="007518E4" w:rsidP="0068375E">
            <w:pPr>
              <w:spacing w:before="0"/>
              <w:ind w:left="0"/>
              <w:rPr>
                <w:rFonts w:ascii="Times New Roman" w:hAnsi="Times New Roman"/>
                <w:lang w:eastAsia="en-IN"/>
              </w:rPr>
            </w:pPr>
            <w:r w:rsidRPr="00D2250B">
              <w:rPr>
                <w:rFonts w:ascii="Times New Roman" w:eastAsia="ヒラギノ角ゴ Pro W3" w:hAnsi="Times New Roman"/>
                <w:color w:val="000000"/>
                <w:lang w:eastAsia="en-IN"/>
              </w:rPr>
              <w:t xml:space="preserve">Responsibility for state financial assets management including the register, monitoring and preparation of internal reports on the government portfolio is shared between the External Finance, the SOE and Treasury departments. </w:t>
            </w:r>
            <w:r w:rsidRPr="00D2250B">
              <w:rPr>
                <w:rFonts w:ascii="Times New Roman" w:hAnsi="Times New Roman"/>
              </w:rPr>
              <w:t>Financial assets are mainly estimated at their acquisition value, and in the case of market instruments at fair market value</w:t>
            </w:r>
            <w:r>
              <w:rPr>
                <w:rFonts w:ascii="Times New Roman" w:hAnsi="Times New Roman"/>
              </w:rPr>
              <w:t>. There are</w:t>
            </w:r>
            <w:r w:rsidRPr="00D2250B">
              <w:rPr>
                <w:rFonts w:ascii="Times New Roman" w:hAnsi="Times New Roman"/>
              </w:rPr>
              <w:t xml:space="preserve"> neither consolidated record</w:t>
            </w:r>
            <w:r>
              <w:rPr>
                <w:rFonts w:ascii="Times New Roman" w:hAnsi="Times New Roman"/>
              </w:rPr>
              <w:t>s</w:t>
            </w:r>
            <w:r w:rsidRPr="00D2250B">
              <w:rPr>
                <w:rFonts w:ascii="Times New Roman" w:hAnsi="Times New Roman"/>
              </w:rPr>
              <w:t xml:space="preserve"> nor publication of the information but government holdings in major categories of financial assets are covered by some</w:t>
            </w:r>
            <w:r w:rsidR="00106633">
              <w:rPr>
                <w:rFonts w:ascii="Times New Roman" w:hAnsi="Times New Roman"/>
              </w:rPr>
              <w:t xml:space="preserve"> government internal </w:t>
            </w:r>
            <w:r w:rsidRPr="00D2250B">
              <w:rPr>
                <w:rFonts w:ascii="Times New Roman" w:hAnsi="Times New Roman"/>
              </w:rPr>
              <w:t>reporting</w:t>
            </w:r>
            <w:r>
              <w:rPr>
                <w:rFonts w:ascii="Times New Roman" w:hAnsi="Times New Roman"/>
              </w:rPr>
              <w:t>.</w:t>
            </w:r>
          </w:p>
        </w:tc>
      </w:tr>
      <w:tr w:rsidR="007518E4" w:rsidRPr="006512B9" w14:paraId="0E9D6413" w14:textId="77777777" w:rsidTr="00374990">
        <w:trPr>
          <w:trHeight w:val="548"/>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14:paraId="602BA8A7" w14:textId="77777777" w:rsidR="007518E4" w:rsidRPr="006512B9" w:rsidRDefault="007518E4" w:rsidP="00F70FF1">
            <w:pPr>
              <w:spacing w:before="0"/>
              <w:ind w:left="0"/>
              <w:jc w:val="left"/>
              <w:rPr>
                <w:rFonts w:ascii="Times New Roman" w:hAnsi="Times New Roman"/>
                <w:color w:val="000000"/>
              </w:rPr>
            </w:pPr>
            <w:r w:rsidRPr="006512B9">
              <w:rPr>
                <w:rFonts w:ascii="Times New Roman" w:hAnsi="Times New Roman"/>
                <w:color w:val="000000"/>
              </w:rPr>
              <w:t>12.2 Nonfinancial asset monitoring</w:t>
            </w:r>
          </w:p>
        </w:tc>
        <w:tc>
          <w:tcPr>
            <w:tcW w:w="720" w:type="pct"/>
            <w:tcBorders>
              <w:top w:val="single" w:sz="4" w:space="0" w:color="auto"/>
              <w:left w:val="single" w:sz="4" w:space="0" w:color="auto"/>
              <w:bottom w:val="single" w:sz="4" w:space="0" w:color="auto"/>
              <w:right w:val="single" w:sz="4" w:space="0" w:color="auto"/>
            </w:tcBorders>
            <w:vAlign w:val="center"/>
            <w:hideMark/>
          </w:tcPr>
          <w:p w14:paraId="05F1E91C" w14:textId="77777777" w:rsidR="007518E4" w:rsidRPr="006512B9" w:rsidRDefault="007518E4" w:rsidP="0068375E">
            <w:pPr>
              <w:spacing w:before="0"/>
              <w:ind w:left="0"/>
              <w:jc w:val="center"/>
              <w:rPr>
                <w:rFonts w:ascii="Times New Roman" w:hAnsi="Times New Roman"/>
              </w:rPr>
            </w:pPr>
            <w:r w:rsidRPr="006512B9">
              <w:rPr>
                <w:rFonts w:ascii="Times New Roman" w:hAnsi="Times New Roman"/>
              </w:rPr>
              <w:t>D</w:t>
            </w:r>
          </w:p>
        </w:tc>
        <w:tc>
          <w:tcPr>
            <w:tcW w:w="2795" w:type="pct"/>
            <w:tcBorders>
              <w:top w:val="single" w:sz="4" w:space="0" w:color="auto"/>
              <w:left w:val="single" w:sz="4" w:space="0" w:color="auto"/>
              <w:bottom w:val="single" w:sz="4" w:space="0" w:color="auto"/>
              <w:right w:val="single" w:sz="4" w:space="0" w:color="auto"/>
            </w:tcBorders>
            <w:vAlign w:val="center"/>
            <w:hideMark/>
          </w:tcPr>
          <w:p w14:paraId="2C8893DE" w14:textId="77777777" w:rsidR="007518E4" w:rsidRPr="000721B3" w:rsidRDefault="007518E4" w:rsidP="0068375E">
            <w:pPr>
              <w:spacing w:before="0"/>
              <w:ind w:left="0"/>
              <w:rPr>
                <w:rFonts w:ascii="Times New Roman" w:hAnsi="Times New Roman"/>
                <w:lang w:eastAsia="en-IN"/>
              </w:rPr>
            </w:pPr>
            <w:r w:rsidRPr="000721B3">
              <w:rPr>
                <w:rFonts w:ascii="Times New Roman" w:eastAsia="ヒラギノ角ゴ Pro W3" w:hAnsi="Times New Roman"/>
                <w:color w:val="000000"/>
                <w:lang w:eastAsia="en-IN"/>
              </w:rPr>
              <w:t>Non-financial assets management is decentralized to each government entity using the assets. Major ministries (Education, Health, Public Works) maintain a manual registry with records of entries of mobile fixed assets and carry-out periodic inventories but there is no consistent methodology for the valuation of all assets.   Other records of non-financial assets are fragmented and incomplete at different level and there is neither consolidation nor publication of comprehensive information on holdings of any type of non-financial assets</w:t>
            </w:r>
            <w:r>
              <w:rPr>
                <w:rFonts w:ascii="Times New Roman" w:eastAsia="ヒラギノ角ゴ Pro W3" w:hAnsi="Times New Roman"/>
                <w:color w:val="000000"/>
                <w:lang w:eastAsia="en-IN"/>
              </w:rPr>
              <w:t>.</w:t>
            </w:r>
          </w:p>
        </w:tc>
      </w:tr>
      <w:tr w:rsidR="007518E4" w:rsidRPr="006512B9" w14:paraId="098C5E2E" w14:textId="77777777" w:rsidTr="00374990">
        <w:trPr>
          <w:trHeight w:val="530"/>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14:paraId="4714D7C3" w14:textId="77777777" w:rsidR="007518E4" w:rsidRPr="006512B9" w:rsidRDefault="007518E4" w:rsidP="00F70FF1">
            <w:pPr>
              <w:spacing w:before="0"/>
              <w:ind w:left="0"/>
              <w:jc w:val="left"/>
              <w:rPr>
                <w:rFonts w:ascii="Times New Roman" w:hAnsi="Times New Roman"/>
                <w:color w:val="000000"/>
              </w:rPr>
            </w:pPr>
            <w:r w:rsidRPr="006512B9">
              <w:rPr>
                <w:rFonts w:ascii="Times New Roman" w:hAnsi="Times New Roman"/>
                <w:color w:val="000000"/>
              </w:rPr>
              <w:lastRenderedPageBreak/>
              <w:t>12.3 Transparency of asset disposal</w:t>
            </w:r>
          </w:p>
        </w:tc>
        <w:tc>
          <w:tcPr>
            <w:tcW w:w="720" w:type="pct"/>
            <w:tcBorders>
              <w:top w:val="single" w:sz="4" w:space="0" w:color="auto"/>
              <w:left w:val="single" w:sz="4" w:space="0" w:color="auto"/>
              <w:bottom w:val="single" w:sz="4" w:space="0" w:color="auto"/>
              <w:right w:val="single" w:sz="4" w:space="0" w:color="auto"/>
            </w:tcBorders>
            <w:vAlign w:val="center"/>
            <w:hideMark/>
          </w:tcPr>
          <w:p w14:paraId="05A629C9" w14:textId="77777777" w:rsidR="007518E4" w:rsidRPr="006512B9" w:rsidRDefault="007518E4" w:rsidP="0068375E">
            <w:pPr>
              <w:spacing w:before="0"/>
              <w:ind w:left="0"/>
              <w:jc w:val="center"/>
              <w:rPr>
                <w:rFonts w:ascii="Times New Roman" w:hAnsi="Times New Roman"/>
              </w:rPr>
            </w:pPr>
            <w:r w:rsidRPr="006512B9">
              <w:rPr>
                <w:rFonts w:ascii="Times New Roman" w:hAnsi="Times New Roman"/>
              </w:rPr>
              <w:t>D</w:t>
            </w:r>
          </w:p>
        </w:tc>
        <w:tc>
          <w:tcPr>
            <w:tcW w:w="2795" w:type="pct"/>
            <w:tcBorders>
              <w:top w:val="single" w:sz="4" w:space="0" w:color="auto"/>
              <w:left w:val="single" w:sz="4" w:space="0" w:color="auto"/>
              <w:bottom w:val="single" w:sz="4" w:space="0" w:color="auto"/>
              <w:right w:val="single" w:sz="4" w:space="0" w:color="auto"/>
            </w:tcBorders>
            <w:vAlign w:val="center"/>
            <w:hideMark/>
          </w:tcPr>
          <w:p w14:paraId="529DC49B" w14:textId="77777777" w:rsidR="007518E4" w:rsidRPr="0019477B" w:rsidRDefault="007518E4" w:rsidP="00FD748F">
            <w:pPr>
              <w:spacing w:before="0"/>
              <w:ind w:left="0"/>
              <w:rPr>
                <w:rFonts w:ascii="Times New Roman" w:eastAsia="ヒラギノ角ゴ Pro W3" w:hAnsi="Times New Roman"/>
                <w:color w:val="000000"/>
                <w:lang w:eastAsia="en-IN"/>
              </w:rPr>
            </w:pPr>
            <w:r w:rsidRPr="0019477B">
              <w:rPr>
                <w:rFonts w:ascii="Times New Roman" w:eastAsia="ヒラギノ角ゴ Pro W3" w:hAnsi="Times New Roman"/>
                <w:color w:val="000000"/>
                <w:lang w:eastAsia="en-IN"/>
              </w:rPr>
              <w:t>Transfers and disposal of nonfinancial assets is covered by standing rules on asset disposal, but the provisions have yet to be enforced and there is no consolidated information available on such disposals, including the information of both acquisition and disposal values.</w:t>
            </w:r>
          </w:p>
        </w:tc>
      </w:tr>
    </w:tbl>
    <w:p w14:paraId="6905C574" w14:textId="77777777" w:rsidR="007518E4" w:rsidRPr="001B51C3" w:rsidRDefault="007518E4" w:rsidP="0068375E">
      <w:pPr>
        <w:pStyle w:val="BodyText"/>
        <w:spacing w:after="240"/>
        <w:ind w:left="0"/>
        <w:rPr>
          <w:rFonts w:ascii="Times New Roman" w:hAnsi="Times New Roman"/>
          <w:b/>
          <w:color w:val="FFC000"/>
          <w:sz w:val="24"/>
          <w:szCs w:val="21"/>
        </w:rPr>
      </w:pPr>
      <w:r w:rsidRPr="001B51C3">
        <w:rPr>
          <w:rFonts w:ascii="Times New Roman" w:hAnsi="Times New Roman"/>
          <w:b/>
          <w:color w:val="FFC000"/>
          <w:sz w:val="24"/>
          <w:szCs w:val="21"/>
        </w:rPr>
        <w:t xml:space="preserve">12.1 Financial </w:t>
      </w:r>
      <w:r>
        <w:rPr>
          <w:rFonts w:ascii="Times New Roman" w:hAnsi="Times New Roman"/>
          <w:b/>
          <w:color w:val="FFC000"/>
          <w:sz w:val="24"/>
          <w:szCs w:val="21"/>
        </w:rPr>
        <w:t>a</w:t>
      </w:r>
      <w:r w:rsidRPr="001B51C3">
        <w:rPr>
          <w:rFonts w:ascii="Times New Roman" w:hAnsi="Times New Roman"/>
          <w:b/>
          <w:color w:val="FFC000"/>
          <w:sz w:val="24"/>
          <w:szCs w:val="21"/>
        </w:rPr>
        <w:t xml:space="preserve">sset </w:t>
      </w:r>
      <w:r>
        <w:rPr>
          <w:rFonts w:ascii="Times New Roman" w:hAnsi="Times New Roman"/>
          <w:b/>
          <w:color w:val="FFC000"/>
          <w:sz w:val="24"/>
          <w:szCs w:val="21"/>
        </w:rPr>
        <w:t>m</w:t>
      </w:r>
      <w:r w:rsidRPr="001B51C3">
        <w:rPr>
          <w:rFonts w:ascii="Times New Roman" w:hAnsi="Times New Roman"/>
          <w:b/>
          <w:color w:val="FFC000"/>
          <w:sz w:val="24"/>
          <w:szCs w:val="21"/>
        </w:rPr>
        <w:t>onitoring</w:t>
      </w:r>
    </w:p>
    <w:p w14:paraId="1D74DC91" w14:textId="77777777" w:rsidR="007518E4"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Financial assets management in Lao PDR is regulated through provisions from the State Budget Department, the 2010 Treasury Law and the recently approved 2018 Public Debt Law.</w:t>
      </w:r>
      <w:r w:rsidR="00F70FF1">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These regulations</w:t>
      </w:r>
      <w:r w:rsidRPr="006512B9">
        <w:rPr>
          <w:rFonts w:ascii="Times New Roman" w:eastAsia="ヒラギノ角ゴ Pro W3" w:hAnsi="Times New Roman"/>
          <w:color w:val="000000"/>
          <w:sz w:val="24"/>
          <w:lang w:eastAsia="en-IN"/>
        </w:rPr>
        <w:t xml:space="preserve"> cover the management and recording of financial assets and related debt-instruments. Records of market financial assets are maintained by the External Finance Department following IMF templates and the SOE department monitors government investments in various public entities. The Treasury department consolidates cash balances held in various commercial banks and produces </w:t>
      </w:r>
      <w:proofErr w:type="gramStart"/>
      <w:r w:rsidRPr="006512B9">
        <w:rPr>
          <w:rFonts w:ascii="Times New Roman" w:eastAsia="ヒラギノ角ゴ Pro W3" w:hAnsi="Times New Roman"/>
          <w:color w:val="000000"/>
          <w:sz w:val="24"/>
          <w:lang w:eastAsia="en-IN"/>
        </w:rPr>
        <w:t>on a monthly basis</w:t>
      </w:r>
      <w:proofErr w:type="gramEnd"/>
      <w:r w:rsidRPr="006512B9">
        <w:rPr>
          <w:rFonts w:ascii="Times New Roman" w:eastAsia="ヒラギノ角ゴ Pro W3" w:hAnsi="Times New Roman"/>
          <w:color w:val="000000"/>
          <w:sz w:val="24"/>
          <w:lang w:eastAsia="en-IN"/>
        </w:rPr>
        <w:t xml:space="preserve"> a consolidated monitoring report (see PI-21.1). </w:t>
      </w:r>
    </w:p>
    <w:p w14:paraId="273E6FF5" w14:textId="77777777" w:rsidR="007518E4" w:rsidRPr="00D2250B"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The government uses cash basis of accounting, which means that all investment acquisitions are expensed in the year in which state ownership has been recognized.</w:t>
      </w:r>
      <w:r w:rsidRPr="00D2250B">
        <w:rPr>
          <w:rFonts w:ascii="Times New Roman" w:eastAsia="ヒラギノ角ゴ Pro W3" w:hAnsi="Times New Roman"/>
          <w:color w:val="000000"/>
          <w:sz w:val="24"/>
          <w:lang w:eastAsia="en-IN"/>
        </w:rPr>
        <w:t xml:space="preserve"> The government holds diverse financial assets including; cash, securities in listed and non-listed corporations, loans, receivables.  Registers for financial assets are in place for the monitoring of some of those assets, but records are manual and there is no systematic tracking and valuation system. The reporting on public corporations reported at the time of the assessment covered basic information on financial performance on turnover and the profit/loss statements for 47 of 60 public corporations (see PI-10.1). The financial statements produced by the Treasury department do report information on the financial assets portfolio and there is a specific register available on loans granted by the government. Overall, the </w:t>
      </w:r>
      <w:r w:rsidR="00184291">
        <w:rPr>
          <w:rFonts w:ascii="Times New Roman" w:eastAsia="ヒラギノ角ゴ Pro W3" w:hAnsi="Times New Roman"/>
          <w:color w:val="000000"/>
          <w:sz w:val="24"/>
          <w:lang w:eastAsia="en-IN"/>
        </w:rPr>
        <w:t xml:space="preserve">recording of </w:t>
      </w:r>
      <w:r w:rsidRPr="00D2250B">
        <w:rPr>
          <w:rFonts w:ascii="Times New Roman" w:eastAsia="ヒラギノ角ゴ Pro W3" w:hAnsi="Times New Roman"/>
          <w:color w:val="000000"/>
          <w:sz w:val="24"/>
          <w:lang w:eastAsia="en-IN"/>
        </w:rPr>
        <w:t>information in the annual financial reports</w:t>
      </w:r>
      <w:r w:rsidR="00184291">
        <w:rPr>
          <w:rFonts w:ascii="Times New Roman" w:eastAsia="ヒラギノ角ゴ Pro W3" w:hAnsi="Times New Roman"/>
          <w:color w:val="000000"/>
          <w:sz w:val="24"/>
          <w:lang w:eastAsia="en-IN"/>
        </w:rPr>
        <w:t>,</w:t>
      </w:r>
      <w:r w:rsidRPr="00D2250B">
        <w:rPr>
          <w:rFonts w:ascii="Times New Roman" w:eastAsia="ヒラギノ角ゴ Pro W3" w:hAnsi="Times New Roman"/>
          <w:color w:val="000000"/>
          <w:sz w:val="24"/>
          <w:lang w:eastAsia="en-IN"/>
        </w:rPr>
        <w:t xml:space="preserve"> </w:t>
      </w:r>
      <w:r w:rsidR="00184291">
        <w:rPr>
          <w:rFonts w:ascii="Times New Roman" w:eastAsia="ヒラギノ角ゴ Pro W3" w:hAnsi="Times New Roman"/>
          <w:color w:val="000000"/>
          <w:sz w:val="24"/>
          <w:lang w:eastAsia="en-IN"/>
        </w:rPr>
        <w:t>while</w:t>
      </w:r>
      <w:r w:rsidRPr="00D2250B">
        <w:rPr>
          <w:rFonts w:ascii="Times New Roman" w:eastAsia="ヒラギノ角ゴ Pro W3" w:hAnsi="Times New Roman"/>
          <w:color w:val="000000"/>
          <w:sz w:val="24"/>
          <w:lang w:eastAsia="en-IN"/>
        </w:rPr>
        <w:t xml:space="preserve"> fragmented and not cover</w:t>
      </w:r>
      <w:r w:rsidR="00E343CA">
        <w:rPr>
          <w:rFonts w:ascii="Times New Roman" w:eastAsia="ヒラギノ角ゴ Pro W3" w:hAnsi="Times New Roman"/>
          <w:color w:val="000000"/>
          <w:sz w:val="24"/>
          <w:lang w:eastAsia="en-IN"/>
        </w:rPr>
        <w:t>ing</w:t>
      </w:r>
      <w:r w:rsidRPr="00D2250B">
        <w:rPr>
          <w:rFonts w:ascii="Times New Roman" w:eastAsia="ヒラギノ角ゴ Pro W3" w:hAnsi="Times New Roman"/>
          <w:color w:val="000000"/>
          <w:sz w:val="24"/>
          <w:lang w:eastAsia="en-IN"/>
        </w:rPr>
        <w:t xml:space="preserve"> systematically all the financial assets held by the government</w:t>
      </w:r>
      <w:r w:rsidR="00184291">
        <w:rPr>
          <w:rFonts w:ascii="Times New Roman" w:eastAsia="ヒラギノ角ゴ Pro W3" w:hAnsi="Times New Roman"/>
          <w:color w:val="000000"/>
          <w:sz w:val="24"/>
          <w:lang w:eastAsia="en-IN"/>
        </w:rPr>
        <w:t>, can be confirmed</w:t>
      </w:r>
      <w:r w:rsidRPr="00D2250B">
        <w:rPr>
          <w:rFonts w:ascii="Times New Roman" w:eastAsia="ヒラギノ角ゴ Pro W3" w:hAnsi="Times New Roman"/>
          <w:color w:val="000000"/>
          <w:sz w:val="24"/>
          <w:lang w:eastAsia="en-IN"/>
        </w:rPr>
        <w:t xml:space="preserve">. </w:t>
      </w:r>
      <w:r w:rsidR="00184291">
        <w:rPr>
          <w:rFonts w:ascii="Times New Roman" w:eastAsia="ヒラギノ角ゴ Pro W3" w:hAnsi="Times New Roman"/>
          <w:color w:val="000000"/>
          <w:sz w:val="24"/>
          <w:lang w:eastAsia="en-IN"/>
        </w:rPr>
        <w:t>Nevertheless, t</w:t>
      </w:r>
      <w:r w:rsidRPr="00D2250B">
        <w:rPr>
          <w:rFonts w:ascii="Times New Roman" w:eastAsia="ヒラギノ角ゴ Pro W3" w:hAnsi="Times New Roman"/>
          <w:color w:val="000000"/>
          <w:sz w:val="24"/>
          <w:lang w:eastAsia="en-IN"/>
        </w:rPr>
        <w:t>he financial assets are not subjected to periodic evaluation.</w:t>
      </w:r>
    </w:p>
    <w:p w14:paraId="2159D635" w14:textId="77777777" w:rsidR="007518E4" w:rsidRPr="00D2250B" w:rsidRDefault="007518E4" w:rsidP="008037D9">
      <w:pPr>
        <w:pStyle w:val="ListParagraph"/>
        <w:numPr>
          <w:ilvl w:val="0"/>
          <w:numId w:val="62"/>
        </w:numPr>
        <w:spacing w:after="240"/>
        <w:contextualSpacing w:val="0"/>
        <w:rPr>
          <w:rFonts w:ascii="Times New Roman" w:hAnsi="Times New Roman"/>
          <w:sz w:val="24"/>
        </w:rPr>
      </w:pPr>
      <w:r w:rsidRPr="00FD748F">
        <w:rPr>
          <w:rFonts w:ascii="Times New Roman" w:eastAsia="ヒラギノ角ゴ Pro W3" w:hAnsi="Times New Roman"/>
          <w:b/>
          <w:color w:val="000000"/>
          <w:sz w:val="24"/>
          <w:lang w:eastAsia="en-IN"/>
        </w:rPr>
        <w:t>Responsibility for state financial assets management including the register, monitoring and preparation of internal reports on the government portfolio is shared between the External Finance, the SOE and Treasury departments.</w:t>
      </w:r>
      <w:r w:rsidRPr="00D2250B">
        <w:rPr>
          <w:rFonts w:ascii="Times New Roman" w:eastAsia="ヒラギノ角ゴ Pro W3" w:hAnsi="Times New Roman"/>
          <w:color w:val="000000"/>
          <w:sz w:val="24"/>
          <w:lang w:eastAsia="en-IN"/>
        </w:rPr>
        <w:t xml:space="preserve"> </w:t>
      </w:r>
      <w:r w:rsidRPr="00D2250B">
        <w:rPr>
          <w:rFonts w:ascii="Times New Roman" w:hAnsi="Times New Roman"/>
          <w:sz w:val="24"/>
        </w:rPr>
        <w:t>Financial assets are mainly estimated at their acquisition value, and in the case of market instruments at fair market value</w:t>
      </w:r>
      <w:r>
        <w:rPr>
          <w:rFonts w:ascii="Times New Roman" w:hAnsi="Times New Roman"/>
          <w:sz w:val="24"/>
        </w:rPr>
        <w:t>. There are</w:t>
      </w:r>
      <w:r w:rsidRPr="00D2250B">
        <w:rPr>
          <w:rFonts w:ascii="Times New Roman" w:hAnsi="Times New Roman"/>
          <w:sz w:val="24"/>
        </w:rPr>
        <w:t xml:space="preserve"> neither consolidated record</w:t>
      </w:r>
      <w:r>
        <w:rPr>
          <w:rFonts w:ascii="Times New Roman" w:hAnsi="Times New Roman"/>
          <w:sz w:val="24"/>
        </w:rPr>
        <w:t>s</w:t>
      </w:r>
      <w:r w:rsidRPr="00D2250B">
        <w:rPr>
          <w:rFonts w:ascii="Times New Roman" w:hAnsi="Times New Roman"/>
          <w:sz w:val="24"/>
        </w:rPr>
        <w:t xml:space="preserve"> nor publication of the information but government holdings in major categories of financial assets are covered by some reporting</w:t>
      </w:r>
      <w:r w:rsidRPr="00D2250B">
        <w:rPr>
          <w:rFonts w:ascii="Times New Roman" w:eastAsia="ヒラギノ角ゴ Pro W3" w:hAnsi="Times New Roman"/>
          <w:color w:val="000000"/>
          <w:sz w:val="24"/>
          <w:lang w:eastAsia="en-IN"/>
        </w:rPr>
        <w:t>: Score C.</w:t>
      </w:r>
    </w:p>
    <w:p w14:paraId="0E7B7EAE" w14:textId="77777777" w:rsidR="007518E4" w:rsidRPr="000721B3" w:rsidRDefault="007518E4" w:rsidP="00FD748F">
      <w:pPr>
        <w:pStyle w:val="BodyText"/>
        <w:spacing w:after="240"/>
        <w:ind w:left="0"/>
        <w:rPr>
          <w:rFonts w:ascii="Times New Roman" w:hAnsi="Times New Roman"/>
          <w:b/>
          <w:color w:val="FFC000"/>
          <w:sz w:val="24"/>
        </w:rPr>
      </w:pPr>
      <w:r w:rsidRPr="000721B3">
        <w:rPr>
          <w:rFonts w:ascii="Times New Roman" w:hAnsi="Times New Roman"/>
          <w:b/>
          <w:color w:val="FFC000"/>
          <w:sz w:val="24"/>
        </w:rPr>
        <w:t>12.2 Non-financial asset monitoring</w:t>
      </w:r>
    </w:p>
    <w:p w14:paraId="32B7A15E" w14:textId="77777777" w:rsidR="007518E4" w:rsidRPr="00D2250B"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The monitoring of non-financial assets is governed by the 2012 Law on State Assets.</w:t>
      </w:r>
      <w:r>
        <w:rPr>
          <w:rFonts w:ascii="Times New Roman" w:eastAsia="ヒラギノ角ゴ Pro W3" w:hAnsi="Times New Roman"/>
          <w:color w:val="000000"/>
          <w:sz w:val="24"/>
          <w:lang w:eastAsia="en-IN"/>
        </w:rPr>
        <w:t xml:space="preserve"> This law covers</w:t>
      </w:r>
      <w:r w:rsidRPr="00D2250B">
        <w:rPr>
          <w:rFonts w:ascii="Times New Roman" w:eastAsia="ヒラギノ角ゴ Pro W3" w:hAnsi="Times New Roman"/>
          <w:color w:val="000000"/>
          <w:sz w:val="24"/>
          <w:lang w:eastAsia="en-IN"/>
        </w:rPr>
        <w:t xml:space="preserve"> maintaining and updating records on acquisitions, movements, changes in use and disposals of such assets</w:t>
      </w:r>
      <w:r>
        <w:rPr>
          <w:rFonts w:ascii="Times New Roman" w:eastAsia="ヒラギノ角ゴ Pro W3" w:hAnsi="Times New Roman"/>
          <w:color w:val="000000"/>
          <w:sz w:val="24"/>
          <w:lang w:eastAsia="en-IN"/>
        </w:rPr>
        <w:t>. Additionally, the</w:t>
      </w:r>
      <w:r w:rsidRPr="00D2250B">
        <w:rPr>
          <w:rFonts w:ascii="Times New Roman" w:eastAsia="ヒラギノ角ゴ Pro W3" w:hAnsi="Times New Roman"/>
          <w:color w:val="000000"/>
          <w:sz w:val="24"/>
          <w:lang w:eastAsia="en-IN"/>
        </w:rPr>
        <w:t xml:space="preserve"> Law on </w:t>
      </w:r>
      <w:r>
        <w:rPr>
          <w:rFonts w:ascii="Times New Roman" w:eastAsia="ヒラギノ角ゴ Pro W3" w:hAnsi="Times New Roman"/>
          <w:color w:val="000000"/>
          <w:sz w:val="24"/>
          <w:lang w:eastAsia="en-IN"/>
        </w:rPr>
        <w:t>Investment Promotion prescribes</w:t>
      </w:r>
      <w:r w:rsidRPr="00D2250B">
        <w:rPr>
          <w:rFonts w:ascii="Times New Roman" w:eastAsia="ヒラギノ角ゴ Pro W3" w:hAnsi="Times New Roman"/>
          <w:color w:val="000000"/>
          <w:sz w:val="24"/>
          <w:lang w:eastAsia="en-IN"/>
        </w:rPr>
        <w:t xml:space="preserve"> the royalties and fees to be levied on concessions and natural resources. The Law categorizes the public assets between the natural resources for public use (land and all other natural resources) and the state government assets acquired and accounted for through the State budget (fixed assets, buildings, roads, equipment, etc.). The responsibilities and classification for State assets management are fully decentralized and based on location (central government, </w:t>
      </w:r>
      <w:r w:rsidRPr="00D2250B">
        <w:rPr>
          <w:rFonts w:ascii="Times New Roman" w:eastAsia="ヒラギノ角ゴ Pro W3" w:hAnsi="Times New Roman"/>
          <w:color w:val="000000"/>
          <w:sz w:val="24"/>
          <w:lang w:eastAsia="en-IN"/>
        </w:rPr>
        <w:lastRenderedPageBreak/>
        <w:t xml:space="preserve">provinces, and districts) and funding sources. Assets recorded by the Ministry of Public Works </w:t>
      </w:r>
      <w:r>
        <w:rPr>
          <w:rFonts w:ascii="Times New Roman" w:eastAsia="ヒラギノ角ゴ Pro W3" w:hAnsi="Times New Roman"/>
          <w:color w:val="000000"/>
          <w:sz w:val="24"/>
          <w:lang w:eastAsia="en-IN"/>
        </w:rPr>
        <w:t>are, for example,</w:t>
      </w:r>
      <w:r w:rsidRPr="00D2250B">
        <w:rPr>
          <w:rFonts w:ascii="Times New Roman" w:eastAsia="ヒラギノ角ゴ Pro W3" w:hAnsi="Times New Roman"/>
          <w:color w:val="000000"/>
          <w:sz w:val="24"/>
          <w:lang w:eastAsia="en-IN"/>
        </w:rPr>
        <w:t xml:space="preserve"> assigned to each Public Works projects. </w:t>
      </w:r>
    </w:p>
    <w:p w14:paraId="49B669EA" w14:textId="77777777" w:rsidR="007518E4" w:rsidRPr="00D2250B"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There is no cadaster system in place.</w:t>
      </w:r>
      <w:r>
        <w:rPr>
          <w:rFonts w:ascii="Times New Roman" w:eastAsia="ヒラギノ角ゴ Pro W3" w:hAnsi="Times New Roman"/>
          <w:color w:val="000000"/>
          <w:sz w:val="24"/>
          <w:lang w:eastAsia="en-IN"/>
        </w:rPr>
        <w:t xml:space="preserve"> T</w:t>
      </w:r>
      <w:r w:rsidRPr="00D2250B">
        <w:rPr>
          <w:rFonts w:ascii="Times New Roman" w:eastAsia="ヒラギノ角ゴ Pro W3" w:hAnsi="Times New Roman"/>
          <w:color w:val="000000"/>
          <w:sz w:val="24"/>
          <w:lang w:eastAsia="en-IN"/>
        </w:rPr>
        <w:t xml:space="preserve">he government land records are currently </w:t>
      </w:r>
      <w:r>
        <w:rPr>
          <w:rFonts w:ascii="Times New Roman" w:eastAsia="ヒラギノ角ゴ Pro W3" w:hAnsi="Times New Roman"/>
          <w:color w:val="000000"/>
          <w:sz w:val="24"/>
          <w:lang w:eastAsia="en-IN"/>
        </w:rPr>
        <w:t>being established</w:t>
      </w:r>
      <w:r w:rsidRPr="00D2250B">
        <w:rPr>
          <w:rFonts w:ascii="Times New Roman" w:eastAsia="ヒラギノ角ゴ Pro W3" w:hAnsi="Times New Roman"/>
          <w:color w:val="000000"/>
          <w:sz w:val="24"/>
          <w:lang w:eastAsia="en-IN"/>
        </w:rPr>
        <w:t xml:space="preserve"> to map and value holdings of all government land and buildings, including their economic use for government operations or leased to a third party.</w:t>
      </w:r>
      <w:r>
        <w:rPr>
          <w:rFonts w:ascii="Times New Roman" w:eastAsia="ヒラギノ角ゴ Pro W3" w:hAnsi="Times New Roman"/>
          <w:color w:val="000000"/>
          <w:sz w:val="24"/>
          <w:lang w:eastAsia="en-IN"/>
        </w:rPr>
        <w:t xml:space="preserve">  </w:t>
      </w:r>
      <w:r w:rsidRPr="00D2250B">
        <w:rPr>
          <w:rFonts w:ascii="Times New Roman" w:eastAsia="ヒラギノ角ゴ Pro W3" w:hAnsi="Times New Roman"/>
          <w:color w:val="000000"/>
          <w:sz w:val="24"/>
          <w:lang w:eastAsia="en-IN"/>
        </w:rPr>
        <w:t>The management of land and sub</w:t>
      </w:r>
      <w:r>
        <w:rPr>
          <w:rFonts w:ascii="Times New Roman" w:eastAsia="ヒラギノ角ゴ Pro W3" w:hAnsi="Times New Roman"/>
          <w:color w:val="000000"/>
          <w:sz w:val="24"/>
          <w:lang w:eastAsia="en-IN"/>
        </w:rPr>
        <w:t>-</w:t>
      </w:r>
      <w:r w:rsidRPr="00D2250B">
        <w:rPr>
          <w:rFonts w:ascii="Times New Roman" w:eastAsia="ヒラギノ角ゴ Pro W3" w:hAnsi="Times New Roman"/>
          <w:color w:val="000000"/>
          <w:sz w:val="24"/>
          <w:lang w:eastAsia="en-IN"/>
        </w:rPr>
        <w:t xml:space="preserve">soils is a shared responsibility between the Ministry of Energy and Mines responsible for the mapping </w:t>
      </w:r>
      <w:r>
        <w:rPr>
          <w:rFonts w:ascii="Times New Roman" w:eastAsia="ヒラギノ角ゴ Pro W3" w:hAnsi="Times New Roman"/>
          <w:color w:val="000000"/>
          <w:sz w:val="24"/>
          <w:lang w:eastAsia="en-IN"/>
        </w:rPr>
        <w:t>of resources, the State Assets D</w:t>
      </w:r>
      <w:r w:rsidRPr="00D2250B">
        <w:rPr>
          <w:rFonts w:ascii="Times New Roman" w:eastAsia="ヒラギノ角ゴ Pro W3" w:hAnsi="Times New Roman"/>
          <w:color w:val="000000"/>
          <w:sz w:val="24"/>
          <w:lang w:eastAsia="en-IN"/>
        </w:rPr>
        <w:t xml:space="preserve">epartment responsible for the collection of concessions fees granted under MPI’s authority, </w:t>
      </w:r>
      <w:r>
        <w:rPr>
          <w:rFonts w:ascii="Times New Roman" w:eastAsia="ヒラギノ角ゴ Pro W3" w:hAnsi="Times New Roman"/>
          <w:color w:val="000000"/>
          <w:sz w:val="24"/>
          <w:lang w:eastAsia="en-IN"/>
        </w:rPr>
        <w:t xml:space="preserve">and </w:t>
      </w:r>
      <w:r w:rsidRPr="00D2250B">
        <w:rPr>
          <w:rFonts w:ascii="Times New Roman" w:eastAsia="ヒラギノ角ゴ Pro W3" w:hAnsi="Times New Roman"/>
          <w:color w:val="000000"/>
          <w:sz w:val="24"/>
          <w:lang w:eastAsia="en-IN"/>
        </w:rPr>
        <w:t xml:space="preserve">the Ministry of Natural Resources and Environment </w:t>
      </w:r>
      <w:r>
        <w:rPr>
          <w:rFonts w:ascii="Times New Roman" w:eastAsia="ヒラギノ角ゴ Pro W3" w:hAnsi="Times New Roman"/>
          <w:color w:val="000000"/>
          <w:sz w:val="24"/>
          <w:lang w:eastAsia="en-IN"/>
        </w:rPr>
        <w:t xml:space="preserve">which is </w:t>
      </w:r>
      <w:r w:rsidRPr="00D2250B">
        <w:rPr>
          <w:rFonts w:ascii="Times New Roman" w:eastAsia="ヒラギノ角ゴ Pro W3" w:hAnsi="Times New Roman"/>
          <w:color w:val="000000"/>
          <w:sz w:val="24"/>
          <w:lang w:eastAsia="en-IN"/>
        </w:rPr>
        <w:t>responsible for the management and central register of government land and payment of land taxes.</w:t>
      </w:r>
      <w:r>
        <w:rPr>
          <w:rFonts w:ascii="Times New Roman" w:eastAsia="ヒラギノ角ゴ Pro W3" w:hAnsi="Times New Roman"/>
          <w:color w:val="000000"/>
          <w:sz w:val="24"/>
          <w:lang w:eastAsia="en-IN"/>
        </w:rPr>
        <w:t xml:space="preserve"> </w:t>
      </w:r>
      <w:r w:rsidRPr="00D2250B">
        <w:rPr>
          <w:rFonts w:ascii="Times New Roman" w:eastAsia="ヒラギノ角ゴ Pro W3" w:hAnsi="Times New Roman"/>
          <w:color w:val="000000"/>
          <w:sz w:val="24"/>
          <w:lang w:eastAsia="en-IN"/>
        </w:rPr>
        <w:t xml:space="preserve"> Reports are supposed to be submitted annually at the end of the fiscal year and audited and physical inventory is the responsibility of the management of each entity. Valuation is made only at the time of transfer.</w:t>
      </w:r>
      <w:r>
        <w:rPr>
          <w:rFonts w:ascii="Times New Roman" w:eastAsia="ヒラギノ角ゴ Pro W3" w:hAnsi="Times New Roman"/>
          <w:color w:val="000000"/>
          <w:sz w:val="24"/>
          <w:lang w:eastAsia="en-IN"/>
        </w:rPr>
        <w:t xml:space="preserve">  </w:t>
      </w:r>
      <w:r w:rsidRPr="00D2250B">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 xml:space="preserve"> </w:t>
      </w:r>
    </w:p>
    <w:p w14:paraId="760A1CE2" w14:textId="77777777" w:rsidR="007518E4" w:rsidRPr="00D2250B"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The State Assets Department at MoF is responsible for the consolidation of fixed and immovable state assets fully owned by the government based on information reported by ministries, provinces and statutory funds maintained in hard-copy format.</w:t>
      </w:r>
      <w:r w:rsidRPr="00D2250B">
        <w:rPr>
          <w:rFonts w:ascii="Times New Roman" w:eastAsia="ヒラギノ角ゴ Pro W3" w:hAnsi="Times New Roman"/>
          <w:color w:val="000000"/>
          <w:sz w:val="24"/>
          <w:lang w:eastAsia="en-IN"/>
        </w:rPr>
        <w:t xml:space="preserve"> The</w:t>
      </w:r>
      <w:r>
        <w:rPr>
          <w:rFonts w:ascii="Times New Roman" w:eastAsia="ヒラギノ角ゴ Pro W3" w:hAnsi="Times New Roman"/>
          <w:color w:val="000000"/>
          <w:sz w:val="24"/>
          <w:lang w:eastAsia="en-IN"/>
        </w:rPr>
        <w:t>se</w:t>
      </w:r>
      <w:r w:rsidRPr="00D2250B">
        <w:rPr>
          <w:rFonts w:ascii="Times New Roman" w:eastAsia="ヒラギノ角ゴ Pro W3" w:hAnsi="Times New Roman"/>
          <w:color w:val="000000"/>
          <w:sz w:val="24"/>
          <w:lang w:eastAsia="en-IN"/>
        </w:rPr>
        <w:t xml:space="preserve"> records are decentralized and held manually, mainly for fixed movable assets such as vehicle</w:t>
      </w:r>
      <w:r>
        <w:rPr>
          <w:rFonts w:ascii="Times New Roman" w:eastAsia="ヒラギノ角ゴ Pro W3" w:hAnsi="Times New Roman"/>
          <w:color w:val="000000"/>
          <w:sz w:val="24"/>
          <w:lang w:eastAsia="en-IN"/>
        </w:rPr>
        <w:t>s</w:t>
      </w:r>
      <w:r w:rsidRPr="00D2250B">
        <w:rPr>
          <w:rFonts w:ascii="Times New Roman" w:eastAsia="ヒラギノ角ゴ Pro W3" w:hAnsi="Times New Roman"/>
          <w:color w:val="000000"/>
          <w:sz w:val="24"/>
          <w:lang w:eastAsia="en-IN"/>
        </w:rPr>
        <w:t xml:space="preserve">, IT and specialized equipment. </w:t>
      </w:r>
      <w:r>
        <w:rPr>
          <w:rFonts w:ascii="Times New Roman" w:eastAsia="ヒラギノ角ゴ Pro W3" w:hAnsi="Times New Roman"/>
          <w:color w:val="000000"/>
          <w:sz w:val="24"/>
          <w:lang w:eastAsia="en-IN"/>
        </w:rPr>
        <w:t xml:space="preserve"> </w:t>
      </w:r>
      <w:r w:rsidRPr="00D2250B">
        <w:rPr>
          <w:rFonts w:ascii="Times New Roman" w:eastAsia="ヒラギノ角ゴ Pro W3" w:hAnsi="Times New Roman"/>
          <w:color w:val="000000"/>
          <w:sz w:val="24"/>
          <w:lang w:eastAsia="en-IN"/>
        </w:rPr>
        <w:t xml:space="preserve">There is no control over the systematic recording and accounting at each level. Ministries such as Public Works, Ministry of Education or Ministry of Health maintain registers updated annually and keeps track of equipment items through inventory-based controls but record-keeping in many other government entities is only partial or </w:t>
      </w:r>
      <w:r>
        <w:rPr>
          <w:rFonts w:ascii="Times New Roman" w:eastAsia="ヒラギノ角ゴ Pro W3" w:hAnsi="Times New Roman"/>
          <w:color w:val="000000"/>
          <w:sz w:val="24"/>
          <w:lang w:eastAsia="en-IN"/>
        </w:rPr>
        <w:t xml:space="preserve">even </w:t>
      </w:r>
      <w:r w:rsidRPr="00D2250B">
        <w:rPr>
          <w:rFonts w:ascii="Times New Roman" w:eastAsia="ヒラギノ角ゴ Pro W3" w:hAnsi="Times New Roman"/>
          <w:color w:val="000000"/>
          <w:sz w:val="24"/>
          <w:lang w:eastAsia="en-IN"/>
        </w:rPr>
        <w:t xml:space="preserve">non-existent. </w:t>
      </w:r>
    </w:p>
    <w:p w14:paraId="7D02F2FF" w14:textId="77777777" w:rsidR="007518E4" w:rsidRPr="00D2250B"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Stricter rules exist for donor-funded assets recorded separately and reported to the External Finance department as part of the project or loan agreement</w:t>
      </w:r>
      <w:r w:rsidR="00FD748F">
        <w:rPr>
          <w:rFonts w:ascii="Times New Roman" w:eastAsia="ヒラギノ角ゴ Pro W3" w:hAnsi="Times New Roman"/>
          <w:b/>
          <w:color w:val="000000"/>
          <w:sz w:val="24"/>
          <w:lang w:eastAsia="en-IN"/>
        </w:rPr>
        <w:t xml:space="preserve">. </w:t>
      </w:r>
      <w:r w:rsidR="00FD748F" w:rsidRPr="00FD748F">
        <w:rPr>
          <w:rFonts w:ascii="Times New Roman" w:eastAsia="ヒラギノ角ゴ Pro W3" w:hAnsi="Times New Roman"/>
          <w:color w:val="000000"/>
          <w:sz w:val="24"/>
          <w:lang w:eastAsia="en-IN"/>
        </w:rPr>
        <w:t>Such assets are</w:t>
      </w:r>
      <w:r w:rsidRPr="00D2250B">
        <w:rPr>
          <w:rFonts w:ascii="Times New Roman" w:eastAsia="ヒラギノ角ゴ Pro W3" w:hAnsi="Times New Roman"/>
          <w:color w:val="000000"/>
          <w:sz w:val="24"/>
          <w:lang w:eastAsia="en-IN"/>
        </w:rPr>
        <w:t xml:space="preserve"> usually transferred to the implementing ministry at the end of the project.</w:t>
      </w:r>
    </w:p>
    <w:p w14:paraId="75312C3A" w14:textId="77777777" w:rsidR="007518E4"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Non-financial assets management is decentralized to each government entity using the assets.</w:t>
      </w:r>
      <w:r w:rsidRPr="00CA1E8D">
        <w:rPr>
          <w:rFonts w:ascii="Times New Roman" w:eastAsia="ヒラギノ角ゴ Pro W3" w:hAnsi="Times New Roman"/>
          <w:color w:val="000000"/>
          <w:sz w:val="24"/>
          <w:lang w:eastAsia="en-IN"/>
        </w:rPr>
        <w:t xml:space="preserve"> Major ministries (</w:t>
      </w:r>
      <w:r>
        <w:rPr>
          <w:rFonts w:ascii="Times New Roman" w:eastAsia="ヒラギノ角ゴ Pro W3" w:hAnsi="Times New Roman"/>
          <w:color w:val="000000"/>
          <w:sz w:val="24"/>
          <w:lang w:eastAsia="en-IN"/>
        </w:rPr>
        <w:t xml:space="preserve">such as </w:t>
      </w:r>
      <w:r w:rsidRPr="00CA1E8D">
        <w:rPr>
          <w:rFonts w:ascii="Times New Roman" w:eastAsia="ヒラギノ角ゴ Pro W3" w:hAnsi="Times New Roman"/>
          <w:color w:val="000000"/>
          <w:sz w:val="24"/>
          <w:lang w:eastAsia="en-IN"/>
        </w:rPr>
        <w:t>E</w:t>
      </w:r>
      <w:r>
        <w:rPr>
          <w:rFonts w:ascii="Times New Roman" w:eastAsia="ヒラギノ角ゴ Pro W3" w:hAnsi="Times New Roman"/>
          <w:color w:val="000000"/>
          <w:sz w:val="24"/>
          <w:lang w:eastAsia="en-IN"/>
        </w:rPr>
        <w:t>ducation, Health, and Public Works)</w:t>
      </w:r>
      <w:r w:rsidRPr="00CA1E8D">
        <w:rPr>
          <w:rFonts w:ascii="Times New Roman" w:eastAsia="ヒラギノ角ゴ Pro W3" w:hAnsi="Times New Roman"/>
          <w:color w:val="000000"/>
          <w:sz w:val="24"/>
          <w:lang w:eastAsia="en-IN"/>
        </w:rPr>
        <w:t xml:space="preserve"> maintain a manual registry with records of entries o</w:t>
      </w:r>
      <w:r>
        <w:rPr>
          <w:rFonts w:ascii="Times New Roman" w:eastAsia="ヒラギノ角ゴ Pro W3" w:hAnsi="Times New Roman"/>
          <w:color w:val="000000"/>
          <w:sz w:val="24"/>
          <w:lang w:eastAsia="en-IN"/>
        </w:rPr>
        <w:t>f mobile fixed assets and carry</w:t>
      </w:r>
      <w:r w:rsidRPr="00CA1E8D">
        <w:rPr>
          <w:rFonts w:ascii="Times New Roman" w:eastAsia="ヒラギノ角ゴ Pro W3" w:hAnsi="Times New Roman"/>
          <w:color w:val="000000"/>
          <w:sz w:val="24"/>
          <w:lang w:eastAsia="en-IN"/>
        </w:rPr>
        <w:t>-out periodic inventories but there is no consistent methodology for</w:t>
      </w:r>
      <w:r w:rsidR="00F70FF1">
        <w:rPr>
          <w:rFonts w:ascii="Times New Roman" w:eastAsia="ヒラギノ角ゴ Pro W3" w:hAnsi="Times New Roman"/>
          <w:color w:val="000000"/>
          <w:sz w:val="24"/>
          <w:lang w:eastAsia="en-IN"/>
        </w:rPr>
        <w:t xml:space="preserve"> the valuation of all assets. </w:t>
      </w:r>
      <w:r w:rsidRPr="00CA1E8D">
        <w:rPr>
          <w:rFonts w:ascii="Times New Roman" w:eastAsia="ヒラギノ角ゴ Pro W3" w:hAnsi="Times New Roman"/>
          <w:color w:val="000000"/>
          <w:sz w:val="24"/>
          <w:lang w:eastAsia="en-IN"/>
        </w:rPr>
        <w:t xml:space="preserve">Other records of non-financial assets are fragmented and incomplete at different level and there is neither consolidation nor publication of comprehensive information on holdings of any type of non-financial assets: Score D. </w:t>
      </w:r>
    </w:p>
    <w:p w14:paraId="7A7A9631" w14:textId="77777777" w:rsidR="007518E4" w:rsidRPr="000721B3" w:rsidRDefault="007518E4" w:rsidP="00FD748F">
      <w:pPr>
        <w:pStyle w:val="BodyText"/>
        <w:spacing w:after="240"/>
        <w:ind w:left="0"/>
        <w:rPr>
          <w:rFonts w:ascii="Times New Roman" w:hAnsi="Times New Roman"/>
          <w:b/>
          <w:color w:val="FFC000"/>
          <w:sz w:val="24"/>
        </w:rPr>
      </w:pPr>
      <w:r w:rsidRPr="000721B3">
        <w:rPr>
          <w:rFonts w:ascii="Times New Roman" w:hAnsi="Times New Roman"/>
          <w:b/>
          <w:color w:val="FFC000"/>
          <w:sz w:val="24"/>
        </w:rPr>
        <w:t>12.3 Transparency of assert disposal</w:t>
      </w:r>
    </w:p>
    <w:p w14:paraId="4BE0D002" w14:textId="77777777" w:rsidR="007518E4"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The disposal or transfer of state assets is governed by section 4 of the State Assets Law and assigned to relevant committees at central and local government level.</w:t>
      </w:r>
      <w:r>
        <w:rPr>
          <w:rFonts w:ascii="Times New Roman" w:eastAsia="ヒラギノ角ゴ Pro W3" w:hAnsi="Times New Roman"/>
          <w:color w:val="000000"/>
          <w:sz w:val="24"/>
          <w:lang w:eastAsia="en-IN"/>
        </w:rPr>
        <w:t xml:space="preserve">  However</w:t>
      </w:r>
      <w:r w:rsidR="00921730">
        <w:rPr>
          <w:rFonts w:ascii="Times New Roman" w:eastAsia="ヒラギノ角ゴ Pro W3" w:hAnsi="Times New Roman"/>
          <w:color w:val="000000"/>
          <w:sz w:val="24"/>
          <w:lang w:eastAsia="en-IN"/>
        </w:rPr>
        <w:t>,</w:t>
      </w:r>
      <w:r>
        <w:rPr>
          <w:rFonts w:ascii="Times New Roman" w:eastAsia="ヒラギノ角ゴ Pro W3" w:hAnsi="Times New Roman"/>
          <w:color w:val="000000"/>
          <w:sz w:val="24"/>
          <w:lang w:eastAsia="en-IN"/>
        </w:rPr>
        <w:t xml:space="preserve"> the </w:t>
      </w:r>
      <w:r w:rsidRPr="000721B3">
        <w:rPr>
          <w:rFonts w:ascii="Times New Roman" w:eastAsia="ヒラギノ角ゴ Pro W3" w:hAnsi="Times New Roman"/>
          <w:color w:val="000000"/>
          <w:sz w:val="24"/>
          <w:lang w:eastAsia="en-IN"/>
        </w:rPr>
        <w:t xml:space="preserve">full enforcement of the Law has yet to </w:t>
      </w:r>
      <w:r>
        <w:rPr>
          <w:rFonts w:ascii="Times New Roman" w:eastAsia="ヒラギノ角ゴ Pro W3" w:hAnsi="Times New Roman"/>
          <w:color w:val="000000"/>
          <w:sz w:val="24"/>
          <w:lang w:eastAsia="en-IN"/>
        </w:rPr>
        <w:t>be implemented and the l</w:t>
      </w:r>
      <w:r w:rsidRPr="000721B3">
        <w:rPr>
          <w:rFonts w:ascii="Times New Roman" w:eastAsia="ヒラギノ角ゴ Pro W3" w:hAnsi="Times New Roman"/>
          <w:color w:val="000000"/>
          <w:sz w:val="24"/>
          <w:lang w:eastAsia="en-IN"/>
        </w:rPr>
        <w:t>egal provisions on disposal of public assets need</w:t>
      </w:r>
      <w:r>
        <w:rPr>
          <w:rFonts w:ascii="Times New Roman" w:eastAsia="ヒラギノ角ゴ Pro W3" w:hAnsi="Times New Roman"/>
          <w:color w:val="000000"/>
          <w:sz w:val="24"/>
          <w:lang w:eastAsia="en-IN"/>
        </w:rPr>
        <w:t>s</w:t>
      </w:r>
      <w:r w:rsidRPr="000721B3">
        <w:rPr>
          <w:rFonts w:ascii="Times New Roman" w:eastAsia="ヒラギノ角ゴ Pro W3" w:hAnsi="Times New Roman"/>
          <w:color w:val="000000"/>
          <w:sz w:val="24"/>
          <w:lang w:eastAsia="en-IN"/>
        </w:rPr>
        <w:t xml:space="preserve"> to be aligned with other laws such as the new Law on public procurement. </w:t>
      </w:r>
      <w:r>
        <w:rPr>
          <w:rFonts w:ascii="Times New Roman" w:eastAsia="ヒラギノ角ゴ Pro W3" w:hAnsi="Times New Roman"/>
          <w:color w:val="000000"/>
          <w:sz w:val="24"/>
          <w:lang w:eastAsia="en-IN"/>
        </w:rPr>
        <w:t xml:space="preserve"> </w:t>
      </w:r>
    </w:p>
    <w:p w14:paraId="0A98C076" w14:textId="77777777" w:rsidR="007518E4" w:rsidRPr="0019477B"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Transfers and disposals of assets are managed at the decentralized level</w:t>
      </w:r>
      <w:r w:rsidR="00F70FF1">
        <w:rPr>
          <w:rFonts w:ascii="Times New Roman" w:eastAsia="ヒラギノ角ゴ Pro W3" w:hAnsi="Times New Roman"/>
          <w:color w:val="000000"/>
          <w:sz w:val="24"/>
          <w:lang w:eastAsia="en-IN"/>
        </w:rPr>
        <w:t xml:space="preserve">. </w:t>
      </w:r>
      <w:proofErr w:type="gramStart"/>
      <w:r w:rsidR="00FD748F">
        <w:rPr>
          <w:rFonts w:ascii="Times New Roman" w:eastAsia="ヒラギノ角ゴ Pro W3" w:hAnsi="Times New Roman"/>
          <w:color w:val="000000"/>
          <w:sz w:val="24"/>
          <w:lang w:eastAsia="en-IN"/>
        </w:rPr>
        <w:t>I</w:t>
      </w:r>
      <w:r w:rsidRPr="0019477B">
        <w:rPr>
          <w:rFonts w:ascii="Times New Roman" w:eastAsia="ヒラギノ角ゴ Pro W3" w:hAnsi="Times New Roman"/>
          <w:color w:val="000000"/>
          <w:sz w:val="24"/>
          <w:lang w:eastAsia="en-IN"/>
        </w:rPr>
        <w:t>n light of</w:t>
      </w:r>
      <w:proofErr w:type="gramEnd"/>
      <w:r w:rsidRPr="0019477B">
        <w:rPr>
          <w:rFonts w:ascii="Times New Roman" w:eastAsia="ヒラギノ角ゴ Pro W3" w:hAnsi="Times New Roman"/>
          <w:color w:val="000000"/>
          <w:sz w:val="24"/>
          <w:lang w:eastAsia="en-IN"/>
        </w:rPr>
        <w:t xml:space="preserve"> the absence of systematic registers and valuation for most of the non-financial assets, there is no system to identify and value the assets being disposed of and income generated by the public </w:t>
      </w:r>
      <w:r w:rsidR="00F70FF1">
        <w:rPr>
          <w:rFonts w:ascii="Times New Roman" w:eastAsia="ヒラギノ角ゴ Pro W3" w:hAnsi="Times New Roman"/>
          <w:color w:val="000000"/>
          <w:sz w:val="24"/>
          <w:lang w:eastAsia="en-IN"/>
        </w:rPr>
        <w:t xml:space="preserve">auction of government assets. </w:t>
      </w:r>
      <w:r w:rsidRPr="0019477B">
        <w:rPr>
          <w:rFonts w:ascii="Times New Roman" w:eastAsia="ヒラギノ角ゴ Pro W3" w:hAnsi="Times New Roman"/>
          <w:color w:val="000000"/>
          <w:sz w:val="24"/>
          <w:lang w:eastAsia="en-IN"/>
        </w:rPr>
        <w:t>For example</w:t>
      </w:r>
      <w:r w:rsidR="00F70FF1">
        <w:rPr>
          <w:rFonts w:ascii="Times New Roman" w:eastAsia="ヒラギノ角ゴ Pro W3" w:hAnsi="Times New Roman"/>
          <w:color w:val="000000"/>
          <w:sz w:val="24"/>
          <w:lang w:eastAsia="en-IN"/>
        </w:rPr>
        <w:t>,</w:t>
      </w:r>
      <w:r w:rsidRPr="0019477B">
        <w:rPr>
          <w:rFonts w:ascii="Times New Roman" w:eastAsia="ヒラギノ角ゴ Pro W3" w:hAnsi="Times New Roman"/>
          <w:color w:val="000000"/>
          <w:sz w:val="24"/>
          <w:lang w:eastAsia="en-IN"/>
        </w:rPr>
        <w:t xml:space="preserve"> the disposal of government luxury cars following a specific PM decree in 2016 was managed by ad hoc committees established at the line ministry level. A current practice to transfer assets under the custody of civil servants as a retirement benefit is managed and controlled by Ministry of Labor and Ministry of Finance </w:t>
      </w:r>
      <w:r w:rsidRPr="0019477B">
        <w:rPr>
          <w:rFonts w:ascii="Times New Roman" w:eastAsia="ヒラギノ角ゴ Pro W3" w:hAnsi="Times New Roman"/>
          <w:color w:val="000000"/>
          <w:sz w:val="24"/>
          <w:lang w:eastAsia="en-IN"/>
        </w:rPr>
        <w:lastRenderedPageBreak/>
        <w:t>(under Decree 272 and 343).  Land transfers represent a major part of the non-financial asset sales recorded in the state budget for a total of 5 percent o</w:t>
      </w:r>
      <w:r w:rsidR="00F70FF1">
        <w:rPr>
          <w:rFonts w:ascii="Times New Roman" w:eastAsia="ヒラギノ角ゴ Pro W3" w:hAnsi="Times New Roman"/>
          <w:color w:val="000000"/>
          <w:sz w:val="24"/>
          <w:lang w:eastAsia="en-IN"/>
        </w:rPr>
        <w:t xml:space="preserve">f total revenue in 2015/2016. </w:t>
      </w:r>
      <w:r w:rsidRPr="0019477B">
        <w:rPr>
          <w:rFonts w:ascii="Times New Roman" w:eastAsia="ヒラギノ角ゴ Pro W3" w:hAnsi="Times New Roman"/>
          <w:color w:val="000000"/>
          <w:sz w:val="24"/>
          <w:lang w:eastAsia="en-IN"/>
        </w:rPr>
        <w:t xml:space="preserve">In general, information on transfers and disposals is not included in budget documents, financial reports or other reports. </w:t>
      </w:r>
    </w:p>
    <w:p w14:paraId="211C1947" w14:textId="77777777" w:rsidR="007518E4" w:rsidRPr="000721B3" w:rsidRDefault="007518E4" w:rsidP="008037D9">
      <w:pPr>
        <w:pStyle w:val="ListParagraph"/>
        <w:numPr>
          <w:ilvl w:val="0"/>
          <w:numId w:val="62"/>
        </w:numPr>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Transfers and disposal of nonfinancial assets is covered by standing rules on asset disposal</w:t>
      </w:r>
      <w:r w:rsidR="00FD748F">
        <w:rPr>
          <w:rFonts w:ascii="Times New Roman" w:eastAsia="ヒラギノ角ゴ Pro W3" w:hAnsi="Times New Roman"/>
          <w:b/>
          <w:color w:val="000000"/>
          <w:sz w:val="24"/>
          <w:lang w:eastAsia="en-IN"/>
        </w:rPr>
        <w:t>.</w:t>
      </w:r>
      <w:r w:rsidR="00FD748F">
        <w:rPr>
          <w:rFonts w:ascii="Times New Roman" w:eastAsia="ヒラギノ角ゴ Pro W3" w:hAnsi="Times New Roman"/>
          <w:color w:val="000000"/>
          <w:sz w:val="24"/>
          <w:lang w:eastAsia="en-IN"/>
        </w:rPr>
        <w:t xml:space="preserve"> T</w:t>
      </w:r>
      <w:r w:rsidRPr="000721B3">
        <w:rPr>
          <w:rFonts w:ascii="Times New Roman" w:eastAsia="ヒラギノ角ゴ Pro W3" w:hAnsi="Times New Roman"/>
          <w:color w:val="000000"/>
          <w:sz w:val="24"/>
          <w:lang w:eastAsia="en-IN"/>
        </w:rPr>
        <w:t xml:space="preserve">he provisions have yet to be enforced and there is no consolidated information available on such disposals, including the information of both acquisition and disposal values: Score D. </w:t>
      </w:r>
    </w:p>
    <w:p w14:paraId="4E028B4A" w14:textId="77777777" w:rsidR="007518E4" w:rsidRPr="002C46B4" w:rsidRDefault="007518E4" w:rsidP="00FD748F">
      <w:pPr>
        <w:pStyle w:val="Heading3"/>
        <w:spacing w:after="240"/>
        <w:ind w:left="0"/>
        <w:rPr>
          <w:rFonts w:ascii="Times New Roman" w:eastAsia="Calibri" w:hAnsi="Times New Roman"/>
          <w:b w:val="0"/>
          <w:bCs w:val="0"/>
          <w:color w:val="F9B416"/>
          <w:spacing w:val="-1"/>
          <w:szCs w:val="28"/>
        </w:rPr>
      </w:pPr>
      <w:bookmarkStart w:id="65" w:name="_Toc518901796"/>
      <w:bookmarkStart w:id="66" w:name="_Toc4148991"/>
      <w:r w:rsidRPr="002C46B4">
        <w:rPr>
          <w:rFonts w:ascii="Times New Roman" w:eastAsia="Calibri" w:hAnsi="Times New Roman"/>
          <w:color w:val="F9B416"/>
          <w:spacing w:val="-1"/>
          <w:szCs w:val="28"/>
        </w:rPr>
        <w:t xml:space="preserve">PI-13. Debt </w:t>
      </w:r>
      <w:r>
        <w:rPr>
          <w:rFonts w:ascii="Times New Roman" w:eastAsia="Calibri" w:hAnsi="Times New Roman"/>
          <w:color w:val="F9B416"/>
          <w:spacing w:val="-1"/>
          <w:szCs w:val="28"/>
        </w:rPr>
        <w:t>m</w:t>
      </w:r>
      <w:r w:rsidRPr="002C46B4">
        <w:rPr>
          <w:rFonts w:ascii="Times New Roman" w:eastAsia="Calibri" w:hAnsi="Times New Roman"/>
          <w:color w:val="F9B416"/>
          <w:spacing w:val="-1"/>
          <w:szCs w:val="28"/>
        </w:rPr>
        <w:t>anagement</w:t>
      </w:r>
      <w:bookmarkEnd w:id="65"/>
      <w:bookmarkEnd w:id="66"/>
    </w:p>
    <w:p w14:paraId="52A66F32" w14:textId="77777777" w:rsidR="007518E4" w:rsidRDefault="007518E4" w:rsidP="008037D9">
      <w:pPr>
        <w:pStyle w:val="ListParagraph"/>
        <w:numPr>
          <w:ilvl w:val="0"/>
          <w:numId w:val="62"/>
        </w:numPr>
        <w:spacing w:after="240"/>
        <w:contextualSpacing w:val="0"/>
        <w:rPr>
          <w:rFonts w:ascii="Times New Roman" w:hAnsi="Times New Roman"/>
          <w:sz w:val="24"/>
        </w:rPr>
      </w:pPr>
      <w:r w:rsidRPr="00FD748F">
        <w:rPr>
          <w:rFonts w:ascii="Times New Roman" w:hAnsi="Times New Roman"/>
          <w:b/>
          <w:sz w:val="24"/>
        </w:rPr>
        <w:t xml:space="preserve">This indicator assesses the management of domestic and foreign debt and guarantees. </w:t>
      </w:r>
      <w:r w:rsidRPr="00AC7EE2">
        <w:rPr>
          <w:rFonts w:ascii="Times New Roman" w:hAnsi="Times New Roman"/>
          <w:sz w:val="24"/>
        </w:rPr>
        <w:t>It seeks to identify whether satisfactory management practices, records and controls are in place to ensure efficie</w:t>
      </w:r>
      <w:r w:rsidR="00F70FF1">
        <w:rPr>
          <w:rFonts w:ascii="Times New Roman" w:hAnsi="Times New Roman"/>
          <w:sz w:val="24"/>
        </w:rPr>
        <w:t xml:space="preserve">nt and effective arrangements. </w:t>
      </w:r>
      <w:r w:rsidRPr="00AC7EE2">
        <w:rPr>
          <w:rFonts w:ascii="Times New Roman" w:hAnsi="Times New Roman"/>
          <w:sz w:val="24"/>
        </w:rPr>
        <w:t xml:space="preserve">The assessment is </w:t>
      </w:r>
      <w:r>
        <w:rPr>
          <w:rFonts w:ascii="Times New Roman" w:hAnsi="Times New Roman"/>
          <w:sz w:val="24"/>
        </w:rPr>
        <w:t>evaluated</w:t>
      </w:r>
      <w:r w:rsidRPr="00AC7EE2">
        <w:rPr>
          <w:rFonts w:ascii="Times New Roman" w:hAnsi="Times New Roman"/>
          <w:sz w:val="24"/>
        </w:rPr>
        <w:t xml:space="preserve">, for dimension 13.1 at time of assessment.  For dimension 13.2, </w:t>
      </w:r>
      <w:r>
        <w:rPr>
          <w:rFonts w:ascii="Times New Roman" w:hAnsi="Times New Roman"/>
          <w:sz w:val="24"/>
        </w:rPr>
        <w:t xml:space="preserve">it is based on the </w:t>
      </w:r>
      <w:r w:rsidRPr="00AC7EE2">
        <w:rPr>
          <w:rFonts w:ascii="Times New Roman" w:hAnsi="Times New Roman"/>
          <w:sz w:val="24"/>
        </w:rPr>
        <w:t xml:space="preserve">last completed fiscal year, </w:t>
      </w:r>
      <w:r>
        <w:rPr>
          <w:rFonts w:ascii="Times New Roman" w:hAnsi="Times New Roman"/>
          <w:sz w:val="24"/>
        </w:rPr>
        <w:t>2016/17</w:t>
      </w:r>
      <w:r w:rsidRPr="00AC7EE2">
        <w:rPr>
          <w:rFonts w:ascii="Times New Roman" w:hAnsi="Times New Roman"/>
          <w:sz w:val="24"/>
        </w:rPr>
        <w:t xml:space="preserve"> and for dimension 13.3, at time of assessment, with reference to the last three completed fiscal years.  </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8"/>
        <w:gridCol w:w="848"/>
        <w:gridCol w:w="5015"/>
      </w:tblGrid>
      <w:tr w:rsidR="007518E4" w:rsidRPr="00930334" w14:paraId="0E631027" w14:textId="77777777" w:rsidTr="00F70FF1">
        <w:trPr>
          <w:trHeight w:val="397"/>
          <w:jc w:val="center"/>
        </w:trPr>
        <w:tc>
          <w:tcPr>
            <w:tcW w:w="17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04BEC8" w14:textId="77777777" w:rsidR="007518E4" w:rsidRPr="00382CA8" w:rsidRDefault="007518E4" w:rsidP="00F70FF1">
            <w:pPr>
              <w:spacing w:before="0"/>
              <w:ind w:hanging="587"/>
              <w:jc w:val="center"/>
              <w:rPr>
                <w:rFonts w:ascii="Times New Roman" w:hAnsi="Times New Roman"/>
              </w:rPr>
            </w:pPr>
            <w:r w:rsidRPr="00382CA8">
              <w:rPr>
                <w:rFonts w:ascii="Times New Roman" w:hAnsi="Times New Roman"/>
              </w:rPr>
              <w:t>Indicator/Dimension</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17F4E5" w14:textId="77777777" w:rsidR="007518E4" w:rsidRPr="00382CA8" w:rsidRDefault="007518E4" w:rsidP="00F70FF1">
            <w:pPr>
              <w:spacing w:before="0"/>
              <w:ind w:left="0" w:hanging="210"/>
              <w:jc w:val="center"/>
              <w:rPr>
                <w:rFonts w:ascii="Times New Roman" w:hAnsi="Times New Roman"/>
              </w:rPr>
            </w:pPr>
            <w:r w:rsidRPr="00382CA8">
              <w:rPr>
                <w:rFonts w:ascii="Times New Roman" w:hAnsi="Times New Roman"/>
              </w:rPr>
              <w:t>Score</w:t>
            </w:r>
          </w:p>
        </w:tc>
        <w:tc>
          <w:tcPr>
            <w:tcW w:w="28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1AC0CC" w14:textId="77777777" w:rsidR="007518E4" w:rsidRPr="00382CA8" w:rsidRDefault="007518E4" w:rsidP="00F70FF1">
            <w:pPr>
              <w:spacing w:before="0"/>
              <w:ind w:hanging="587"/>
              <w:jc w:val="center"/>
              <w:rPr>
                <w:rFonts w:ascii="Times New Roman" w:hAnsi="Times New Roman"/>
              </w:rPr>
            </w:pPr>
            <w:r w:rsidRPr="00382CA8">
              <w:rPr>
                <w:rFonts w:ascii="Times New Roman" w:hAnsi="Times New Roman"/>
              </w:rPr>
              <w:t>Brief Explanation</w:t>
            </w:r>
          </w:p>
        </w:tc>
      </w:tr>
      <w:tr w:rsidR="007518E4" w:rsidRPr="00930334" w14:paraId="6AC1D72F" w14:textId="77777777" w:rsidTr="00F70FF1">
        <w:trPr>
          <w:trHeight w:val="647"/>
          <w:jc w:val="center"/>
        </w:trPr>
        <w:tc>
          <w:tcPr>
            <w:tcW w:w="1710" w:type="pct"/>
            <w:tcBorders>
              <w:top w:val="single" w:sz="4" w:space="0" w:color="auto"/>
              <w:left w:val="single" w:sz="4" w:space="0" w:color="auto"/>
              <w:bottom w:val="single" w:sz="4" w:space="0" w:color="auto"/>
              <w:right w:val="single" w:sz="4" w:space="0" w:color="auto"/>
            </w:tcBorders>
            <w:vAlign w:val="center"/>
            <w:hideMark/>
          </w:tcPr>
          <w:p w14:paraId="096F6AEF" w14:textId="77777777" w:rsidR="007518E4" w:rsidRPr="00382CA8" w:rsidRDefault="007518E4" w:rsidP="00F70FF1">
            <w:pPr>
              <w:spacing w:before="0"/>
              <w:ind w:left="0"/>
              <w:jc w:val="left"/>
              <w:rPr>
                <w:rFonts w:ascii="Times New Roman" w:hAnsi="Times New Roman"/>
              </w:rPr>
            </w:pPr>
            <w:r w:rsidRPr="00382CA8">
              <w:rPr>
                <w:rFonts w:ascii="Times New Roman" w:hAnsi="Times New Roman"/>
                <w:bCs/>
              </w:rPr>
              <w:t xml:space="preserve">PI-13 Debt Management </w:t>
            </w:r>
          </w:p>
        </w:tc>
        <w:tc>
          <w:tcPr>
            <w:tcW w:w="476" w:type="pct"/>
            <w:tcBorders>
              <w:top w:val="single" w:sz="4" w:space="0" w:color="auto"/>
              <w:left w:val="single" w:sz="4" w:space="0" w:color="auto"/>
              <w:bottom w:val="single" w:sz="4" w:space="0" w:color="auto"/>
              <w:right w:val="single" w:sz="4" w:space="0" w:color="auto"/>
            </w:tcBorders>
            <w:vAlign w:val="center"/>
            <w:hideMark/>
          </w:tcPr>
          <w:p w14:paraId="1266003C" w14:textId="77777777" w:rsidR="007518E4" w:rsidRPr="00382CA8" w:rsidRDefault="007518E4" w:rsidP="00FD748F">
            <w:pPr>
              <w:spacing w:before="0"/>
              <w:ind w:left="0"/>
              <w:jc w:val="center"/>
              <w:rPr>
                <w:rFonts w:ascii="Times New Roman" w:hAnsi="Times New Roman"/>
              </w:rPr>
            </w:pPr>
            <w:r w:rsidRPr="00382CA8">
              <w:rPr>
                <w:rFonts w:ascii="Times New Roman" w:hAnsi="Times New Roman"/>
              </w:rPr>
              <w:t>D</w:t>
            </w:r>
            <w:r w:rsidR="005E4DBA">
              <w:rPr>
                <w:rFonts w:ascii="Times New Roman" w:hAnsi="Times New Roman"/>
              </w:rPr>
              <w:t>+</w:t>
            </w:r>
          </w:p>
        </w:tc>
        <w:tc>
          <w:tcPr>
            <w:tcW w:w="2815" w:type="pct"/>
            <w:tcBorders>
              <w:top w:val="single" w:sz="4" w:space="0" w:color="auto"/>
              <w:left w:val="single" w:sz="4" w:space="0" w:color="auto"/>
              <w:bottom w:val="single" w:sz="4" w:space="0" w:color="auto"/>
              <w:right w:val="single" w:sz="4" w:space="0" w:color="auto"/>
            </w:tcBorders>
            <w:vAlign w:val="center"/>
            <w:hideMark/>
          </w:tcPr>
          <w:p w14:paraId="6E23B41E" w14:textId="77777777" w:rsidR="007518E4" w:rsidRPr="00392D53" w:rsidRDefault="007518E4" w:rsidP="00FD748F">
            <w:pPr>
              <w:spacing w:before="0"/>
              <w:ind w:left="0"/>
              <w:rPr>
                <w:rFonts w:ascii="Times New Roman" w:hAnsi="Times New Roman"/>
              </w:rPr>
            </w:pPr>
            <w:r w:rsidRPr="00392D53">
              <w:rPr>
                <w:rFonts w:ascii="Times New Roman" w:hAnsi="Times New Roman"/>
              </w:rPr>
              <w:t>Dimensions combined by Method M2</w:t>
            </w:r>
          </w:p>
        </w:tc>
      </w:tr>
      <w:tr w:rsidR="007518E4" w:rsidRPr="00930334" w14:paraId="0D586942" w14:textId="77777777" w:rsidTr="00F70FF1">
        <w:trPr>
          <w:trHeight w:val="647"/>
          <w:jc w:val="center"/>
        </w:trPr>
        <w:tc>
          <w:tcPr>
            <w:tcW w:w="1710" w:type="pct"/>
            <w:tcBorders>
              <w:top w:val="single" w:sz="4" w:space="0" w:color="auto"/>
              <w:left w:val="single" w:sz="4" w:space="0" w:color="auto"/>
              <w:bottom w:val="single" w:sz="4" w:space="0" w:color="auto"/>
              <w:right w:val="single" w:sz="4" w:space="0" w:color="auto"/>
            </w:tcBorders>
            <w:vAlign w:val="center"/>
            <w:hideMark/>
          </w:tcPr>
          <w:p w14:paraId="296922AF" w14:textId="77777777" w:rsidR="007518E4" w:rsidRPr="00382CA8" w:rsidRDefault="007518E4" w:rsidP="00F70FF1">
            <w:pPr>
              <w:spacing w:before="0"/>
              <w:ind w:left="0"/>
              <w:jc w:val="left"/>
              <w:rPr>
                <w:rFonts w:ascii="Times New Roman" w:hAnsi="Times New Roman"/>
                <w:color w:val="000000"/>
              </w:rPr>
            </w:pPr>
            <w:r w:rsidRPr="00382CA8">
              <w:rPr>
                <w:rFonts w:ascii="Times New Roman" w:hAnsi="Times New Roman"/>
                <w:color w:val="000000"/>
              </w:rPr>
              <w:t>13.1 Recording and reporting of debt and guarantees</w:t>
            </w:r>
          </w:p>
        </w:tc>
        <w:tc>
          <w:tcPr>
            <w:tcW w:w="476" w:type="pct"/>
            <w:tcBorders>
              <w:top w:val="single" w:sz="4" w:space="0" w:color="auto"/>
              <w:left w:val="single" w:sz="4" w:space="0" w:color="auto"/>
              <w:bottom w:val="single" w:sz="4" w:space="0" w:color="auto"/>
              <w:right w:val="single" w:sz="4" w:space="0" w:color="auto"/>
            </w:tcBorders>
            <w:vAlign w:val="center"/>
            <w:hideMark/>
          </w:tcPr>
          <w:p w14:paraId="416449AC" w14:textId="77777777" w:rsidR="007518E4" w:rsidRPr="00382CA8" w:rsidRDefault="007518E4" w:rsidP="00FD748F">
            <w:pPr>
              <w:spacing w:before="0"/>
              <w:ind w:left="0"/>
              <w:jc w:val="center"/>
              <w:rPr>
                <w:rFonts w:ascii="Times New Roman" w:hAnsi="Times New Roman"/>
              </w:rPr>
            </w:pPr>
            <w:r>
              <w:rPr>
                <w:rFonts w:ascii="Times New Roman" w:hAnsi="Times New Roman"/>
              </w:rPr>
              <w:t>C</w:t>
            </w:r>
          </w:p>
        </w:tc>
        <w:tc>
          <w:tcPr>
            <w:tcW w:w="2815" w:type="pct"/>
            <w:tcBorders>
              <w:top w:val="single" w:sz="4" w:space="0" w:color="auto"/>
              <w:left w:val="single" w:sz="4" w:space="0" w:color="auto"/>
              <w:bottom w:val="single" w:sz="4" w:space="0" w:color="auto"/>
              <w:right w:val="single" w:sz="4" w:space="0" w:color="auto"/>
            </w:tcBorders>
            <w:vAlign w:val="center"/>
            <w:hideMark/>
          </w:tcPr>
          <w:p w14:paraId="3F6B2ADE" w14:textId="77777777" w:rsidR="007518E4" w:rsidRPr="00392D53" w:rsidRDefault="007518E4" w:rsidP="00FD748F">
            <w:pPr>
              <w:spacing w:before="0"/>
              <w:ind w:left="0"/>
              <w:rPr>
                <w:rFonts w:ascii="Times New Roman" w:hAnsi="Times New Roman"/>
                <w:lang w:eastAsia="en-IN"/>
              </w:rPr>
            </w:pPr>
            <w:r w:rsidRPr="00392D53">
              <w:rPr>
                <w:rFonts w:ascii="Times New Roman" w:hAnsi="Times New Roman"/>
              </w:rPr>
              <w:t>External debt reports are produced on a monthly and quarterly basis and shared with the FPD providing information on composition of external debt and interest rate. Domestic debt records and guarantees have been maintained and the information on obligations and repayments is only partial.  Aggregate information on debt stock and service is included in the in-year and annual budget reports to the NA.</w:t>
            </w:r>
          </w:p>
        </w:tc>
      </w:tr>
      <w:tr w:rsidR="007518E4" w:rsidRPr="00930334" w14:paraId="21EFCDEC" w14:textId="77777777" w:rsidTr="00F70FF1">
        <w:trPr>
          <w:trHeight w:val="548"/>
          <w:jc w:val="center"/>
        </w:trPr>
        <w:tc>
          <w:tcPr>
            <w:tcW w:w="1710" w:type="pct"/>
            <w:tcBorders>
              <w:top w:val="single" w:sz="4" w:space="0" w:color="auto"/>
              <w:left w:val="single" w:sz="4" w:space="0" w:color="auto"/>
              <w:bottom w:val="single" w:sz="4" w:space="0" w:color="auto"/>
              <w:right w:val="single" w:sz="4" w:space="0" w:color="auto"/>
            </w:tcBorders>
            <w:vAlign w:val="center"/>
            <w:hideMark/>
          </w:tcPr>
          <w:p w14:paraId="13CABDF4" w14:textId="77777777" w:rsidR="007518E4" w:rsidRPr="00382CA8" w:rsidRDefault="007518E4" w:rsidP="00F70FF1">
            <w:pPr>
              <w:spacing w:before="0"/>
              <w:ind w:left="0"/>
              <w:jc w:val="left"/>
              <w:rPr>
                <w:rFonts w:ascii="Times New Roman" w:hAnsi="Times New Roman"/>
                <w:color w:val="000000"/>
              </w:rPr>
            </w:pPr>
            <w:r w:rsidRPr="00382CA8">
              <w:rPr>
                <w:rFonts w:ascii="Times New Roman" w:hAnsi="Times New Roman"/>
                <w:color w:val="000000"/>
              </w:rPr>
              <w:t xml:space="preserve">13.2 Approval of debt and guarantees </w:t>
            </w:r>
          </w:p>
        </w:tc>
        <w:tc>
          <w:tcPr>
            <w:tcW w:w="476" w:type="pct"/>
            <w:tcBorders>
              <w:top w:val="single" w:sz="4" w:space="0" w:color="auto"/>
              <w:left w:val="single" w:sz="4" w:space="0" w:color="auto"/>
              <w:bottom w:val="single" w:sz="4" w:space="0" w:color="auto"/>
              <w:right w:val="single" w:sz="4" w:space="0" w:color="auto"/>
            </w:tcBorders>
            <w:vAlign w:val="center"/>
            <w:hideMark/>
          </w:tcPr>
          <w:p w14:paraId="63E5FD39" w14:textId="77777777" w:rsidR="007518E4" w:rsidRPr="00382CA8" w:rsidRDefault="007518E4" w:rsidP="00FD748F">
            <w:pPr>
              <w:spacing w:before="0"/>
              <w:ind w:left="0"/>
              <w:jc w:val="center"/>
              <w:rPr>
                <w:rFonts w:ascii="Times New Roman" w:hAnsi="Times New Roman"/>
              </w:rPr>
            </w:pPr>
            <w:r w:rsidRPr="00382CA8">
              <w:rPr>
                <w:rFonts w:ascii="Times New Roman" w:hAnsi="Times New Roman"/>
              </w:rPr>
              <w:t>D</w:t>
            </w:r>
          </w:p>
        </w:tc>
        <w:tc>
          <w:tcPr>
            <w:tcW w:w="2815" w:type="pct"/>
            <w:tcBorders>
              <w:top w:val="single" w:sz="4" w:space="0" w:color="auto"/>
              <w:left w:val="single" w:sz="4" w:space="0" w:color="auto"/>
              <w:bottom w:val="single" w:sz="4" w:space="0" w:color="auto"/>
              <w:right w:val="single" w:sz="4" w:space="0" w:color="auto"/>
            </w:tcBorders>
            <w:vAlign w:val="center"/>
            <w:hideMark/>
          </w:tcPr>
          <w:p w14:paraId="09306DC5" w14:textId="77777777" w:rsidR="007518E4" w:rsidRPr="00F87297" w:rsidRDefault="007518E4" w:rsidP="00FD748F">
            <w:pPr>
              <w:spacing w:before="0"/>
              <w:ind w:left="0"/>
              <w:rPr>
                <w:rFonts w:ascii="Times New Roman" w:hAnsi="Times New Roman"/>
                <w:lang w:eastAsia="en-IN"/>
              </w:rPr>
            </w:pPr>
            <w:r w:rsidRPr="00F87297">
              <w:rPr>
                <w:rFonts w:ascii="Times New Roman" w:hAnsi="Times New Roman"/>
              </w:rPr>
              <w:t xml:space="preserve">The Constitution and the SBL requires contracting and reporting on all government debt and </w:t>
            </w:r>
            <w:proofErr w:type="gramStart"/>
            <w:r w:rsidRPr="00F87297">
              <w:rPr>
                <w:rFonts w:ascii="Times New Roman" w:hAnsi="Times New Roman"/>
              </w:rPr>
              <w:t>guarantees</w:t>
            </w:r>
            <w:proofErr w:type="gramEnd"/>
            <w:r w:rsidRPr="00F87297">
              <w:rPr>
                <w:rFonts w:ascii="Times New Roman" w:hAnsi="Times New Roman"/>
              </w:rPr>
              <w:t xml:space="preserve"> through the Minister for Finance subject to approval by Parliament. At present the all debt-related transactions and issuance of guarantees are still under consolidation between MoF, MPI and all relevant stakeholders at central and provincial levels: Once the new Public Debt Law becomes fully operation the score for this </w:t>
            </w:r>
            <w:r>
              <w:rPr>
                <w:rFonts w:ascii="Times New Roman" w:hAnsi="Times New Roman"/>
              </w:rPr>
              <w:t xml:space="preserve">dimension should </w:t>
            </w:r>
            <w:r w:rsidRPr="00F87297">
              <w:rPr>
                <w:rFonts w:ascii="Times New Roman" w:hAnsi="Times New Roman"/>
              </w:rPr>
              <w:t>improve</w:t>
            </w:r>
            <w:r>
              <w:rPr>
                <w:rFonts w:ascii="Times New Roman" w:hAnsi="Times New Roman"/>
              </w:rPr>
              <w:t>.</w:t>
            </w:r>
          </w:p>
        </w:tc>
      </w:tr>
      <w:tr w:rsidR="007518E4" w:rsidRPr="00930334" w14:paraId="34F2F162" w14:textId="77777777" w:rsidTr="00F70FF1">
        <w:trPr>
          <w:trHeight w:val="530"/>
          <w:jc w:val="center"/>
        </w:trPr>
        <w:tc>
          <w:tcPr>
            <w:tcW w:w="1710" w:type="pct"/>
            <w:tcBorders>
              <w:top w:val="single" w:sz="4" w:space="0" w:color="auto"/>
              <w:left w:val="single" w:sz="4" w:space="0" w:color="auto"/>
              <w:bottom w:val="single" w:sz="4" w:space="0" w:color="auto"/>
              <w:right w:val="single" w:sz="4" w:space="0" w:color="auto"/>
            </w:tcBorders>
            <w:vAlign w:val="center"/>
            <w:hideMark/>
          </w:tcPr>
          <w:p w14:paraId="07BBA8C9" w14:textId="77777777" w:rsidR="007518E4" w:rsidRPr="00382CA8" w:rsidRDefault="007518E4" w:rsidP="00F70FF1">
            <w:pPr>
              <w:spacing w:before="0"/>
              <w:ind w:left="0"/>
              <w:jc w:val="left"/>
              <w:rPr>
                <w:rFonts w:ascii="Times New Roman" w:hAnsi="Times New Roman"/>
                <w:color w:val="000000"/>
              </w:rPr>
            </w:pPr>
            <w:r w:rsidRPr="00382CA8">
              <w:rPr>
                <w:rFonts w:ascii="Times New Roman" w:hAnsi="Times New Roman"/>
                <w:color w:val="000000"/>
              </w:rPr>
              <w:t>13.3 Debt management strategy</w:t>
            </w:r>
          </w:p>
        </w:tc>
        <w:tc>
          <w:tcPr>
            <w:tcW w:w="476" w:type="pct"/>
            <w:tcBorders>
              <w:top w:val="single" w:sz="4" w:space="0" w:color="auto"/>
              <w:left w:val="single" w:sz="4" w:space="0" w:color="auto"/>
              <w:bottom w:val="single" w:sz="4" w:space="0" w:color="auto"/>
              <w:right w:val="single" w:sz="4" w:space="0" w:color="auto"/>
            </w:tcBorders>
            <w:vAlign w:val="center"/>
            <w:hideMark/>
          </w:tcPr>
          <w:p w14:paraId="4546D686" w14:textId="77777777" w:rsidR="007518E4" w:rsidRPr="00382CA8" w:rsidRDefault="007518E4" w:rsidP="00FD748F">
            <w:pPr>
              <w:spacing w:before="0"/>
              <w:ind w:left="0"/>
              <w:jc w:val="center"/>
              <w:rPr>
                <w:rFonts w:ascii="Times New Roman" w:hAnsi="Times New Roman"/>
              </w:rPr>
            </w:pPr>
            <w:r w:rsidRPr="00382CA8">
              <w:rPr>
                <w:rFonts w:ascii="Times New Roman" w:hAnsi="Times New Roman"/>
              </w:rPr>
              <w:t>D</w:t>
            </w:r>
          </w:p>
        </w:tc>
        <w:tc>
          <w:tcPr>
            <w:tcW w:w="2815" w:type="pct"/>
            <w:tcBorders>
              <w:top w:val="single" w:sz="4" w:space="0" w:color="auto"/>
              <w:left w:val="single" w:sz="4" w:space="0" w:color="auto"/>
              <w:bottom w:val="single" w:sz="4" w:space="0" w:color="auto"/>
              <w:right w:val="single" w:sz="4" w:space="0" w:color="auto"/>
            </w:tcBorders>
            <w:vAlign w:val="center"/>
            <w:hideMark/>
          </w:tcPr>
          <w:p w14:paraId="49A0B2AA" w14:textId="77777777" w:rsidR="007518E4" w:rsidRPr="00382CA8" w:rsidRDefault="007518E4" w:rsidP="00FD748F">
            <w:pPr>
              <w:spacing w:before="0"/>
              <w:ind w:left="0"/>
              <w:rPr>
                <w:rFonts w:ascii="Times New Roman" w:eastAsia="ヒラギノ角ゴ Pro W3" w:hAnsi="Times New Roman"/>
                <w:color w:val="000000"/>
                <w:lang w:eastAsia="en-IN"/>
              </w:rPr>
            </w:pPr>
            <w:r w:rsidRPr="00382CA8">
              <w:rPr>
                <w:rFonts w:ascii="Times New Roman" w:eastAsia="ヒラギノ角ゴ Pro W3" w:hAnsi="Times New Roman"/>
                <w:color w:val="000000"/>
                <w:lang w:eastAsia="en-IN"/>
              </w:rPr>
              <w:t xml:space="preserve">There </w:t>
            </w:r>
            <w:r>
              <w:rPr>
                <w:rFonts w:ascii="Times New Roman" w:eastAsia="ヒラギノ角ゴ Pro W3" w:hAnsi="Times New Roman"/>
                <w:color w:val="000000"/>
                <w:lang w:eastAsia="en-IN"/>
              </w:rPr>
              <w:t xml:space="preserve">are </w:t>
            </w:r>
            <w:r w:rsidRPr="00382CA8">
              <w:rPr>
                <w:rFonts w:ascii="Times New Roman" w:eastAsia="ヒラギノ角ゴ Pro W3" w:hAnsi="Times New Roman"/>
                <w:color w:val="000000"/>
                <w:lang w:eastAsia="en-IN"/>
              </w:rPr>
              <w:t xml:space="preserve">regular DSA reports performed jointly with IMF-WB. The Public Debt Law requires the preparation of a </w:t>
            </w:r>
            <w:proofErr w:type="gramStart"/>
            <w:r w:rsidRPr="00382CA8">
              <w:rPr>
                <w:rFonts w:ascii="Times New Roman" w:eastAsia="ヒラギノ角ゴ Pro W3" w:hAnsi="Times New Roman"/>
                <w:color w:val="000000"/>
                <w:lang w:eastAsia="en-IN"/>
              </w:rPr>
              <w:t>medium term</w:t>
            </w:r>
            <w:proofErr w:type="gramEnd"/>
            <w:r w:rsidRPr="00382CA8">
              <w:rPr>
                <w:rFonts w:ascii="Times New Roman" w:eastAsia="ヒラギノ角ゴ Pro W3" w:hAnsi="Times New Roman"/>
                <w:color w:val="000000"/>
                <w:lang w:eastAsia="en-IN"/>
              </w:rPr>
              <w:t xml:space="preserve"> debt management strategy</w:t>
            </w:r>
            <w:r>
              <w:rPr>
                <w:rFonts w:ascii="Times New Roman" w:eastAsia="ヒラギノ角ゴ Pro W3" w:hAnsi="Times New Roman"/>
                <w:color w:val="000000"/>
                <w:lang w:eastAsia="en-IN"/>
              </w:rPr>
              <w:t xml:space="preserve"> and a report is </w:t>
            </w:r>
            <w:r w:rsidRPr="005E47F2">
              <w:rPr>
                <w:rFonts w:ascii="Times New Roman" w:eastAsia="ヒラギノ角ゴ Pro W3" w:hAnsi="Times New Roman"/>
                <w:color w:val="000000"/>
                <w:sz w:val="24"/>
                <w:lang w:eastAsia="en-IN"/>
              </w:rPr>
              <w:t>available in draft form as an internal document</w:t>
            </w:r>
            <w:r>
              <w:rPr>
                <w:rFonts w:ascii="Times New Roman" w:eastAsia="ヒラギノ角ゴ Pro W3" w:hAnsi="Times New Roman"/>
                <w:color w:val="000000"/>
                <w:sz w:val="24"/>
                <w:lang w:eastAsia="en-IN"/>
              </w:rPr>
              <w:t>.</w:t>
            </w:r>
          </w:p>
        </w:tc>
      </w:tr>
    </w:tbl>
    <w:p w14:paraId="67231D55" w14:textId="77777777" w:rsidR="007518E4" w:rsidRPr="00382CA8" w:rsidRDefault="007518E4" w:rsidP="008037D9">
      <w:pPr>
        <w:pStyle w:val="ListParagraph"/>
        <w:numPr>
          <w:ilvl w:val="0"/>
          <w:numId w:val="62"/>
        </w:numPr>
        <w:spacing w:after="240"/>
        <w:contextualSpacing w:val="0"/>
        <w:rPr>
          <w:rFonts w:ascii="Times New Roman" w:hAnsi="Times New Roman"/>
          <w:sz w:val="24"/>
        </w:rPr>
      </w:pPr>
      <w:r w:rsidRPr="00FD748F">
        <w:rPr>
          <w:rFonts w:ascii="Times New Roman" w:hAnsi="Times New Roman"/>
          <w:b/>
          <w:sz w:val="24"/>
        </w:rPr>
        <w:t>The public debt level is high and the joint International Monetary Fund – World Bank Debt Sustainability Analysis has moved Lao PDR to high risk of debt distress.</w:t>
      </w:r>
      <w:r w:rsidRPr="00382CA8">
        <w:rPr>
          <w:rFonts w:ascii="Times New Roman" w:hAnsi="Times New Roman"/>
          <w:sz w:val="24"/>
        </w:rPr>
        <w:t xml:space="preserve"> By end-2017, public debt increased to around 61 percent of GDP, compared to an average of 38 percent of GDP for emerging and developing Asia. </w:t>
      </w:r>
    </w:p>
    <w:p w14:paraId="492932D3" w14:textId="77777777" w:rsidR="007518E4" w:rsidRPr="001B51C3" w:rsidRDefault="007518E4" w:rsidP="00FD748F">
      <w:pPr>
        <w:pStyle w:val="BodyText"/>
        <w:spacing w:after="240"/>
        <w:ind w:left="0"/>
        <w:rPr>
          <w:rFonts w:ascii="Times New Roman" w:hAnsi="Times New Roman"/>
          <w:b/>
          <w:color w:val="FFC000"/>
          <w:sz w:val="24"/>
          <w:szCs w:val="21"/>
        </w:rPr>
      </w:pPr>
      <w:r w:rsidRPr="001B51C3">
        <w:rPr>
          <w:rFonts w:ascii="Times New Roman" w:hAnsi="Times New Roman"/>
          <w:b/>
          <w:color w:val="FFC000"/>
          <w:sz w:val="24"/>
          <w:szCs w:val="21"/>
        </w:rPr>
        <w:lastRenderedPageBreak/>
        <w:t xml:space="preserve">13.1 Recording and </w:t>
      </w:r>
      <w:r>
        <w:rPr>
          <w:rFonts w:ascii="Times New Roman" w:hAnsi="Times New Roman"/>
          <w:b/>
          <w:color w:val="FFC000"/>
          <w:sz w:val="24"/>
          <w:szCs w:val="21"/>
        </w:rPr>
        <w:t>r</w:t>
      </w:r>
      <w:r w:rsidRPr="001B51C3">
        <w:rPr>
          <w:rFonts w:ascii="Times New Roman" w:hAnsi="Times New Roman"/>
          <w:b/>
          <w:color w:val="FFC000"/>
          <w:sz w:val="24"/>
          <w:szCs w:val="21"/>
        </w:rPr>
        <w:t xml:space="preserve">eporting of </w:t>
      </w:r>
      <w:r>
        <w:rPr>
          <w:rFonts w:ascii="Times New Roman" w:hAnsi="Times New Roman"/>
          <w:b/>
          <w:color w:val="FFC000"/>
          <w:sz w:val="24"/>
          <w:szCs w:val="21"/>
        </w:rPr>
        <w:t>d</w:t>
      </w:r>
      <w:r w:rsidRPr="001B51C3">
        <w:rPr>
          <w:rFonts w:ascii="Times New Roman" w:hAnsi="Times New Roman"/>
          <w:b/>
          <w:color w:val="FFC000"/>
          <w:sz w:val="24"/>
          <w:szCs w:val="21"/>
        </w:rPr>
        <w:t xml:space="preserve">ebt and </w:t>
      </w:r>
      <w:r>
        <w:rPr>
          <w:rFonts w:ascii="Times New Roman" w:hAnsi="Times New Roman"/>
          <w:b/>
          <w:color w:val="FFC000"/>
          <w:sz w:val="24"/>
          <w:szCs w:val="21"/>
        </w:rPr>
        <w:t>g</w:t>
      </w:r>
      <w:r w:rsidRPr="001B51C3">
        <w:rPr>
          <w:rFonts w:ascii="Times New Roman" w:hAnsi="Times New Roman"/>
          <w:b/>
          <w:color w:val="FFC000"/>
          <w:sz w:val="24"/>
          <w:szCs w:val="21"/>
        </w:rPr>
        <w:t>uarantees</w:t>
      </w:r>
    </w:p>
    <w:p w14:paraId="4C8FA689" w14:textId="77777777" w:rsidR="007518E4" w:rsidRPr="00382CA8"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FD748F">
        <w:rPr>
          <w:rFonts w:ascii="Times New Roman" w:eastAsia="ヒラギノ角ゴ Pro W3" w:hAnsi="Times New Roman"/>
          <w:b/>
          <w:color w:val="000000"/>
          <w:sz w:val="24"/>
          <w:lang w:eastAsia="en-IN"/>
        </w:rPr>
        <w:t>The responsibility for public debt management and reporting for both external and domestic debts has recently been consolidated under the External Finance Department at MoF</w:t>
      </w:r>
      <w:r w:rsidR="00F70FF1">
        <w:rPr>
          <w:rFonts w:ascii="Times New Roman" w:eastAsia="ヒラギノ角ゴ Pro W3" w:hAnsi="Times New Roman"/>
          <w:color w:val="000000"/>
          <w:sz w:val="24"/>
          <w:lang w:eastAsia="en-IN"/>
        </w:rPr>
        <w:t xml:space="preserve">. </w:t>
      </w:r>
      <w:r w:rsidR="00FD748F">
        <w:rPr>
          <w:rFonts w:ascii="Times New Roman" w:eastAsia="ヒラギノ角ゴ Pro W3" w:hAnsi="Times New Roman"/>
          <w:color w:val="000000"/>
          <w:sz w:val="24"/>
          <w:lang w:eastAsia="en-IN"/>
        </w:rPr>
        <w:t>P</w:t>
      </w:r>
      <w:r w:rsidRPr="00382CA8">
        <w:rPr>
          <w:rFonts w:ascii="Times New Roman" w:eastAsia="ヒラギノ角ゴ Pro W3" w:hAnsi="Times New Roman"/>
          <w:color w:val="000000"/>
          <w:sz w:val="24"/>
          <w:lang w:eastAsia="en-IN"/>
        </w:rPr>
        <w:t>ublic debt management is now governed by the Public Debt Law adopted during the last NA session on 23</w:t>
      </w:r>
      <w:r w:rsidRPr="00382CA8">
        <w:rPr>
          <w:rFonts w:ascii="Times New Roman" w:eastAsia="ヒラギノ角ゴ Pro W3" w:hAnsi="Times New Roman"/>
          <w:color w:val="000000"/>
          <w:sz w:val="24"/>
          <w:vertAlign w:val="superscript"/>
          <w:lang w:eastAsia="en-IN"/>
        </w:rPr>
        <w:t>rd</w:t>
      </w:r>
      <w:r w:rsidR="00F70FF1">
        <w:rPr>
          <w:rFonts w:ascii="Times New Roman" w:eastAsia="ヒラギノ角ゴ Pro W3" w:hAnsi="Times New Roman"/>
          <w:color w:val="000000"/>
          <w:sz w:val="24"/>
          <w:lang w:eastAsia="en-IN"/>
        </w:rPr>
        <w:t xml:space="preserve"> November 2018.</w:t>
      </w:r>
      <w:r w:rsidRPr="00382CA8">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 xml:space="preserve">Up to then, EFD was </w:t>
      </w:r>
      <w:r w:rsidRPr="00382CA8">
        <w:rPr>
          <w:rFonts w:ascii="Times New Roman" w:hAnsi="Times New Roman"/>
          <w:sz w:val="24"/>
        </w:rPr>
        <w:t xml:space="preserve">responsible for maintaining the records of all public debt contracted by the state for foreign borrowing while the Budget department was responsible, in collaboration with the Treasury department for the records of domestic debt.  Foreign loans are systematically recorded and reporting on the external public debt is prepared </w:t>
      </w:r>
      <w:proofErr w:type="gramStart"/>
      <w:r w:rsidRPr="00382CA8">
        <w:rPr>
          <w:rFonts w:ascii="Times New Roman" w:hAnsi="Times New Roman"/>
          <w:sz w:val="24"/>
        </w:rPr>
        <w:t>on a monthly basis</w:t>
      </w:r>
      <w:proofErr w:type="gramEnd"/>
      <w:r w:rsidRPr="00382CA8">
        <w:rPr>
          <w:rFonts w:ascii="Times New Roman" w:hAnsi="Times New Roman"/>
          <w:sz w:val="24"/>
        </w:rPr>
        <w:t>, taking into account new and ongoing debt, and reported to the FPD to be used as an input to the MTFF.</w:t>
      </w:r>
    </w:p>
    <w:p w14:paraId="3DF4C676" w14:textId="77777777" w:rsidR="007518E4"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FD748F">
        <w:rPr>
          <w:rFonts w:ascii="Times New Roman" w:hAnsi="Times New Roman"/>
          <w:b/>
          <w:sz w:val="24"/>
        </w:rPr>
        <w:t>Foreign debt records are managed by the EFD back office using the UNCTAD's Debt Management and Financial Analysis System (DMFAS)</w:t>
      </w:r>
      <w:r w:rsidR="00F70FF1">
        <w:rPr>
          <w:rFonts w:ascii="Times New Roman" w:hAnsi="Times New Roman"/>
          <w:sz w:val="24"/>
        </w:rPr>
        <w:t xml:space="preserve">. </w:t>
      </w:r>
      <w:r w:rsidR="00FD748F">
        <w:rPr>
          <w:rFonts w:ascii="Times New Roman" w:hAnsi="Times New Roman"/>
          <w:sz w:val="24"/>
        </w:rPr>
        <w:t>R</w:t>
      </w:r>
      <w:r w:rsidRPr="00382CA8">
        <w:rPr>
          <w:rFonts w:ascii="Times New Roman" w:hAnsi="Times New Roman"/>
          <w:sz w:val="24"/>
        </w:rPr>
        <w:t xml:space="preserve">econciliations are performed on transactions </w:t>
      </w:r>
      <w:proofErr w:type="gramStart"/>
      <w:r w:rsidRPr="00382CA8">
        <w:rPr>
          <w:rFonts w:ascii="Times New Roman" w:hAnsi="Times New Roman"/>
          <w:sz w:val="24"/>
        </w:rPr>
        <w:t>on a monthly basis</w:t>
      </w:r>
      <w:proofErr w:type="gramEnd"/>
      <w:r w:rsidRPr="00382CA8">
        <w:rPr>
          <w:rFonts w:ascii="Times New Roman" w:hAnsi="Times New Roman"/>
          <w:sz w:val="24"/>
        </w:rPr>
        <w:t xml:space="preserve"> for all external debt principal and interest payments. Debt reports are produced on a monthly and quarterly basis and shared with the FPD providing information on compo</w:t>
      </w:r>
      <w:r>
        <w:rPr>
          <w:rFonts w:ascii="Times New Roman" w:hAnsi="Times New Roman"/>
          <w:sz w:val="24"/>
        </w:rPr>
        <w:t xml:space="preserve">sition of external debt and </w:t>
      </w:r>
      <w:r w:rsidRPr="00382CA8">
        <w:rPr>
          <w:rFonts w:ascii="Times New Roman" w:hAnsi="Times New Roman"/>
          <w:sz w:val="24"/>
        </w:rPr>
        <w:t xml:space="preserve">interest rate. Actual foreign exchange rates and integrity of the external debt data are reported as </w:t>
      </w:r>
      <w:proofErr w:type="gramStart"/>
      <w:r w:rsidRPr="00382CA8">
        <w:rPr>
          <w:rFonts w:ascii="Times New Roman" w:hAnsi="Times New Roman"/>
          <w:sz w:val="24"/>
        </w:rPr>
        <w:t>fairly accurate</w:t>
      </w:r>
      <w:proofErr w:type="gramEnd"/>
      <w:r w:rsidRPr="00382CA8">
        <w:rPr>
          <w:rFonts w:ascii="Times New Roman" w:hAnsi="Times New Roman"/>
          <w:sz w:val="24"/>
        </w:rPr>
        <w:t xml:space="preserve"> although regular reconciliations with debt creditors could not be confirmed. Some guarantees are reported in the DMFAS but not all. At the end of the fiscal year the aggregated debt stock and plans are submitted to the NA together with the State Budget plan. Only the detailed breakdown of the foreign debt portfolio is shared when the DMFAS reports are circulated during the annual debt r</w:t>
      </w:r>
      <w:r>
        <w:rPr>
          <w:rFonts w:ascii="Times New Roman" w:hAnsi="Times New Roman"/>
          <w:sz w:val="24"/>
        </w:rPr>
        <w:t xml:space="preserve">eport to the IMF. </w:t>
      </w:r>
    </w:p>
    <w:p w14:paraId="726E7DE6" w14:textId="77777777" w:rsidR="007518E4" w:rsidRPr="00382CA8" w:rsidRDefault="007518E4" w:rsidP="00ED6F7A">
      <w:pPr>
        <w:pStyle w:val="ListParagraph"/>
        <w:numPr>
          <w:ilvl w:val="0"/>
          <w:numId w:val="62"/>
        </w:numPr>
        <w:autoSpaceDE w:val="0"/>
        <w:autoSpaceDN w:val="0"/>
        <w:adjustRightInd w:val="0"/>
        <w:spacing w:after="240"/>
        <w:contextualSpacing w:val="0"/>
        <w:rPr>
          <w:rFonts w:ascii="Times New Roman" w:hAnsi="Times New Roman"/>
          <w:sz w:val="24"/>
        </w:rPr>
      </w:pPr>
      <w:r w:rsidRPr="00FD748F">
        <w:rPr>
          <w:rFonts w:ascii="Times New Roman" w:hAnsi="Times New Roman"/>
          <w:b/>
          <w:sz w:val="24"/>
        </w:rPr>
        <w:t>Domestic debt reports are produced but kept confidential</w:t>
      </w:r>
      <w:r w:rsidRPr="00382CA8">
        <w:rPr>
          <w:rFonts w:ascii="Times New Roman" w:hAnsi="Times New Roman"/>
          <w:sz w:val="24"/>
        </w:rPr>
        <w:t xml:space="preserve">. </w:t>
      </w:r>
      <w:r w:rsidR="00106633">
        <w:rPr>
          <w:rFonts w:ascii="Times New Roman" w:hAnsi="Times New Roman"/>
          <w:bCs/>
          <w:sz w:val="24"/>
        </w:rPr>
        <w:t>T</w:t>
      </w:r>
      <w:r w:rsidRPr="00382CA8">
        <w:rPr>
          <w:rFonts w:ascii="Times New Roman" w:hAnsi="Times New Roman"/>
          <w:bCs/>
          <w:sz w:val="24"/>
        </w:rPr>
        <w:t>he backlog of infrastructure projects and liabilities inherited from the previous government and lack of reliable information still place a heavy burden on the domestic debt management.</w:t>
      </w:r>
      <w:r w:rsidRPr="00382CA8">
        <w:rPr>
          <w:rFonts w:ascii="Times New Roman" w:hAnsi="Times New Roman"/>
          <w:sz w:val="24"/>
        </w:rPr>
        <w:t xml:space="preserve"> </w:t>
      </w:r>
      <w:r w:rsidR="00106633" w:rsidRPr="00382CA8">
        <w:rPr>
          <w:rFonts w:ascii="Times New Roman" w:hAnsi="Times New Roman"/>
          <w:bCs/>
          <w:sz w:val="24"/>
        </w:rPr>
        <w:t xml:space="preserve">However, </w:t>
      </w:r>
      <w:r w:rsidR="00106633" w:rsidRPr="00382CA8">
        <w:rPr>
          <w:rFonts w:ascii="Times New Roman" w:hAnsi="Times New Roman"/>
          <w:sz w:val="24"/>
        </w:rPr>
        <w:t xml:space="preserve">he fiscal consolidation undertaken by the government since 2015 has translated into </w:t>
      </w:r>
      <w:r w:rsidR="00106633" w:rsidRPr="00382CA8">
        <w:rPr>
          <w:rFonts w:ascii="Times New Roman" w:hAnsi="Times New Roman"/>
          <w:bCs/>
          <w:sz w:val="24"/>
        </w:rPr>
        <w:t>greater scrutiny on domestic borrowing.</w:t>
      </w:r>
      <w:r w:rsidR="00106633">
        <w:rPr>
          <w:rFonts w:ascii="Times New Roman" w:hAnsi="Times New Roman"/>
          <w:bCs/>
          <w:sz w:val="24"/>
        </w:rPr>
        <w:t xml:space="preserve"> </w:t>
      </w:r>
      <w:r w:rsidRPr="00382CA8">
        <w:rPr>
          <w:rFonts w:ascii="Times New Roman" w:hAnsi="Times New Roman"/>
          <w:sz w:val="24"/>
        </w:rPr>
        <w:t xml:space="preserve">Domestic debt records and guarantees have been maintained by the Budget department and the information on obligations and repayments </w:t>
      </w:r>
      <w:r w:rsidR="00106633">
        <w:rPr>
          <w:rFonts w:ascii="Times New Roman" w:hAnsi="Times New Roman"/>
          <w:sz w:val="24"/>
        </w:rPr>
        <w:t xml:space="preserve">has been verified and confirmed against bank records, so even if it </w:t>
      </w:r>
      <w:r w:rsidRPr="00382CA8">
        <w:rPr>
          <w:rFonts w:ascii="Times New Roman" w:hAnsi="Times New Roman"/>
          <w:sz w:val="24"/>
        </w:rPr>
        <w:t xml:space="preserve">is </w:t>
      </w:r>
      <w:r w:rsidR="00106633">
        <w:rPr>
          <w:rFonts w:ascii="Times New Roman" w:hAnsi="Times New Roman"/>
          <w:sz w:val="24"/>
        </w:rPr>
        <w:t>manually maintained</w:t>
      </w:r>
      <w:r w:rsidRPr="00382CA8">
        <w:rPr>
          <w:rFonts w:ascii="Times New Roman" w:hAnsi="Times New Roman"/>
          <w:sz w:val="24"/>
        </w:rPr>
        <w:t xml:space="preserve">, </w:t>
      </w:r>
      <w:r w:rsidR="00106633">
        <w:rPr>
          <w:rFonts w:ascii="Times New Roman" w:hAnsi="Times New Roman"/>
          <w:sz w:val="24"/>
        </w:rPr>
        <w:t>there is</w:t>
      </w:r>
      <w:r w:rsidRPr="00382CA8">
        <w:rPr>
          <w:rFonts w:ascii="Times New Roman" w:hAnsi="Times New Roman"/>
          <w:sz w:val="24"/>
        </w:rPr>
        <w:t xml:space="preserve"> a systematic system to keep track of contingent liabilities as government issues consent letters and guarantees to third parties and SOEs. </w:t>
      </w:r>
    </w:p>
    <w:p w14:paraId="13E0C303" w14:textId="77777777" w:rsidR="007518E4" w:rsidRPr="00382CA8"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FD748F">
        <w:rPr>
          <w:rFonts w:ascii="Times New Roman" w:hAnsi="Times New Roman"/>
          <w:b/>
          <w:sz w:val="24"/>
        </w:rPr>
        <w:t>External debt reports are produced on a monthly and quarterly basis</w:t>
      </w:r>
      <w:r w:rsidR="00374990">
        <w:rPr>
          <w:rFonts w:ascii="Times New Roman" w:hAnsi="Times New Roman"/>
          <w:sz w:val="24"/>
        </w:rPr>
        <w:t xml:space="preserve">. </w:t>
      </w:r>
      <w:r w:rsidR="00FD748F">
        <w:rPr>
          <w:rFonts w:ascii="Times New Roman" w:hAnsi="Times New Roman"/>
          <w:sz w:val="24"/>
        </w:rPr>
        <w:t xml:space="preserve">They are </w:t>
      </w:r>
      <w:r w:rsidRPr="00382CA8">
        <w:rPr>
          <w:rFonts w:ascii="Times New Roman" w:hAnsi="Times New Roman"/>
          <w:sz w:val="24"/>
        </w:rPr>
        <w:t>shared with the FPD providing information on compo</w:t>
      </w:r>
      <w:r>
        <w:rPr>
          <w:rFonts w:ascii="Times New Roman" w:hAnsi="Times New Roman"/>
          <w:sz w:val="24"/>
        </w:rPr>
        <w:t xml:space="preserve">sition of external debt and </w:t>
      </w:r>
      <w:r w:rsidRPr="00382CA8">
        <w:rPr>
          <w:rFonts w:ascii="Times New Roman" w:hAnsi="Times New Roman"/>
          <w:sz w:val="24"/>
        </w:rPr>
        <w:t>interest rate.</w:t>
      </w:r>
      <w:r>
        <w:rPr>
          <w:rFonts w:ascii="Times New Roman" w:hAnsi="Times New Roman"/>
          <w:sz w:val="24"/>
        </w:rPr>
        <w:t xml:space="preserve"> </w:t>
      </w:r>
      <w:r w:rsidRPr="00382CA8">
        <w:rPr>
          <w:rFonts w:ascii="Times New Roman" w:hAnsi="Times New Roman"/>
          <w:sz w:val="24"/>
        </w:rPr>
        <w:t>Domestic debt records and guarantees have been maintained and the information on obligations and repayments is only partial</w:t>
      </w:r>
      <w:r w:rsidR="00374990">
        <w:rPr>
          <w:rFonts w:ascii="Times New Roman" w:hAnsi="Times New Roman"/>
          <w:sz w:val="24"/>
        </w:rPr>
        <w:t xml:space="preserve">. </w:t>
      </w:r>
      <w:r w:rsidRPr="00382CA8">
        <w:rPr>
          <w:rFonts w:ascii="Times New Roman" w:hAnsi="Times New Roman"/>
          <w:sz w:val="24"/>
        </w:rPr>
        <w:t xml:space="preserve">Aggregate information on debt stock and service is included in the in-year and </w:t>
      </w:r>
      <w:r>
        <w:rPr>
          <w:rFonts w:ascii="Times New Roman" w:hAnsi="Times New Roman"/>
          <w:sz w:val="24"/>
        </w:rPr>
        <w:t>annual budget reports to the NA: Score C</w:t>
      </w:r>
      <w:r w:rsidRPr="00382CA8">
        <w:rPr>
          <w:rFonts w:ascii="Times New Roman" w:hAnsi="Times New Roman"/>
          <w:sz w:val="24"/>
        </w:rPr>
        <w:t>.</w:t>
      </w:r>
    </w:p>
    <w:p w14:paraId="30A617A4" w14:textId="77777777" w:rsidR="007518E4" w:rsidRPr="001B51C3" w:rsidRDefault="007518E4" w:rsidP="00FD748F">
      <w:pPr>
        <w:pStyle w:val="BodyText"/>
        <w:spacing w:after="240"/>
        <w:ind w:left="0"/>
        <w:rPr>
          <w:rFonts w:ascii="Times New Roman" w:hAnsi="Times New Roman"/>
          <w:b/>
          <w:color w:val="FFC000"/>
          <w:sz w:val="24"/>
          <w:szCs w:val="21"/>
        </w:rPr>
      </w:pPr>
      <w:r w:rsidRPr="001B51C3">
        <w:rPr>
          <w:rFonts w:ascii="Times New Roman" w:hAnsi="Times New Roman"/>
          <w:b/>
          <w:color w:val="FFC000"/>
          <w:sz w:val="24"/>
          <w:szCs w:val="21"/>
        </w:rPr>
        <w:t xml:space="preserve">13.2 Approval of </w:t>
      </w:r>
      <w:r>
        <w:rPr>
          <w:rFonts w:ascii="Times New Roman" w:hAnsi="Times New Roman"/>
          <w:b/>
          <w:color w:val="FFC000"/>
          <w:sz w:val="24"/>
          <w:szCs w:val="21"/>
        </w:rPr>
        <w:t>d</w:t>
      </w:r>
      <w:r w:rsidRPr="001B51C3">
        <w:rPr>
          <w:rFonts w:ascii="Times New Roman" w:hAnsi="Times New Roman"/>
          <w:b/>
          <w:color w:val="FFC000"/>
          <w:sz w:val="24"/>
          <w:szCs w:val="21"/>
        </w:rPr>
        <w:t xml:space="preserve">ebt and </w:t>
      </w:r>
      <w:r>
        <w:rPr>
          <w:rFonts w:ascii="Times New Roman" w:hAnsi="Times New Roman"/>
          <w:b/>
          <w:color w:val="FFC000"/>
          <w:sz w:val="24"/>
          <w:szCs w:val="21"/>
        </w:rPr>
        <w:t>g</w:t>
      </w:r>
      <w:r w:rsidRPr="001B51C3">
        <w:rPr>
          <w:rFonts w:ascii="Times New Roman" w:hAnsi="Times New Roman"/>
          <w:b/>
          <w:color w:val="FFC000"/>
          <w:sz w:val="24"/>
          <w:szCs w:val="21"/>
        </w:rPr>
        <w:t>uarantees</w:t>
      </w:r>
    </w:p>
    <w:p w14:paraId="6EE5C857" w14:textId="77777777" w:rsidR="007518E4" w:rsidRPr="00E17EC9" w:rsidRDefault="007518E4" w:rsidP="008037D9">
      <w:pPr>
        <w:pStyle w:val="Default"/>
        <w:numPr>
          <w:ilvl w:val="0"/>
          <w:numId w:val="62"/>
        </w:numPr>
        <w:spacing w:after="240"/>
        <w:rPr>
          <w:rFonts w:ascii="Times New Roman" w:hAnsi="Times New Roman" w:cs="Times New Roman"/>
          <w:bCs/>
          <w:color w:val="000000" w:themeColor="text1"/>
          <w:lang w:eastAsia="fr-FR"/>
        </w:rPr>
      </w:pPr>
      <w:r w:rsidRPr="00FD748F">
        <w:rPr>
          <w:rFonts w:ascii="Times New Roman" w:hAnsi="Times New Roman" w:cs="Times New Roman"/>
          <w:b/>
        </w:rPr>
        <w:t>The 2015 Constitution of Lao PDR Article 53 grants the NA the authority to “consider and adopt fundamental financial policy, monetary, budget deficit percentage, national debts percentage, and public debts percentage”.</w:t>
      </w:r>
      <w:r w:rsidRPr="00392D53">
        <w:rPr>
          <w:rFonts w:ascii="Times New Roman" w:hAnsi="Times New Roman" w:cs="Times New Roman"/>
        </w:rPr>
        <w:t xml:space="preserve"> The MoF is mandated</w:t>
      </w:r>
      <w:r w:rsidRPr="00392D53">
        <w:rPr>
          <w:rFonts w:ascii="Times New Roman" w:hAnsi="Times New Roman" w:cs="Times New Roman"/>
          <w:vertAlign w:val="superscript"/>
        </w:rPr>
        <w:footnoteReference w:id="30"/>
      </w:r>
      <w:r w:rsidRPr="00392D53">
        <w:rPr>
          <w:rFonts w:ascii="Times New Roman" w:hAnsi="Times New Roman" w:cs="Times New Roman"/>
        </w:rPr>
        <w:t xml:space="preserve"> to monitor and manage both domestic and foreign public debt contracted by the government and</w:t>
      </w:r>
      <w:r>
        <w:rPr>
          <w:rFonts w:ascii="Times New Roman" w:hAnsi="Times New Roman" w:cs="Times New Roman"/>
        </w:rPr>
        <w:t>,</w:t>
      </w:r>
      <w:r w:rsidRPr="00392D53">
        <w:rPr>
          <w:rFonts w:ascii="Times New Roman" w:hAnsi="Times New Roman" w:cs="Times New Roman"/>
        </w:rPr>
        <w:t xml:space="preserve"> under </w:t>
      </w:r>
      <w:r w:rsidRPr="00392D53">
        <w:rPr>
          <w:rFonts w:ascii="Times New Roman" w:hAnsi="Times New Roman" w:cs="Times New Roman"/>
        </w:rPr>
        <w:lastRenderedPageBreak/>
        <w:t>Article 55 of the State Budget Law it is responsible to submit to NA “a report on public debts and total debts falling due during the year or overdue, estimated interest and principal payments and medium-term debt forecasts</w:t>
      </w:r>
      <w:r w:rsidRPr="00E17EC9">
        <w:rPr>
          <w:rFonts w:ascii="Times New Roman" w:hAnsi="Times New Roman" w:cs="Times New Roman"/>
          <w:color w:val="000000" w:themeColor="text1"/>
        </w:rPr>
        <w:t>”.</w:t>
      </w:r>
      <w:r w:rsidRPr="00E17EC9">
        <w:rPr>
          <w:rFonts w:ascii="Times New Roman" w:hAnsi="Times New Roman" w:cs="Times New Roman"/>
          <w:color w:val="000000" w:themeColor="text1"/>
          <w:lang w:val="en-MY"/>
        </w:rPr>
        <w:t xml:space="preserve"> </w:t>
      </w:r>
    </w:p>
    <w:p w14:paraId="0043A2AD" w14:textId="77777777" w:rsidR="007518E4" w:rsidRPr="00392D53" w:rsidRDefault="007518E4" w:rsidP="008037D9">
      <w:pPr>
        <w:pStyle w:val="Default"/>
        <w:numPr>
          <w:ilvl w:val="0"/>
          <w:numId w:val="62"/>
        </w:numPr>
        <w:spacing w:after="240"/>
        <w:rPr>
          <w:rFonts w:ascii="Times New Roman" w:hAnsi="Times New Roman" w:cs="Times New Roman"/>
        </w:rPr>
      </w:pPr>
      <w:r w:rsidRPr="00FD748F">
        <w:rPr>
          <w:rFonts w:ascii="Times New Roman" w:eastAsia="ヒラギノ角ゴ Pro W3" w:hAnsi="Times New Roman" w:cs="Times New Roman"/>
          <w:b/>
          <w:lang w:eastAsia="en-IN"/>
        </w:rPr>
        <w:t>Up to 2016 the level of domestic debt had spiraled out of control, mostly due to unrecorded debt on infrastructure projects at the provincial and district level.</w:t>
      </w:r>
      <w:r w:rsidRPr="00392D53">
        <w:rPr>
          <w:rFonts w:ascii="Times New Roman" w:eastAsia="ヒラギノ角ゴ Pro W3" w:hAnsi="Times New Roman" w:cs="Times New Roman"/>
          <w:lang w:eastAsia="en-IN"/>
        </w:rPr>
        <w:t xml:space="preserve"> Unauthorized projects were carried out by private companies who paid the cost of construction upfront, with a “commitment” by the local authorities that they would be repaid by the government budget. Since 2017, the stock of arrears accumulated at the provincial level has been consolidated and a repayment schedule agreed with the contractors and commercial banks via the so-called government’s triangle-debt-diversion disbursement initiative.  </w:t>
      </w:r>
    </w:p>
    <w:p w14:paraId="3DC47E12" w14:textId="77777777" w:rsidR="007518E4" w:rsidRDefault="007518E4" w:rsidP="008037D9">
      <w:pPr>
        <w:pStyle w:val="Default"/>
        <w:numPr>
          <w:ilvl w:val="0"/>
          <w:numId w:val="62"/>
        </w:numPr>
        <w:spacing w:after="240"/>
        <w:rPr>
          <w:rFonts w:ascii="Times New Roman" w:hAnsi="Times New Roman" w:cs="Times New Roman"/>
        </w:rPr>
      </w:pPr>
      <w:r w:rsidRPr="00FD748F">
        <w:rPr>
          <w:rFonts w:ascii="Times New Roman" w:hAnsi="Times New Roman" w:cs="Times New Roman"/>
          <w:b/>
        </w:rPr>
        <w:t xml:space="preserve">A new Public Debt Law was promulgated and </w:t>
      </w:r>
      <w:r w:rsidRPr="00FD748F">
        <w:rPr>
          <w:rFonts w:ascii="Times New Roman" w:eastAsia="ヒラギノ角ゴ Pro W3" w:hAnsi="Times New Roman" w:cs="Times New Roman"/>
          <w:b/>
          <w:lang w:eastAsia="en-IN"/>
        </w:rPr>
        <w:t>adopted during the last NA session on 23</w:t>
      </w:r>
      <w:r w:rsidRPr="00FD748F">
        <w:rPr>
          <w:rFonts w:ascii="Times New Roman" w:eastAsia="ヒラギノ角ゴ Pro W3" w:hAnsi="Times New Roman" w:cs="Times New Roman"/>
          <w:b/>
          <w:vertAlign w:val="superscript"/>
          <w:lang w:eastAsia="en-IN"/>
        </w:rPr>
        <w:t>rd</w:t>
      </w:r>
      <w:r w:rsidRPr="00FD748F">
        <w:rPr>
          <w:rFonts w:ascii="Times New Roman" w:eastAsia="ヒラギノ角ゴ Pro W3" w:hAnsi="Times New Roman" w:cs="Times New Roman"/>
          <w:b/>
          <w:lang w:eastAsia="en-IN"/>
        </w:rPr>
        <w:t xml:space="preserve"> November 2018</w:t>
      </w:r>
      <w:r w:rsidRPr="00FD748F">
        <w:rPr>
          <w:rFonts w:eastAsia="ヒラギノ角ゴ Pro W3"/>
          <w:b/>
          <w:lang w:eastAsia="en-IN"/>
        </w:rPr>
        <w:t xml:space="preserve"> </w:t>
      </w:r>
      <w:proofErr w:type="gramStart"/>
      <w:r w:rsidRPr="00FD748F">
        <w:rPr>
          <w:rFonts w:ascii="Times New Roman" w:hAnsi="Times New Roman" w:cs="Times New Roman"/>
          <w:b/>
        </w:rPr>
        <w:t>as a result of</w:t>
      </w:r>
      <w:proofErr w:type="gramEnd"/>
      <w:r w:rsidRPr="00FD748F">
        <w:rPr>
          <w:rFonts w:ascii="Times New Roman" w:hAnsi="Times New Roman" w:cs="Times New Roman"/>
          <w:b/>
        </w:rPr>
        <w:t xml:space="preserve"> this situation.</w:t>
      </w:r>
      <w:r w:rsidR="00374990">
        <w:rPr>
          <w:rFonts w:ascii="Times New Roman" w:hAnsi="Times New Roman" w:cs="Times New Roman"/>
        </w:rPr>
        <w:t xml:space="preserve"> </w:t>
      </w:r>
      <w:r w:rsidRPr="00F87297">
        <w:rPr>
          <w:rFonts w:ascii="Times New Roman" w:hAnsi="Times New Roman" w:cs="Times New Roman"/>
        </w:rPr>
        <w:t xml:space="preserve">Under Article 16 para.2, all borrowing and public debt management decisions are centralized at the MoF, with the sole authority to sign the loan agreements and to contract borrowing and issuing guarantees on behalf of the Government, including on-lending and guarantees issued for the provinces and SOEs, as long as it can report that it is kept within confirmed borrowing capacity and borrowing ceiling approved by the Government and National Assembly. </w:t>
      </w:r>
    </w:p>
    <w:p w14:paraId="36254D5C" w14:textId="77777777" w:rsidR="007518E4" w:rsidRPr="00F87297" w:rsidRDefault="007518E4" w:rsidP="008037D9">
      <w:pPr>
        <w:pStyle w:val="Default"/>
        <w:numPr>
          <w:ilvl w:val="0"/>
          <w:numId w:val="62"/>
        </w:numPr>
        <w:spacing w:after="240"/>
        <w:rPr>
          <w:rFonts w:ascii="Times New Roman" w:hAnsi="Times New Roman" w:cs="Times New Roman"/>
        </w:rPr>
      </w:pPr>
      <w:r w:rsidRPr="00FD748F">
        <w:rPr>
          <w:rFonts w:ascii="Times New Roman" w:hAnsi="Times New Roman" w:cs="Times New Roman"/>
          <w:b/>
        </w:rPr>
        <w:t xml:space="preserve">The Constitution and the SBL requires contracting and reporting on all government debt and </w:t>
      </w:r>
      <w:proofErr w:type="gramStart"/>
      <w:r w:rsidRPr="00FD748F">
        <w:rPr>
          <w:rFonts w:ascii="Times New Roman" w:hAnsi="Times New Roman" w:cs="Times New Roman"/>
          <w:b/>
        </w:rPr>
        <w:t>guarantees</w:t>
      </w:r>
      <w:proofErr w:type="gramEnd"/>
      <w:r w:rsidRPr="00FD748F">
        <w:rPr>
          <w:rFonts w:ascii="Times New Roman" w:hAnsi="Times New Roman" w:cs="Times New Roman"/>
          <w:b/>
        </w:rPr>
        <w:t xml:space="preserve"> through the Minister for Finance subject to approval by Parliament. </w:t>
      </w:r>
      <w:r>
        <w:rPr>
          <w:rFonts w:ascii="Times New Roman" w:hAnsi="Times New Roman" w:cs="Times New Roman"/>
        </w:rPr>
        <w:t>At present,</w:t>
      </w:r>
      <w:r w:rsidRPr="00F87297">
        <w:rPr>
          <w:rFonts w:ascii="Times New Roman" w:hAnsi="Times New Roman" w:cs="Times New Roman"/>
        </w:rPr>
        <w:t xml:space="preserve"> all debt-related transactions and issuance of guarantees are still under consolidation between MoF, MPI and all relevant stakeholders at central and provincial levels: </w:t>
      </w:r>
      <w:r>
        <w:rPr>
          <w:rFonts w:ascii="Times New Roman" w:hAnsi="Times New Roman" w:cs="Times New Roman"/>
        </w:rPr>
        <w:t xml:space="preserve">Once the new Public Debt Law becomes fully operation the score for this dimension should improve but stands at </w:t>
      </w:r>
      <w:r w:rsidRPr="00F87297">
        <w:rPr>
          <w:rFonts w:ascii="Times New Roman" w:hAnsi="Times New Roman" w:cs="Times New Roman"/>
        </w:rPr>
        <w:t xml:space="preserve">Score D. </w:t>
      </w:r>
    </w:p>
    <w:p w14:paraId="50159BF6" w14:textId="77777777" w:rsidR="007518E4" w:rsidRPr="001B51C3" w:rsidRDefault="007518E4" w:rsidP="00FD748F">
      <w:pPr>
        <w:pStyle w:val="BodyText"/>
        <w:spacing w:after="240"/>
        <w:ind w:left="0"/>
        <w:rPr>
          <w:rFonts w:ascii="Times New Roman" w:hAnsi="Times New Roman"/>
          <w:b/>
          <w:color w:val="FFC000"/>
          <w:sz w:val="24"/>
          <w:szCs w:val="21"/>
        </w:rPr>
      </w:pPr>
      <w:r w:rsidRPr="001B51C3">
        <w:rPr>
          <w:rFonts w:ascii="Times New Roman" w:hAnsi="Times New Roman"/>
          <w:b/>
          <w:color w:val="FFC000"/>
          <w:sz w:val="24"/>
          <w:szCs w:val="21"/>
        </w:rPr>
        <w:t xml:space="preserve">13.3 Debt </w:t>
      </w:r>
      <w:r>
        <w:rPr>
          <w:rFonts w:ascii="Times New Roman" w:hAnsi="Times New Roman"/>
          <w:b/>
          <w:color w:val="FFC000"/>
          <w:sz w:val="24"/>
          <w:szCs w:val="21"/>
        </w:rPr>
        <w:t>m</w:t>
      </w:r>
      <w:r w:rsidRPr="001B51C3">
        <w:rPr>
          <w:rFonts w:ascii="Times New Roman" w:hAnsi="Times New Roman"/>
          <w:b/>
          <w:color w:val="FFC000"/>
          <w:sz w:val="24"/>
          <w:szCs w:val="21"/>
        </w:rPr>
        <w:t xml:space="preserve">anagement </w:t>
      </w:r>
      <w:r>
        <w:rPr>
          <w:rFonts w:ascii="Times New Roman" w:hAnsi="Times New Roman"/>
          <w:b/>
          <w:color w:val="FFC000"/>
          <w:sz w:val="24"/>
          <w:szCs w:val="21"/>
        </w:rPr>
        <w:t>s</w:t>
      </w:r>
      <w:r w:rsidRPr="001B51C3">
        <w:rPr>
          <w:rFonts w:ascii="Times New Roman" w:hAnsi="Times New Roman"/>
          <w:b/>
          <w:color w:val="FFC000"/>
          <w:sz w:val="24"/>
          <w:szCs w:val="21"/>
        </w:rPr>
        <w:t>trategy</w:t>
      </w:r>
    </w:p>
    <w:p w14:paraId="680D0887" w14:textId="77777777" w:rsidR="007518E4" w:rsidRPr="005E47F2" w:rsidRDefault="007518E4" w:rsidP="008037D9">
      <w:pPr>
        <w:pStyle w:val="ListParagraph"/>
        <w:numPr>
          <w:ilvl w:val="0"/>
          <w:numId w:val="62"/>
        </w:numPr>
        <w:autoSpaceDE w:val="0"/>
        <w:autoSpaceDN w:val="0"/>
        <w:adjustRightInd w:val="0"/>
        <w:spacing w:after="240"/>
        <w:contextualSpacing w:val="0"/>
        <w:rPr>
          <w:rFonts w:ascii="Times New Roman" w:eastAsia="ヒラギノ角ゴ Pro W3" w:hAnsi="Times New Roman"/>
          <w:color w:val="000000"/>
          <w:sz w:val="24"/>
          <w:lang w:eastAsia="en-IN"/>
        </w:rPr>
      </w:pPr>
      <w:r w:rsidRPr="00FD748F">
        <w:rPr>
          <w:rFonts w:ascii="Times New Roman" w:eastAsia="ヒラギノ角ゴ Pro W3" w:hAnsi="Times New Roman"/>
          <w:b/>
          <w:color w:val="000000"/>
          <w:sz w:val="24"/>
          <w:lang w:eastAsia="en-IN"/>
        </w:rPr>
        <w:t>The IMF-World Bank Debt Sustainability Analysis Framework (DSF) is currently the main tool used to evaluate the</w:t>
      </w:r>
      <w:r w:rsidRPr="00FD748F">
        <w:rPr>
          <w:rFonts w:ascii="Times New Roman" w:hAnsi="Times New Roman"/>
          <w:b/>
          <w:sz w:val="24"/>
        </w:rPr>
        <w:t xml:space="preserve"> sustainability of public debt.</w:t>
      </w:r>
      <w:r w:rsidRPr="00F87297">
        <w:rPr>
          <w:rFonts w:ascii="Times New Roman" w:hAnsi="Times New Roman"/>
          <w:sz w:val="24"/>
        </w:rPr>
        <w:t xml:space="preserve"> </w:t>
      </w:r>
      <w:r w:rsidRPr="00F87297">
        <w:rPr>
          <w:rFonts w:ascii="Times New Roman" w:eastAsia="ヒラギノ角ゴ Pro W3" w:hAnsi="Times New Roman"/>
          <w:color w:val="000000"/>
          <w:sz w:val="24"/>
          <w:lang w:eastAsia="en-IN"/>
        </w:rPr>
        <w:t>The report on Lao PDR Debt Sustainability Analysis (DSA)</w:t>
      </w:r>
      <w:r w:rsidRPr="00F87297">
        <w:rPr>
          <w:rStyle w:val="FootnoteReference"/>
          <w:rFonts w:ascii="Times New Roman" w:eastAsia="ヒラギノ角ゴ Pro W3" w:hAnsi="Times New Roman"/>
          <w:color w:val="000000"/>
          <w:sz w:val="24"/>
          <w:lang w:eastAsia="en-IN"/>
        </w:rPr>
        <w:footnoteReference w:id="31"/>
      </w:r>
      <w:r w:rsidRPr="00F87297">
        <w:rPr>
          <w:rFonts w:ascii="Times New Roman" w:eastAsia="ヒラギノ角ゴ Pro W3" w:hAnsi="Times New Roman"/>
          <w:color w:val="000000"/>
          <w:sz w:val="24"/>
          <w:lang w:eastAsia="en-IN"/>
        </w:rPr>
        <w:t xml:space="preserve"> is prepared and circulated by the IMF assessing the impact of government borrowing on the general economic environment.</w:t>
      </w:r>
      <w:r>
        <w:rPr>
          <w:rFonts w:ascii="Times New Roman" w:eastAsia="ヒラギノ角ゴ Pro W3" w:hAnsi="Times New Roman"/>
          <w:color w:val="000000"/>
          <w:sz w:val="24"/>
          <w:lang w:eastAsia="en-IN"/>
        </w:rPr>
        <w:t xml:space="preserve"> </w:t>
      </w:r>
      <w:r w:rsidRPr="00F87297">
        <w:rPr>
          <w:rFonts w:ascii="Times New Roman" w:eastAsia="ヒラギノ角ゴ Pro W3" w:hAnsi="Times New Roman"/>
          <w:color w:val="000000"/>
          <w:sz w:val="24"/>
          <w:lang w:eastAsia="en-IN"/>
        </w:rPr>
        <w:t xml:space="preserve">It also </w:t>
      </w:r>
      <w:proofErr w:type="gramStart"/>
      <w:r w:rsidRPr="00F87297">
        <w:rPr>
          <w:rFonts w:ascii="Times New Roman" w:eastAsia="ヒラギノ角ゴ Pro W3" w:hAnsi="Times New Roman"/>
          <w:color w:val="000000"/>
          <w:sz w:val="24"/>
          <w:lang w:eastAsia="en-IN"/>
        </w:rPr>
        <w:t>looked into</w:t>
      </w:r>
      <w:proofErr w:type="gramEnd"/>
      <w:r w:rsidRPr="00F87297">
        <w:rPr>
          <w:rFonts w:ascii="Times New Roman" w:eastAsia="ヒラギノ角ゴ Pro W3" w:hAnsi="Times New Roman"/>
          <w:color w:val="000000"/>
          <w:sz w:val="24"/>
          <w:lang w:eastAsia="en-IN"/>
        </w:rPr>
        <w:t xml:space="preserve"> factors that have </w:t>
      </w:r>
      <w:r>
        <w:rPr>
          <w:rFonts w:ascii="Times New Roman" w:eastAsia="ヒラギノ角ゴ Pro W3" w:hAnsi="Times New Roman"/>
          <w:color w:val="000000"/>
          <w:sz w:val="24"/>
          <w:lang w:eastAsia="en-IN"/>
        </w:rPr>
        <w:t>driven the government</w:t>
      </w:r>
      <w:r w:rsidRPr="00F87297">
        <w:rPr>
          <w:rFonts w:ascii="Times New Roman" w:eastAsia="ヒラギノ角ゴ Pro W3" w:hAnsi="Times New Roman"/>
          <w:color w:val="000000"/>
          <w:sz w:val="24"/>
          <w:lang w:eastAsia="en-IN"/>
        </w:rPr>
        <w:t xml:space="preserve"> to contract debt for the period up to 2016. The 2017 </w:t>
      </w:r>
      <w:r w:rsidRPr="00F87297">
        <w:rPr>
          <w:rFonts w:ascii="Times New Roman" w:hAnsi="Times New Roman"/>
          <w:bCs/>
          <w:sz w:val="24"/>
        </w:rPr>
        <w:t xml:space="preserve">joint International </w:t>
      </w:r>
      <w:r w:rsidRPr="00F87297">
        <w:rPr>
          <w:rFonts w:ascii="Times New Roman" w:eastAsia="ヒラギノ角ゴ Pro W3" w:hAnsi="Times New Roman"/>
          <w:color w:val="000000"/>
          <w:sz w:val="24"/>
          <w:lang w:eastAsia="en-IN"/>
        </w:rPr>
        <w:t>Monetary Fund – World Bank Debt Sustainability Analysis has moved Lao PDR to high risk of debt distress.</w:t>
      </w:r>
      <w:r w:rsidRPr="00F87297">
        <w:rPr>
          <w:rFonts w:ascii="Times New Roman" w:hAnsi="Times New Roman"/>
          <w:sz w:val="24"/>
        </w:rPr>
        <w:t xml:space="preserve"> </w:t>
      </w:r>
    </w:p>
    <w:p w14:paraId="570D0CEA" w14:textId="77777777" w:rsidR="007518E4" w:rsidRDefault="007518E4" w:rsidP="008037D9">
      <w:pPr>
        <w:pStyle w:val="ListParagraph"/>
        <w:numPr>
          <w:ilvl w:val="0"/>
          <w:numId w:val="62"/>
        </w:numPr>
        <w:autoSpaceDE w:val="0"/>
        <w:autoSpaceDN w:val="0"/>
        <w:adjustRightInd w:val="0"/>
        <w:spacing w:after="240"/>
        <w:contextualSpacing w:val="0"/>
        <w:rPr>
          <w:rFonts w:ascii="Times New Roman" w:eastAsia="ヒラギノ角ゴ Pro W3" w:hAnsi="Times New Roman"/>
          <w:color w:val="000000"/>
          <w:sz w:val="24"/>
          <w:lang w:eastAsia="en-IN"/>
        </w:rPr>
      </w:pPr>
      <w:r w:rsidRPr="00FD748F">
        <w:rPr>
          <w:rFonts w:ascii="Times New Roman" w:hAnsi="Times New Roman"/>
          <w:b/>
          <w:iCs/>
          <w:sz w:val="24"/>
          <w:lang w:val="en-MY"/>
        </w:rPr>
        <w:t xml:space="preserve">The government has endorsed the need to minimize </w:t>
      </w:r>
      <w:r w:rsidRPr="00FD748F">
        <w:rPr>
          <w:rFonts w:ascii="Times New Roman" w:eastAsia="ヒラギノ角ゴ Pro W3" w:hAnsi="Times New Roman"/>
          <w:b/>
          <w:color w:val="000000"/>
          <w:sz w:val="24"/>
          <w:lang w:eastAsia="en-IN"/>
        </w:rPr>
        <w:t>debt on commercial terms and maintain borrowing on concessionary terms where the loan proceeds are directed towards developmental projects.</w:t>
      </w:r>
      <w:r w:rsidR="00374990">
        <w:rPr>
          <w:rFonts w:ascii="Times New Roman" w:eastAsia="ヒラギノ角ゴ Pro W3" w:hAnsi="Times New Roman"/>
          <w:color w:val="000000"/>
          <w:sz w:val="24"/>
          <w:lang w:eastAsia="en-IN"/>
        </w:rPr>
        <w:t xml:space="preserve"> </w:t>
      </w:r>
      <w:r w:rsidRPr="005E47F2">
        <w:rPr>
          <w:rFonts w:ascii="Times New Roman" w:eastAsia="ヒラギノ角ゴ Pro W3" w:hAnsi="Times New Roman"/>
          <w:color w:val="000000"/>
          <w:sz w:val="24"/>
          <w:lang w:eastAsia="en-IN"/>
        </w:rPr>
        <w:t xml:space="preserve">Under the new </w:t>
      </w:r>
      <w:r>
        <w:rPr>
          <w:rFonts w:ascii="Times New Roman" w:eastAsia="ヒラギノ角ゴ Pro W3" w:hAnsi="Times New Roman"/>
          <w:color w:val="000000"/>
          <w:sz w:val="24"/>
          <w:lang w:eastAsia="en-IN"/>
        </w:rPr>
        <w:t xml:space="preserve">legal </w:t>
      </w:r>
      <w:r w:rsidRPr="005E47F2">
        <w:rPr>
          <w:rFonts w:ascii="Times New Roman" w:eastAsia="ヒラギノ角ゴ Pro W3" w:hAnsi="Times New Roman"/>
          <w:color w:val="000000"/>
          <w:sz w:val="24"/>
          <w:lang w:eastAsia="en-IN"/>
        </w:rPr>
        <w:t>responsibility for debt issue</w:t>
      </w:r>
      <w:r>
        <w:rPr>
          <w:rFonts w:ascii="Times New Roman" w:eastAsia="ヒラギノ角ゴ Pro W3" w:hAnsi="Times New Roman"/>
          <w:color w:val="000000"/>
          <w:sz w:val="24"/>
          <w:lang w:eastAsia="en-IN"/>
        </w:rPr>
        <w:t>s,</w:t>
      </w:r>
      <w:r w:rsidRPr="005E47F2">
        <w:rPr>
          <w:rFonts w:ascii="Times New Roman" w:eastAsia="ヒラギノ角ゴ Pro W3" w:hAnsi="Times New Roman"/>
          <w:color w:val="000000"/>
          <w:sz w:val="24"/>
          <w:lang w:eastAsia="en-IN"/>
        </w:rPr>
        <w:t xml:space="preserve"> a debt management strategy </w:t>
      </w:r>
      <w:r>
        <w:rPr>
          <w:rFonts w:ascii="Times New Roman" w:eastAsia="ヒラギノ角ゴ Pro W3" w:hAnsi="Times New Roman"/>
          <w:color w:val="000000"/>
          <w:sz w:val="24"/>
          <w:lang w:eastAsia="en-IN"/>
        </w:rPr>
        <w:t xml:space="preserve">has been developed and </w:t>
      </w:r>
      <w:r w:rsidRPr="005E47F2">
        <w:rPr>
          <w:rFonts w:ascii="Times New Roman" w:eastAsia="ヒラギノ角ゴ Pro W3" w:hAnsi="Times New Roman"/>
          <w:color w:val="000000"/>
          <w:sz w:val="24"/>
          <w:lang w:eastAsia="en-IN"/>
        </w:rPr>
        <w:t xml:space="preserve">is available in draft form as an internal document but </w:t>
      </w:r>
      <w:r>
        <w:rPr>
          <w:rFonts w:ascii="Times New Roman" w:eastAsia="ヒラギノ角ゴ Pro W3" w:hAnsi="Times New Roman"/>
          <w:color w:val="000000"/>
          <w:sz w:val="24"/>
          <w:lang w:eastAsia="en-IN"/>
        </w:rPr>
        <w:t>a</w:t>
      </w:r>
      <w:r w:rsidRPr="005E47F2">
        <w:rPr>
          <w:rFonts w:ascii="Times New Roman" w:eastAsia="ヒラギノ角ゴ Pro W3" w:hAnsi="Times New Roman"/>
          <w:color w:val="000000"/>
          <w:sz w:val="24"/>
          <w:lang w:eastAsia="en-IN"/>
        </w:rPr>
        <w:t>s of August 2018, had not yet been made publicly available: Score D.</w:t>
      </w:r>
    </w:p>
    <w:p w14:paraId="2AB56019" w14:textId="77777777" w:rsidR="007518E4" w:rsidRPr="00A13094" w:rsidRDefault="007518E4" w:rsidP="008037D9">
      <w:pPr>
        <w:pStyle w:val="ListParagraph"/>
        <w:numPr>
          <w:ilvl w:val="0"/>
          <w:numId w:val="62"/>
        </w:numPr>
        <w:autoSpaceDE w:val="0"/>
        <w:autoSpaceDN w:val="0"/>
        <w:adjustRightInd w:val="0"/>
        <w:spacing w:after="240"/>
        <w:contextualSpacing w:val="0"/>
        <w:rPr>
          <w:rFonts w:ascii="Times New Roman" w:eastAsia="ヒラギノ角ゴ Pro W3" w:hAnsi="Times New Roman"/>
          <w:color w:val="000000"/>
          <w:sz w:val="24"/>
          <w:lang w:eastAsia="en-IN"/>
        </w:rPr>
      </w:pPr>
      <w:r w:rsidRPr="00FD748F">
        <w:rPr>
          <w:rFonts w:ascii="Times New Roman" w:hAnsi="Times New Roman"/>
          <w:b/>
          <w:bCs/>
          <w:spacing w:val="-2"/>
          <w:sz w:val="24"/>
        </w:rPr>
        <w:t xml:space="preserve">The recently adopted 2018 Public Debt Law provides the strategic framework to </w:t>
      </w:r>
      <w:r w:rsidRPr="00FD748F">
        <w:rPr>
          <w:rFonts w:ascii="Times New Roman" w:hAnsi="Times New Roman"/>
          <w:b/>
          <w:iCs/>
          <w:sz w:val="24"/>
          <w:lang w:val="en-MY"/>
        </w:rPr>
        <w:t>improve debt management</w:t>
      </w:r>
      <w:r w:rsidRPr="00FD748F">
        <w:rPr>
          <w:rFonts w:ascii="Times New Roman" w:hAnsi="Times New Roman"/>
          <w:b/>
          <w:bCs/>
          <w:spacing w:val="-2"/>
          <w:sz w:val="24"/>
        </w:rPr>
        <w:t xml:space="preserve"> and particularly </w:t>
      </w:r>
      <w:r w:rsidRPr="00FD748F">
        <w:rPr>
          <w:rFonts w:ascii="Times New Roman" w:hAnsi="Times New Roman"/>
          <w:b/>
          <w:iCs/>
          <w:sz w:val="24"/>
          <w:lang w:val="en-MY"/>
        </w:rPr>
        <w:t>the issuance of sovereign debt and guarantees.</w:t>
      </w:r>
      <w:r w:rsidR="00374990">
        <w:rPr>
          <w:rFonts w:ascii="Times New Roman" w:hAnsi="Times New Roman"/>
          <w:iCs/>
          <w:sz w:val="24"/>
          <w:lang w:val="en-MY"/>
        </w:rPr>
        <w:t xml:space="preserve"> </w:t>
      </w:r>
      <w:r w:rsidRPr="00A13094">
        <w:rPr>
          <w:rFonts w:ascii="Times New Roman" w:hAnsi="Times New Roman"/>
          <w:iCs/>
          <w:sz w:val="24"/>
          <w:lang w:val="en-MY"/>
        </w:rPr>
        <w:t xml:space="preserve">It is expected that guidelines be </w:t>
      </w:r>
      <w:r w:rsidRPr="00A13094">
        <w:rPr>
          <w:rFonts w:ascii="Times New Roman" w:hAnsi="Times New Roman"/>
          <w:bCs/>
          <w:spacing w:val="-2"/>
          <w:sz w:val="24"/>
        </w:rPr>
        <w:t xml:space="preserve">developed for the preparation of (i) a 5-year plan (Strategy for Public Debt Management in Lao PDR) that provides broad guidelines for public </w:t>
      </w:r>
      <w:r w:rsidRPr="00A13094">
        <w:rPr>
          <w:rFonts w:ascii="Times New Roman" w:hAnsi="Times New Roman"/>
          <w:bCs/>
          <w:spacing w:val="-2"/>
          <w:sz w:val="24"/>
        </w:rPr>
        <w:lastRenderedPageBreak/>
        <w:t xml:space="preserve">debt management, and (ii) a rolling 3-year plan (Medium-term Borrowing Plan) that provides targets for the debt structure and risk exposure and iii) the tool to </w:t>
      </w:r>
      <w:r w:rsidRPr="00A13094">
        <w:rPr>
          <w:rFonts w:ascii="Times New Roman" w:hAnsi="Times New Roman"/>
          <w:iCs/>
          <w:sz w:val="24"/>
          <w:lang w:val="en-MY"/>
        </w:rPr>
        <w:t>perform regular debt</w:t>
      </w:r>
      <w:r w:rsidRPr="00A13094">
        <w:rPr>
          <w:rFonts w:ascii="Times New Roman" w:hAnsi="Times New Roman"/>
          <w:bCs/>
          <w:spacing w:val="-2"/>
          <w:sz w:val="24"/>
        </w:rPr>
        <w:t xml:space="preserve"> </w:t>
      </w:r>
      <w:r w:rsidRPr="00A13094">
        <w:rPr>
          <w:rFonts w:ascii="Times New Roman" w:hAnsi="Times New Roman"/>
          <w:iCs/>
          <w:sz w:val="24"/>
          <w:lang w:val="en-MY"/>
        </w:rPr>
        <w:t>sustainability analysis to inform borrowing decisions. The EFD has also requested assistance from donors to replace the DMFAS version used since 2011 and migrate to the CS-DRMS (Commonwealth Secretariat – Debt Recording and Management System).</w:t>
      </w:r>
    </w:p>
    <w:p w14:paraId="0B3478ED" w14:textId="28ED2857" w:rsidR="007518E4" w:rsidRDefault="007518E4" w:rsidP="007518E4">
      <w:pPr>
        <w:rPr>
          <w:rFonts w:ascii="Times New Roman" w:eastAsia="Calibri" w:hAnsi="Times New Roman"/>
          <w:b/>
          <w:bCs/>
          <w:i/>
          <w:color w:val="25456B"/>
          <w:spacing w:val="-1"/>
        </w:rPr>
      </w:pPr>
      <w:r>
        <w:rPr>
          <w:rFonts w:ascii="Times New Roman" w:eastAsia="Calibri" w:hAnsi="Times New Roman"/>
          <w:b/>
          <w:bCs/>
          <w:i/>
          <w:color w:val="25456B"/>
          <w:spacing w:val="-1"/>
        </w:rPr>
        <w:br w:type="page"/>
      </w:r>
    </w:p>
    <w:p w14:paraId="770FC767" w14:textId="77777777" w:rsidR="007518E4" w:rsidRPr="00103029" w:rsidRDefault="007518E4" w:rsidP="00103029">
      <w:pPr>
        <w:pStyle w:val="Heading1"/>
        <w:ind w:left="0"/>
        <w:jc w:val="left"/>
        <w:rPr>
          <w:rFonts w:ascii="Times New Roman" w:hAnsi="Times New Roman"/>
          <w:b/>
          <w:color w:val="C0504D" w:themeColor="accent2"/>
        </w:rPr>
      </w:pPr>
      <w:bookmarkStart w:id="67" w:name="_Toc518901797"/>
      <w:bookmarkStart w:id="68" w:name="_Toc4148992"/>
      <w:r w:rsidRPr="00103029">
        <w:rPr>
          <w:rFonts w:ascii="Times New Roman" w:hAnsi="Times New Roman"/>
          <w:b/>
          <w:color w:val="C0504D" w:themeColor="accent2"/>
        </w:rPr>
        <w:lastRenderedPageBreak/>
        <w:t>PILLAR FOUR: Policy Based Fiscal Strategy and Budgeting</w:t>
      </w:r>
      <w:bookmarkEnd w:id="67"/>
      <w:bookmarkEnd w:id="68"/>
    </w:p>
    <w:p w14:paraId="3361BA2C" w14:textId="77777777" w:rsidR="007518E4" w:rsidRDefault="007518E4" w:rsidP="00200DE4">
      <w:pPr>
        <w:pStyle w:val="Heading3"/>
        <w:spacing w:after="240"/>
        <w:ind w:left="0"/>
        <w:rPr>
          <w:rFonts w:ascii="Times New Roman" w:eastAsia="Calibri" w:hAnsi="Times New Roman"/>
          <w:b w:val="0"/>
          <w:bCs w:val="0"/>
          <w:color w:val="F06322"/>
          <w:spacing w:val="-1"/>
          <w:szCs w:val="28"/>
        </w:rPr>
      </w:pPr>
      <w:bookmarkStart w:id="69" w:name="_Toc518901798"/>
      <w:bookmarkStart w:id="70" w:name="_Toc4148993"/>
      <w:r w:rsidRPr="00FE6ED4">
        <w:rPr>
          <w:rFonts w:ascii="Times New Roman" w:eastAsia="Calibri" w:hAnsi="Times New Roman"/>
          <w:color w:val="F06322"/>
          <w:spacing w:val="-1"/>
          <w:szCs w:val="28"/>
        </w:rPr>
        <w:t xml:space="preserve">PI-14. </w:t>
      </w:r>
      <w:r w:rsidRPr="003511C8">
        <w:rPr>
          <w:rFonts w:ascii="Times New Roman" w:eastAsia="Calibri" w:hAnsi="Times New Roman"/>
          <w:color w:val="F06322"/>
          <w:spacing w:val="-1"/>
          <w:szCs w:val="28"/>
        </w:rPr>
        <w:t>Macroeconomic</w:t>
      </w:r>
      <w:r w:rsidRPr="00FE6ED4">
        <w:rPr>
          <w:rFonts w:ascii="Times New Roman" w:eastAsia="Calibri" w:hAnsi="Times New Roman"/>
          <w:color w:val="F06322"/>
          <w:spacing w:val="-1"/>
          <w:szCs w:val="28"/>
        </w:rPr>
        <w:t xml:space="preserve"> and </w:t>
      </w:r>
      <w:r>
        <w:rPr>
          <w:rFonts w:ascii="Times New Roman" w:eastAsia="Calibri" w:hAnsi="Times New Roman"/>
          <w:color w:val="F06322"/>
          <w:spacing w:val="-1"/>
          <w:szCs w:val="28"/>
        </w:rPr>
        <w:t>f</w:t>
      </w:r>
      <w:r w:rsidRPr="00FE6ED4">
        <w:rPr>
          <w:rFonts w:ascii="Times New Roman" w:eastAsia="Calibri" w:hAnsi="Times New Roman"/>
          <w:color w:val="F06322"/>
          <w:spacing w:val="-1"/>
          <w:szCs w:val="28"/>
        </w:rPr>
        <w:t xml:space="preserve">iscal </w:t>
      </w:r>
      <w:r>
        <w:rPr>
          <w:rFonts w:ascii="Times New Roman" w:eastAsia="Calibri" w:hAnsi="Times New Roman"/>
          <w:color w:val="F06322"/>
          <w:spacing w:val="-1"/>
          <w:szCs w:val="28"/>
        </w:rPr>
        <w:t>f</w:t>
      </w:r>
      <w:r w:rsidRPr="00FE6ED4">
        <w:rPr>
          <w:rFonts w:ascii="Times New Roman" w:eastAsia="Calibri" w:hAnsi="Times New Roman"/>
          <w:color w:val="F06322"/>
          <w:spacing w:val="-1"/>
          <w:szCs w:val="28"/>
        </w:rPr>
        <w:t>orecasting</w:t>
      </w:r>
      <w:bookmarkEnd w:id="69"/>
      <w:bookmarkEnd w:id="70"/>
    </w:p>
    <w:p w14:paraId="472FF849" w14:textId="77777777" w:rsidR="007518E4" w:rsidRDefault="007518E4" w:rsidP="00921730">
      <w:pPr>
        <w:pStyle w:val="ListParagraph"/>
        <w:numPr>
          <w:ilvl w:val="0"/>
          <w:numId w:val="62"/>
        </w:numPr>
        <w:autoSpaceDE w:val="0"/>
        <w:autoSpaceDN w:val="0"/>
        <w:adjustRightInd w:val="0"/>
        <w:spacing w:after="240"/>
        <w:contextualSpacing w:val="0"/>
        <w:rPr>
          <w:rFonts w:ascii="Times New Roman" w:hAnsi="Times New Roman"/>
          <w:sz w:val="24"/>
        </w:rPr>
      </w:pPr>
      <w:r w:rsidRPr="00103029">
        <w:rPr>
          <w:rFonts w:ascii="Times New Roman" w:hAnsi="Times New Roman"/>
          <w:b/>
          <w:sz w:val="24"/>
        </w:rPr>
        <w:t>This indicator measures the ability of a country to develop robust macroeconomic and fiscal forecasts, which are crucial to developing a sustainable fiscal strategy and ensuring greater predictability of budget allocations.</w:t>
      </w:r>
      <w:r w:rsidRPr="001964B6">
        <w:rPr>
          <w:rFonts w:ascii="Times New Roman" w:hAnsi="Times New Roman"/>
          <w:sz w:val="24"/>
        </w:rPr>
        <w:t xml:space="preserve"> It also assesses the government’s capacity to estimate the fiscal impact of potential changes in economic circumstances.  The </w:t>
      </w:r>
      <w:proofErr w:type="gramStart"/>
      <w:r w:rsidRPr="00781CDC">
        <w:rPr>
          <w:rFonts w:ascii="Times New Roman" w:hAnsi="Times New Roman"/>
          <w:sz w:val="24"/>
        </w:rPr>
        <w:t>time period</w:t>
      </w:r>
      <w:proofErr w:type="gramEnd"/>
      <w:r w:rsidRPr="00781CDC">
        <w:rPr>
          <w:rFonts w:ascii="Times New Roman" w:hAnsi="Times New Roman"/>
          <w:sz w:val="24"/>
        </w:rPr>
        <w:t xml:space="preserve"> is the l</w:t>
      </w:r>
      <w:r w:rsidRPr="001964B6">
        <w:rPr>
          <w:rFonts w:ascii="Times New Roman" w:hAnsi="Times New Roman"/>
          <w:sz w:val="24"/>
        </w:rPr>
        <w:t>ast three completed fiscal years.  The c</w:t>
      </w:r>
      <w:r w:rsidRPr="00781CDC">
        <w:rPr>
          <w:rFonts w:ascii="Times New Roman" w:hAnsi="Times New Roman"/>
          <w:sz w:val="24"/>
        </w:rPr>
        <w:t xml:space="preserve">overage is for dimension 14.1: </w:t>
      </w:r>
      <w:r>
        <w:rPr>
          <w:rFonts w:ascii="Times New Roman" w:hAnsi="Times New Roman"/>
          <w:sz w:val="24"/>
        </w:rPr>
        <w:t>Whole E</w:t>
      </w:r>
      <w:r w:rsidRPr="001964B6">
        <w:rPr>
          <w:rFonts w:ascii="Times New Roman" w:hAnsi="Times New Roman"/>
          <w:sz w:val="24"/>
        </w:rPr>
        <w:t xml:space="preserve">conomy and for </w:t>
      </w:r>
      <w:r w:rsidRPr="00781CDC">
        <w:rPr>
          <w:rFonts w:ascii="Times New Roman" w:hAnsi="Times New Roman"/>
          <w:sz w:val="24"/>
        </w:rPr>
        <w:t xml:space="preserve">Dimensions 14.2 and 14.3: </w:t>
      </w:r>
      <w:r w:rsidRPr="001964B6">
        <w:rPr>
          <w:rFonts w:ascii="Times New Roman" w:hAnsi="Times New Roman"/>
          <w:sz w:val="24"/>
        </w:rPr>
        <w:t>Central Government.</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1186"/>
        <w:gridCol w:w="5017"/>
      </w:tblGrid>
      <w:tr w:rsidR="007518E4" w:rsidRPr="00930334" w14:paraId="3F2FC422" w14:textId="77777777" w:rsidTr="00374990">
        <w:trPr>
          <w:trHeight w:val="397"/>
          <w:jc w:val="center"/>
        </w:trPr>
        <w:tc>
          <w:tcPr>
            <w:tcW w:w="1485" w:type="pct"/>
            <w:shd w:val="clear" w:color="auto" w:fill="D9D9D9"/>
            <w:vAlign w:val="center"/>
          </w:tcPr>
          <w:p w14:paraId="1654DB3E" w14:textId="77777777" w:rsidR="007518E4" w:rsidRPr="00A13094" w:rsidRDefault="007518E4" w:rsidP="00374990">
            <w:pPr>
              <w:spacing w:before="0"/>
              <w:ind w:hanging="545"/>
              <w:jc w:val="center"/>
              <w:rPr>
                <w:rFonts w:ascii="Times New Roman" w:hAnsi="Times New Roman"/>
              </w:rPr>
            </w:pPr>
            <w:r w:rsidRPr="00A13094">
              <w:rPr>
                <w:rFonts w:ascii="Times New Roman" w:hAnsi="Times New Roman"/>
              </w:rPr>
              <w:t>Indicator/Dimension</w:t>
            </w:r>
          </w:p>
        </w:tc>
        <w:tc>
          <w:tcPr>
            <w:tcW w:w="672" w:type="pct"/>
            <w:shd w:val="clear" w:color="auto" w:fill="D9D9D9"/>
            <w:vAlign w:val="center"/>
          </w:tcPr>
          <w:p w14:paraId="506BA161" w14:textId="77777777" w:rsidR="007518E4" w:rsidRPr="00A13094" w:rsidRDefault="007518E4" w:rsidP="00374990">
            <w:pPr>
              <w:spacing w:before="0"/>
              <w:ind w:left="0"/>
              <w:jc w:val="center"/>
              <w:rPr>
                <w:rFonts w:ascii="Times New Roman" w:hAnsi="Times New Roman"/>
              </w:rPr>
            </w:pPr>
            <w:r w:rsidRPr="00A13094">
              <w:rPr>
                <w:rFonts w:ascii="Times New Roman" w:hAnsi="Times New Roman"/>
              </w:rPr>
              <w:t>Score</w:t>
            </w:r>
          </w:p>
        </w:tc>
        <w:tc>
          <w:tcPr>
            <w:tcW w:w="2843" w:type="pct"/>
            <w:shd w:val="clear" w:color="auto" w:fill="D9D9D9"/>
            <w:vAlign w:val="center"/>
          </w:tcPr>
          <w:p w14:paraId="4C1AE77F" w14:textId="77777777" w:rsidR="007518E4" w:rsidRPr="00A13094" w:rsidRDefault="007518E4" w:rsidP="00374990">
            <w:pPr>
              <w:spacing w:before="0"/>
              <w:ind w:hanging="545"/>
              <w:jc w:val="center"/>
              <w:rPr>
                <w:rFonts w:ascii="Times New Roman" w:hAnsi="Times New Roman"/>
              </w:rPr>
            </w:pPr>
            <w:r w:rsidRPr="00A13094">
              <w:rPr>
                <w:rFonts w:ascii="Times New Roman" w:hAnsi="Times New Roman"/>
              </w:rPr>
              <w:t>Brief Explanation</w:t>
            </w:r>
          </w:p>
        </w:tc>
      </w:tr>
      <w:tr w:rsidR="007518E4" w:rsidRPr="00930334" w14:paraId="6FEFF741" w14:textId="77777777" w:rsidTr="00374990">
        <w:trPr>
          <w:trHeight w:val="647"/>
          <w:jc w:val="center"/>
        </w:trPr>
        <w:tc>
          <w:tcPr>
            <w:tcW w:w="1485" w:type="pct"/>
            <w:vAlign w:val="center"/>
          </w:tcPr>
          <w:p w14:paraId="268433C1" w14:textId="77777777" w:rsidR="007518E4" w:rsidRPr="00A13094" w:rsidRDefault="007518E4" w:rsidP="00103029">
            <w:pPr>
              <w:spacing w:before="0"/>
              <w:ind w:left="0"/>
              <w:jc w:val="left"/>
              <w:rPr>
                <w:rFonts w:ascii="Times New Roman" w:hAnsi="Times New Roman"/>
              </w:rPr>
            </w:pPr>
            <w:r w:rsidRPr="00A13094">
              <w:rPr>
                <w:rFonts w:ascii="Times New Roman" w:hAnsi="Times New Roman"/>
                <w:bCs/>
              </w:rPr>
              <w:t>PI-14 Macroeconomic and fiscal forecasting</w:t>
            </w:r>
          </w:p>
        </w:tc>
        <w:tc>
          <w:tcPr>
            <w:tcW w:w="672" w:type="pct"/>
            <w:vAlign w:val="center"/>
          </w:tcPr>
          <w:p w14:paraId="38C24011" w14:textId="77777777" w:rsidR="007518E4" w:rsidRPr="00A13094" w:rsidRDefault="007518E4" w:rsidP="00103029">
            <w:pPr>
              <w:spacing w:before="0"/>
              <w:ind w:left="0"/>
              <w:jc w:val="center"/>
              <w:rPr>
                <w:rFonts w:ascii="Times New Roman" w:hAnsi="Times New Roman"/>
              </w:rPr>
            </w:pPr>
            <w:r w:rsidRPr="00A13094">
              <w:rPr>
                <w:rFonts w:ascii="Times New Roman" w:hAnsi="Times New Roman"/>
              </w:rPr>
              <w:t>D+</w:t>
            </w:r>
          </w:p>
        </w:tc>
        <w:tc>
          <w:tcPr>
            <w:tcW w:w="2843" w:type="pct"/>
            <w:vAlign w:val="center"/>
          </w:tcPr>
          <w:p w14:paraId="0F20948F" w14:textId="77777777" w:rsidR="007518E4" w:rsidRPr="00A13094" w:rsidRDefault="007518E4" w:rsidP="00103029">
            <w:pPr>
              <w:spacing w:before="0"/>
              <w:ind w:left="0"/>
              <w:rPr>
                <w:rFonts w:ascii="Times New Roman" w:hAnsi="Times New Roman"/>
              </w:rPr>
            </w:pPr>
            <w:r w:rsidRPr="00A13094">
              <w:rPr>
                <w:rFonts w:ascii="Times New Roman" w:hAnsi="Times New Roman"/>
              </w:rPr>
              <w:t>Dimensions combined by Method M2 (average)</w:t>
            </w:r>
          </w:p>
        </w:tc>
      </w:tr>
      <w:tr w:rsidR="007518E4" w:rsidRPr="00930334" w14:paraId="4E25B182" w14:textId="77777777" w:rsidTr="00374990">
        <w:trPr>
          <w:trHeight w:val="647"/>
          <w:jc w:val="center"/>
        </w:trPr>
        <w:tc>
          <w:tcPr>
            <w:tcW w:w="1485" w:type="pct"/>
            <w:vAlign w:val="center"/>
          </w:tcPr>
          <w:p w14:paraId="63ED797D" w14:textId="77777777" w:rsidR="007518E4" w:rsidRPr="00A13094" w:rsidRDefault="007518E4" w:rsidP="00103029">
            <w:pPr>
              <w:spacing w:before="0"/>
              <w:ind w:left="0"/>
              <w:jc w:val="left"/>
              <w:rPr>
                <w:rFonts w:ascii="Times New Roman" w:hAnsi="Times New Roman"/>
                <w:color w:val="000000"/>
              </w:rPr>
            </w:pPr>
            <w:r w:rsidRPr="00A13094">
              <w:rPr>
                <w:rFonts w:ascii="Times New Roman" w:hAnsi="Times New Roman"/>
                <w:color w:val="000000"/>
              </w:rPr>
              <w:t>14.1 Macroeconomic forecasts</w:t>
            </w:r>
          </w:p>
        </w:tc>
        <w:tc>
          <w:tcPr>
            <w:tcW w:w="672" w:type="pct"/>
            <w:vAlign w:val="center"/>
          </w:tcPr>
          <w:p w14:paraId="285A9A6F" w14:textId="77777777" w:rsidR="007518E4" w:rsidRPr="00A13094" w:rsidRDefault="005E4DBA" w:rsidP="00103029">
            <w:pPr>
              <w:spacing w:before="0"/>
              <w:ind w:left="0"/>
              <w:jc w:val="center"/>
              <w:rPr>
                <w:rFonts w:ascii="Times New Roman" w:hAnsi="Times New Roman"/>
              </w:rPr>
            </w:pPr>
            <w:r>
              <w:rPr>
                <w:rFonts w:ascii="Times New Roman" w:hAnsi="Times New Roman"/>
              </w:rPr>
              <w:t>C</w:t>
            </w:r>
          </w:p>
        </w:tc>
        <w:tc>
          <w:tcPr>
            <w:tcW w:w="2843" w:type="pct"/>
            <w:vAlign w:val="center"/>
          </w:tcPr>
          <w:p w14:paraId="36E36EFD" w14:textId="77777777" w:rsidR="007518E4" w:rsidRPr="00A13094" w:rsidRDefault="007518E4" w:rsidP="00EC4385">
            <w:pPr>
              <w:spacing w:before="0"/>
              <w:ind w:left="0"/>
              <w:rPr>
                <w:rFonts w:ascii="Times New Roman" w:hAnsi="Times New Roman"/>
                <w:lang w:eastAsia="en-IN"/>
              </w:rPr>
            </w:pPr>
            <w:r w:rsidRPr="00587AF7">
              <w:rPr>
                <w:rFonts w:ascii="Times New Roman" w:eastAsia="ヒラギノ角ゴ Pro W3" w:hAnsi="Times New Roman"/>
                <w:color w:val="000000"/>
                <w:lang w:eastAsia="en-IN"/>
              </w:rPr>
              <w:t>Macro-economic forecasts are prepared annually</w:t>
            </w:r>
          </w:p>
        </w:tc>
      </w:tr>
      <w:tr w:rsidR="007518E4" w:rsidRPr="00930334" w14:paraId="59C0AA02" w14:textId="77777777" w:rsidTr="00374990">
        <w:trPr>
          <w:trHeight w:val="548"/>
          <w:jc w:val="center"/>
        </w:trPr>
        <w:tc>
          <w:tcPr>
            <w:tcW w:w="1485" w:type="pct"/>
            <w:vAlign w:val="center"/>
          </w:tcPr>
          <w:p w14:paraId="17179AA7" w14:textId="77777777" w:rsidR="007518E4" w:rsidRPr="00A13094" w:rsidRDefault="007518E4" w:rsidP="00103029">
            <w:pPr>
              <w:spacing w:before="0"/>
              <w:ind w:left="0"/>
              <w:jc w:val="left"/>
              <w:rPr>
                <w:rFonts w:ascii="Times New Roman" w:hAnsi="Times New Roman"/>
                <w:color w:val="000000"/>
              </w:rPr>
            </w:pPr>
            <w:r w:rsidRPr="00A13094">
              <w:rPr>
                <w:rFonts w:ascii="Times New Roman" w:hAnsi="Times New Roman"/>
                <w:color w:val="000000"/>
              </w:rPr>
              <w:t>14.2 Fiscal forecasts</w:t>
            </w:r>
          </w:p>
        </w:tc>
        <w:tc>
          <w:tcPr>
            <w:tcW w:w="672" w:type="pct"/>
            <w:vAlign w:val="center"/>
          </w:tcPr>
          <w:p w14:paraId="7F94A4A6" w14:textId="77777777" w:rsidR="007518E4" w:rsidRPr="00A13094" w:rsidRDefault="00EC4385" w:rsidP="00103029">
            <w:pPr>
              <w:spacing w:before="0"/>
              <w:ind w:left="0"/>
              <w:jc w:val="center"/>
              <w:rPr>
                <w:rFonts w:ascii="Times New Roman" w:hAnsi="Times New Roman"/>
              </w:rPr>
            </w:pPr>
            <w:r>
              <w:rPr>
                <w:rFonts w:ascii="Times New Roman" w:hAnsi="Times New Roman"/>
              </w:rPr>
              <w:t>D</w:t>
            </w:r>
          </w:p>
        </w:tc>
        <w:tc>
          <w:tcPr>
            <w:tcW w:w="2843" w:type="pct"/>
            <w:vAlign w:val="center"/>
          </w:tcPr>
          <w:p w14:paraId="047D660D" w14:textId="77777777" w:rsidR="007518E4" w:rsidRPr="00A13094" w:rsidRDefault="007518E4" w:rsidP="00103029">
            <w:pPr>
              <w:spacing w:before="0"/>
              <w:ind w:left="0"/>
              <w:rPr>
                <w:rFonts w:ascii="Times New Roman" w:hAnsi="Times New Roman"/>
                <w:lang w:eastAsia="en-IN"/>
              </w:rPr>
            </w:pPr>
            <w:r w:rsidRPr="00A13094">
              <w:rPr>
                <w:rFonts w:ascii="Times New Roman" w:hAnsi="Times New Roman"/>
                <w:lang w:eastAsia="en-IN"/>
              </w:rPr>
              <w:t>The government prepared forecasts of the aggregate revenue, expenditure, budget balance and financing for the budget year and the following two years for the first time in 2016 and partially presented with the budget documentation submitted to the National Assembly. Explanation of the underlying assumptions is incomplete and there is no comparison to the previous year’s forecasts</w:t>
            </w:r>
          </w:p>
        </w:tc>
      </w:tr>
      <w:tr w:rsidR="007518E4" w:rsidRPr="00930334" w14:paraId="51958726" w14:textId="77777777" w:rsidTr="00374990">
        <w:trPr>
          <w:trHeight w:val="530"/>
          <w:jc w:val="center"/>
        </w:trPr>
        <w:tc>
          <w:tcPr>
            <w:tcW w:w="1485" w:type="pct"/>
            <w:vAlign w:val="center"/>
          </w:tcPr>
          <w:p w14:paraId="4F46EBC9" w14:textId="77777777" w:rsidR="007518E4" w:rsidRPr="00A13094" w:rsidRDefault="007518E4" w:rsidP="00103029">
            <w:pPr>
              <w:spacing w:before="0"/>
              <w:ind w:left="0"/>
              <w:jc w:val="left"/>
              <w:rPr>
                <w:rFonts w:ascii="Times New Roman" w:hAnsi="Times New Roman"/>
                <w:color w:val="000000"/>
              </w:rPr>
            </w:pPr>
            <w:r w:rsidRPr="00A13094">
              <w:rPr>
                <w:rFonts w:ascii="Times New Roman" w:hAnsi="Times New Roman"/>
                <w:color w:val="000000"/>
              </w:rPr>
              <w:t>14.3 Macro-fiscal sensitivity analysis</w:t>
            </w:r>
          </w:p>
        </w:tc>
        <w:tc>
          <w:tcPr>
            <w:tcW w:w="672" w:type="pct"/>
            <w:vAlign w:val="center"/>
          </w:tcPr>
          <w:p w14:paraId="6ED06EC9" w14:textId="77777777" w:rsidR="007518E4" w:rsidRPr="00A13094" w:rsidRDefault="007518E4" w:rsidP="00103029">
            <w:pPr>
              <w:spacing w:before="0"/>
              <w:ind w:left="0"/>
              <w:jc w:val="center"/>
              <w:rPr>
                <w:rFonts w:ascii="Times New Roman" w:hAnsi="Times New Roman"/>
              </w:rPr>
            </w:pPr>
            <w:r w:rsidRPr="00A13094">
              <w:rPr>
                <w:rFonts w:ascii="Times New Roman" w:hAnsi="Times New Roman"/>
              </w:rPr>
              <w:t>D</w:t>
            </w:r>
          </w:p>
        </w:tc>
        <w:tc>
          <w:tcPr>
            <w:tcW w:w="2843" w:type="pct"/>
            <w:vAlign w:val="center"/>
          </w:tcPr>
          <w:p w14:paraId="4D36FD05" w14:textId="77777777" w:rsidR="007518E4" w:rsidRPr="00A13094" w:rsidRDefault="007518E4" w:rsidP="00103029">
            <w:pPr>
              <w:spacing w:before="0"/>
              <w:ind w:left="0"/>
              <w:rPr>
                <w:rFonts w:ascii="Times New Roman" w:eastAsia="ヒラギノ角ゴ Pro W3" w:hAnsi="Times New Roman"/>
                <w:color w:val="000000"/>
                <w:lang w:eastAsia="en-IN"/>
              </w:rPr>
            </w:pPr>
            <w:r w:rsidRPr="00A13094">
              <w:rPr>
                <w:rFonts w:ascii="Times New Roman" w:eastAsia="ヒラギノ角ゴ Pro W3" w:hAnsi="Times New Roman"/>
                <w:color w:val="000000"/>
                <w:lang w:eastAsia="en-IN"/>
              </w:rPr>
              <w:t>No macro-fiscal sensitivity analysis takes place and no fiscal scenarios are available covering external risk factors. A debt sustainability analysis is prepared with IMF-WB assistance but only for external use.</w:t>
            </w:r>
          </w:p>
        </w:tc>
      </w:tr>
    </w:tbl>
    <w:p w14:paraId="706EB0F1" w14:textId="77777777" w:rsidR="007518E4" w:rsidRPr="001B5909" w:rsidRDefault="007518E4" w:rsidP="007518E4">
      <w:pPr>
        <w:pStyle w:val="ParagraphNumbering"/>
        <w:numPr>
          <w:ilvl w:val="0"/>
          <w:numId w:val="0"/>
        </w:numPr>
        <w:spacing w:line="240" w:lineRule="auto"/>
        <w:rPr>
          <w:rFonts w:ascii="Times New Roman" w:eastAsia="Calibri" w:hAnsi="Times New Roman"/>
          <w:b/>
          <w:color w:val="F06322"/>
          <w:sz w:val="24"/>
        </w:rPr>
      </w:pPr>
      <w:r w:rsidRPr="001B5909">
        <w:rPr>
          <w:rFonts w:ascii="Times New Roman" w:eastAsia="Calibri" w:hAnsi="Times New Roman"/>
          <w:b/>
          <w:color w:val="F06322"/>
          <w:sz w:val="24"/>
        </w:rPr>
        <w:t xml:space="preserve">14.1: Macroeconomic </w:t>
      </w:r>
      <w:r>
        <w:rPr>
          <w:rFonts w:ascii="Times New Roman" w:eastAsia="Calibri" w:hAnsi="Times New Roman"/>
          <w:b/>
          <w:color w:val="F06322"/>
          <w:sz w:val="24"/>
        </w:rPr>
        <w:t>f</w:t>
      </w:r>
      <w:r w:rsidRPr="001B5909">
        <w:rPr>
          <w:rFonts w:ascii="Times New Roman" w:eastAsia="Calibri" w:hAnsi="Times New Roman"/>
          <w:b/>
          <w:color w:val="F06322"/>
          <w:sz w:val="24"/>
        </w:rPr>
        <w:t>orecasts</w:t>
      </w:r>
    </w:p>
    <w:p w14:paraId="6186FC38" w14:textId="77777777" w:rsidR="007518E4" w:rsidRPr="00587AF7"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103029">
        <w:rPr>
          <w:rFonts w:ascii="Times New Roman" w:hAnsi="Times New Roman"/>
          <w:b/>
          <w:sz w:val="24"/>
        </w:rPr>
        <w:t>The macroeconomic planning process has two strands</w:t>
      </w:r>
      <w:r w:rsidR="00374990">
        <w:rPr>
          <w:rFonts w:ascii="Times New Roman" w:hAnsi="Times New Roman"/>
          <w:sz w:val="24"/>
        </w:rPr>
        <w:t>.</w:t>
      </w:r>
      <w:r w:rsidRPr="00587AF7">
        <w:rPr>
          <w:rFonts w:ascii="Times New Roman" w:hAnsi="Times New Roman"/>
          <w:sz w:val="24"/>
        </w:rPr>
        <w:t xml:space="preserve"> One is part of the formal national planning process, the National Socio-Economic Development Plan (NSEDP) and there is also a cross-agency effort to develop a macroeconomic framework. The formal planning process is led by MPI which is responsible for the formulation of the 5-year and annual NSEDP, the country’s developments strategy. The NSEDP is approved by the National Assembly (NA) and include targets for growth, inflation and a general direction for macroeconomic policies. </w:t>
      </w:r>
      <w:r w:rsidRPr="00587AF7">
        <w:rPr>
          <w:rFonts w:ascii="Times New Roman" w:hAnsi="Times New Roman"/>
          <w:color w:val="000000"/>
          <w:sz w:val="24"/>
          <w:lang w:val="en-MY"/>
        </w:rPr>
        <w:t xml:space="preserve">Variables used in the macroeconomic simulation include the targeted GDP growth rate decided by MPI, inflation decided between MPI and BoL, interest rates and the exchange rate. The framework covers a data series of the last two years, the current year, the year to be planned and the next three years (7 years in total). The forecasts are updated at least annually </w:t>
      </w:r>
      <w:r>
        <w:rPr>
          <w:rFonts w:ascii="Times New Roman" w:hAnsi="Times New Roman"/>
          <w:color w:val="000000"/>
          <w:sz w:val="24"/>
          <w:lang w:val="en-MY"/>
        </w:rPr>
        <w:t>for annual budget purposes</w:t>
      </w:r>
      <w:r w:rsidRPr="00587AF7">
        <w:rPr>
          <w:rFonts w:ascii="Times New Roman" w:hAnsi="Times New Roman"/>
          <w:color w:val="000000"/>
          <w:sz w:val="24"/>
          <w:lang w:val="en-MY"/>
        </w:rPr>
        <w:t xml:space="preserve"> and forecasts are updated when the revised State budget is submitted to the NA.</w:t>
      </w:r>
      <w:r w:rsidR="00374990">
        <w:rPr>
          <w:rFonts w:ascii="Times New Roman" w:hAnsi="Times New Roman"/>
          <w:color w:val="000000"/>
          <w:sz w:val="24"/>
          <w:lang w:val="en-MY"/>
        </w:rPr>
        <w:t xml:space="preserve"> </w:t>
      </w:r>
      <w:r>
        <w:rPr>
          <w:rFonts w:ascii="Times New Roman" w:hAnsi="Times New Roman"/>
          <w:color w:val="000000"/>
          <w:sz w:val="24"/>
          <w:lang w:val="en-MY"/>
        </w:rPr>
        <w:t>These are limited to the upcoming budget year and the first six months of the following year.</w:t>
      </w:r>
    </w:p>
    <w:p w14:paraId="1286D520" w14:textId="77777777" w:rsidR="007518E4" w:rsidRPr="00A13094" w:rsidRDefault="007518E4" w:rsidP="008037D9">
      <w:pPr>
        <w:pStyle w:val="ListParagraph"/>
        <w:numPr>
          <w:ilvl w:val="0"/>
          <w:numId w:val="62"/>
        </w:numPr>
        <w:spacing w:after="240"/>
        <w:contextualSpacing w:val="0"/>
        <w:rPr>
          <w:rFonts w:ascii="Times New Roman" w:hAnsi="Times New Roman"/>
          <w:sz w:val="24"/>
        </w:rPr>
      </w:pPr>
      <w:r w:rsidRPr="00103029">
        <w:rPr>
          <w:rFonts w:ascii="Times New Roman" w:hAnsi="Times New Roman"/>
          <w:b/>
          <w:sz w:val="24"/>
        </w:rPr>
        <w:t>Macroeconomic forecasts and assumptions are the result of a top down process</w:t>
      </w:r>
      <w:r w:rsidR="00374990">
        <w:rPr>
          <w:rFonts w:ascii="Times New Roman" w:hAnsi="Times New Roman"/>
          <w:sz w:val="24"/>
        </w:rPr>
        <w:t xml:space="preserve">. </w:t>
      </w:r>
      <w:r w:rsidR="00103029">
        <w:rPr>
          <w:rFonts w:ascii="Times New Roman" w:hAnsi="Times New Roman"/>
          <w:sz w:val="24"/>
        </w:rPr>
        <w:t>This is</w:t>
      </w:r>
      <w:r w:rsidRPr="00103029">
        <w:rPr>
          <w:rFonts w:ascii="Times New Roman" w:hAnsi="Times New Roman"/>
          <w:sz w:val="24"/>
        </w:rPr>
        <w:t xml:space="preserve"> </w:t>
      </w:r>
      <w:r w:rsidRPr="00A13094">
        <w:rPr>
          <w:rFonts w:ascii="Times New Roman" w:hAnsi="Times New Roman"/>
          <w:sz w:val="24"/>
        </w:rPr>
        <w:t xml:space="preserve">based on an investment-driven growth formula using the capital output ceiling </w:t>
      </w:r>
      <w:r w:rsidRPr="00A13094">
        <w:rPr>
          <w:rFonts w:ascii="Times New Roman" w:hAnsi="Times New Roman"/>
          <w:sz w:val="24"/>
        </w:rPr>
        <w:lastRenderedPageBreak/>
        <w:t>combined with a GDP growth-target and under the MPI responsibility. The GDP growth rate estimates uses a consistent framework based on growth rate indicators and data from 4 sectors of the economy (agriculture, mines and energy, commerce and transport), and is given to FPD to produce fiscal forecasts and subsequent “adjustment” to revenue and expenditure projections</w:t>
      </w:r>
      <w:r>
        <w:rPr>
          <w:rFonts w:ascii="Times New Roman" w:hAnsi="Times New Roman"/>
          <w:sz w:val="24"/>
        </w:rPr>
        <w:t xml:space="preserve">. </w:t>
      </w:r>
      <w:r w:rsidRPr="00A13094">
        <w:rPr>
          <w:rFonts w:ascii="Times New Roman" w:hAnsi="Times New Roman"/>
          <w:sz w:val="24"/>
        </w:rPr>
        <w:t>In parallel to the formal “old” model, the FPD also calculates more accurate medium-term macroeconomic forecasts and underlying assumptions are also pr</w:t>
      </w:r>
      <w:r>
        <w:rPr>
          <w:rFonts w:ascii="Times New Roman" w:hAnsi="Times New Roman"/>
          <w:sz w:val="24"/>
        </w:rPr>
        <w:t>epared by the FPD based on mode</w:t>
      </w:r>
      <w:r w:rsidRPr="00A13094">
        <w:rPr>
          <w:rFonts w:ascii="Times New Roman" w:hAnsi="Times New Roman"/>
          <w:sz w:val="24"/>
        </w:rPr>
        <w:t xml:space="preserve">ling tools supported by the IMF and ADB but information is not official and is kept internally. The FPD dedicated unit for macroeconomic analysis </w:t>
      </w:r>
      <w:r>
        <w:rPr>
          <w:rFonts w:ascii="Times New Roman" w:hAnsi="Times New Roman"/>
          <w:sz w:val="24"/>
        </w:rPr>
        <w:t xml:space="preserve">is </w:t>
      </w:r>
      <w:r w:rsidRPr="00A13094">
        <w:rPr>
          <w:rFonts w:ascii="Times New Roman" w:hAnsi="Times New Roman"/>
          <w:sz w:val="24"/>
        </w:rPr>
        <w:t xml:space="preserve">supported by IMF assistance </w:t>
      </w:r>
      <w:r>
        <w:rPr>
          <w:rFonts w:ascii="Times New Roman" w:hAnsi="Times New Roman"/>
          <w:sz w:val="24"/>
        </w:rPr>
        <w:t xml:space="preserve">but </w:t>
      </w:r>
      <w:r w:rsidRPr="00A13094">
        <w:rPr>
          <w:rFonts w:ascii="Times New Roman" w:hAnsi="Times New Roman"/>
          <w:sz w:val="24"/>
        </w:rPr>
        <w:t xml:space="preserve">does not appear to be fully functional and or empowered. </w:t>
      </w:r>
    </w:p>
    <w:p w14:paraId="59AAEBDD" w14:textId="77777777" w:rsidR="007518E4"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681081">
        <w:rPr>
          <w:rFonts w:ascii="Times New Roman" w:hAnsi="Times New Roman"/>
          <w:b/>
          <w:color w:val="000000"/>
          <w:sz w:val="24"/>
          <w:lang w:val="en-MY"/>
        </w:rPr>
        <w:t>NA does not receive detailed information on the macroeconomic scenario apart from the oil price, and exchange rate.</w:t>
      </w:r>
      <w:r w:rsidRPr="00587AF7">
        <w:rPr>
          <w:rFonts w:ascii="Times New Roman" w:hAnsi="Times New Roman"/>
          <w:color w:val="000000"/>
          <w:sz w:val="24"/>
          <w:lang w:val="en-MY"/>
        </w:rPr>
        <w:t xml:space="preserve"> </w:t>
      </w:r>
      <w:r w:rsidRPr="00587AF7">
        <w:rPr>
          <w:rFonts w:ascii="Times New Roman" w:hAnsi="Times New Roman"/>
          <w:sz w:val="24"/>
        </w:rPr>
        <w:t xml:space="preserve">Once approved by the NA, the NSEDPs provide guidance for sectoral plans, including the annual Budget. Plans are rarely revisited and only mid-term reviews are undertaken to take account new developments. </w:t>
      </w:r>
    </w:p>
    <w:p w14:paraId="0D2762D1" w14:textId="77777777" w:rsidR="007518E4" w:rsidRPr="00587AF7"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681081">
        <w:rPr>
          <w:rFonts w:ascii="Times New Roman" w:hAnsi="Times New Roman"/>
          <w:b/>
          <w:sz w:val="24"/>
        </w:rPr>
        <w:t xml:space="preserve">There is a Committee for </w:t>
      </w:r>
      <w:proofErr w:type="spellStart"/>
      <w:r w:rsidRPr="00681081">
        <w:rPr>
          <w:rFonts w:ascii="Times New Roman" w:hAnsi="Times New Roman"/>
          <w:b/>
          <w:sz w:val="24"/>
        </w:rPr>
        <w:t>Macrofiscal</w:t>
      </w:r>
      <w:proofErr w:type="spellEnd"/>
      <w:r w:rsidRPr="00681081">
        <w:rPr>
          <w:rFonts w:ascii="Times New Roman" w:hAnsi="Times New Roman"/>
          <w:b/>
          <w:sz w:val="24"/>
        </w:rPr>
        <w:t xml:space="preserve"> Monitoring (CMM)</w:t>
      </w:r>
      <w:r w:rsidR="00681081">
        <w:rPr>
          <w:rFonts w:ascii="Times New Roman" w:hAnsi="Times New Roman"/>
          <w:b/>
          <w:sz w:val="24"/>
        </w:rPr>
        <w:t xml:space="preserve">. </w:t>
      </w:r>
      <w:r w:rsidR="00681081" w:rsidRPr="00681081">
        <w:rPr>
          <w:rFonts w:ascii="Times New Roman" w:hAnsi="Times New Roman"/>
          <w:sz w:val="24"/>
        </w:rPr>
        <w:t xml:space="preserve">This </w:t>
      </w:r>
      <w:r w:rsidRPr="00587AF7">
        <w:rPr>
          <w:rFonts w:ascii="Times New Roman" w:hAnsi="Times New Roman"/>
          <w:sz w:val="24"/>
        </w:rPr>
        <w:t xml:space="preserve">was established in 2014 and composed of MPI, MoF, National Institute for Economic Research (NIER), BoL and Lao Statistics Bureau. </w:t>
      </w:r>
      <w:r>
        <w:rPr>
          <w:rFonts w:ascii="Times New Roman" w:hAnsi="Times New Roman"/>
          <w:sz w:val="24"/>
        </w:rPr>
        <w:t xml:space="preserve"> </w:t>
      </w:r>
      <w:r w:rsidRPr="00587AF7">
        <w:rPr>
          <w:rFonts w:ascii="Times New Roman" w:hAnsi="Times New Roman"/>
          <w:sz w:val="24"/>
        </w:rPr>
        <w:t>It meets every quarter to review the macro economic and fiscal situation and design</w:t>
      </w:r>
      <w:r w:rsidR="00374990">
        <w:rPr>
          <w:rFonts w:ascii="Times New Roman" w:hAnsi="Times New Roman"/>
          <w:sz w:val="24"/>
        </w:rPr>
        <w:t xml:space="preserve"> policy measures as necessary. </w:t>
      </w:r>
      <w:r w:rsidRPr="00587AF7">
        <w:rPr>
          <w:rFonts w:ascii="Times New Roman" w:hAnsi="Times New Roman"/>
          <w:sz w:val="24"/>
        </w:rPr>
        <w:t xml:space="preserve">However, there is no in-depth independent review of the economic forecasts outside the CMM. </w:t>
      </w:r>
    </w:p>
    <w:p w14:paraId="3B06A41F" w14:textId="77777777" w:rsidR="007518E4" w:rsidRPr="00587AF7"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681081">
        <w:rPr>
          <w:rFonts w:ascii="Times New Roman" w:hAnsi="Times New Roman"/>
          <w:b/>
          <w:sz w:val="24"/>
        </w:rPr>
        <w:t>Forecasts used for the budget preparation are systematically too optimistic, leading to overestimation of revenue.</w:t>
      </w:r>
      <w:r w:rsidR="00374990">
        <w:rPr>
          <w:rFonts w:ascii="Times New Roman" w:hAnsi="Times New Roman"/>
          <w:sz w:val="24"/>
        </w:rPr>
        <w:t xml:space="preserve"> </w:t>
      </w:r>
      <w:r w:rsidRPr="00587AF7">
        <w:rPr>
          <w:rFonts w:ascii="Times New Roman" w:hAnsi="Times New Roman"/>
          <w:sz w:val="24"/>
        </w:rPr>
        <w:t xml:space="preserve">As a result, the link between policies and expected outcomes is weak. While the government has already improved the consistency of macroeconomic projections and developed a MTFF, there is still a need to formally establish the linkage with the underlying policy framework and the formal planning process though the production of NSEDP. </w:t>
      </w:r>
      <w:r w:rsidRPr="00587AF7">
        <w:rPr>
          <w:rFonts w:ascii="Times New Roman" w:eastAsia="ヒラギノ角ゴ Pro W3" w:hAnsi="Times New Roman"/>
          <w:color w:val="000000"/>
          <w:sz w:val="24"/>
          <w:lang w:eastAsia="en-IN"/>
        </w:rPr>
        <w:t xml:space="preserve">Macro-economic forecasts are prepared annually: Score </w:t>
      </w:r>
      <w:r w:rsidR="005E4DBA">
        <w:rPr>
          <w:rFonts w:ascii="Times New Roman" w:eastAsia="ヒラギノ角ゴ Pro W3" w:hAnsi="Times New Roman"/>
          <w:color w:val="000000"/>
          <w:sz w:val="24"/>
          <w:lang w:eastAsia="en-IN"/>
        </w:rPr>
        <w:t>C</w:t>
      </w:r>
      <w:r w:rsidRPr="00587AF7">
        <w:rPr>
          <w:rFonts w:ascii="Times New Roman" w:hAnsi="Times New Roman"/>
          <w:sz w:val="24"/>
        </w:rPr>
        <w:t xml:space="preserve">. </w:t>
      </w:r>
    </w:p>
    <w:p w14:paraId="08D31BF2" w14:textId="77777777" w:rsidR="007518E4" w:rsidRPr="006A7017" w:rsidRDefault="007518E4" w:rsidP="007518E4">
      <w:pPr>
        <w:pStyle w:val="ParagraphNumbering"/>
        <w:numPr>
          <w:ilvl w:val="0"/>
          <w:numId w:val="0"/>
        </w:numPr>
        <w:spacing w:line="240" w:lineRule="auto"/>
        <w:rPr>
          <w:rFonts w:ascii="Times New Roman" w:eastAsia="Calibri" w:hAnsi="Times New Roman"/>
          <w:b/>
          <w:color w:val="F06322"/>
          <w:sz w:val="24"/>
        </w:rPr>
      </w:pPr>
      <w:r w:rsidRPr="006A7017">
        <w:rPr>
          <w:rFonts w:ascii="Times New Roman" w:eastAsia="Calibri" w:hAnsi="Times New Roman"/>
          <w:b/>
          <w:color w:val="F06322"/>
          <w:sz w:val="24"/>
        </w:rPr>
        <w:t xml:space="preserve">14.2 Fiscal </w:t>
      </w:r>
      <w:r>
        <w:rPr>
          <w:rFonts w:ascii="Times New Roman" w:eastAsia="Calibri" w:hAnsi="Times New Roman"/>
          <w:b/>
          <w:color w:val="F06322"/>
          <w:sz w:val="24"/>
        </w:rPr>
        <w:t>f</w:t>
      </w:r>
      <w:r w:rsidRPr="006A7017">
        <w:rPr>
          <w:rFonts w:ascii="Times New Roman" w:eastAsia="Calibri" w:hAnsi="Times New Roman"/>
          <w:b/>
          <w:color w:val="F06322"/>
          <w:sz w:val="24"/>
        </w:rPr>
        <w:t xml:space="preserve">orecasts </w:t>
      </w:r>
    </w:p>
    <w:p w14:paraId="25E3CEDC" w14:textId="77777777" w:rsidR="007518E4" w:rsidRPr="00DF74EE" w:rsidRDefault="007518E4" w:rsidP="008037D9">
      <w:pPr>
        <w:pStyle w:val="ListParagraph"/>
        <w:numPr>
          <w:ilvl w:val="0"/>
          <w:numId w:val="62"/>
        </w:numPr>
        <w:spacing w:after="240"/>
        <w:contextualSpacing w:val="0"/>
        <w:rPr>
          <w:rFonts w:ascii="Times New Roman" w:hAnsi="Times New Roman"/>
          <w:sz w:val="24"/>
        </w:rPr>
      </w:pPr>
      <w:r w:rsidRPr="00681081">
        <w:rPr>
          <w:rFonts w:ascii="Times New Roman" w:hAnsi="Times New Roman"/>
          <w:b/>
          <w:bCs/>
          <w:sz w:val="24"/>
        </w:rPr>
        <w:t>Revenue forecasting in Lao PDR takes place as part of the Budget preparation process, part of the broader planning process</w:t>
      </w:r>
      <w:r w:rsidRPr="00681081">
        <w:rPr>
          <w:rFonts w:ascii="Times New Roman" w:hAnsi="Times New Roman"/>
          <w:b/>
          <w:sz w:val="24"/>
        </w:rPr>
        <w:t>.</w:t>
      </w:r>
      <w:r w:rsidR="00374990">
        <w:rPr>
          <w:rFonts w:ascii="Times New Roman" w:hAnsi="Times New Roman"/>
          <w:sz w:val="24"/>
        </w:rPr>
        <w:t xml:space="preserve"> </w:t>
      </w:r>
      <w:r>
        <w:rPr>
          <w:rFonts w:ascii="Times New Roman" w:hAnsi="Times New Roman"/>
          <w:sz w:val="24"/>
        </w:rPr>
        <w:t>Mo</w:t>
      </w:r>
      <w:r w:rsidRPr="00DF74EE">
        <w:rPr>
          <w:rFonts w:ascii="Times New Roman" w:hAnsi="Times New Roman"/>
          <w:sz w:val="24"/>
        </w:rPr>
        <w:t xml:space="preserve">F’s Fiscal Policy Department (FPD) coordinates the process with inputs from revenue collecting departments (Tax Department, Customs Department, State Asset Department, SOEs etc.). Forecasts are typically done at individual tax / non-tax instrument level and are based on macroeconomic assumptions (growth, inflation etc.) provided </w:t>
      </w:r>
      <w:r>
        <w:rPr>
          <w:rFonts w:ascii="Times New Roman" w:hAnsi="Times New Roman"/>
          <w:sz w:val="24"/>
        </w:rPr>
        <w:t>by external agencies. In 2016 Mo</w:t>
      </w:r>
      <w:r w:rsidRPr="00DF74EE">
        <w:rPr>
          <w:rFonts w:ascii="Times New Roman" w:hAnsi="Times New Roman"/>
          <w:sz w:val="24"/>
        </w:rPr>
        <w:t xml:space="preserve">F produced for the first time a 5-year fiscal plan, called the </w:t>
      </w:r>
      <w:proofErr w:type="gramStart"/>
      <w:r w:rsidRPr="00DF74EE">
        <w:rPr>
          <w:rFonts w:ascii="Times New Roman" w:hAnsi="Times New Roman"/>
          <w:sz w:val="24"/>
        </w:rPr>
        <w:t>Medium Term</w:t>
      </w:r>
      <w:proofErr w:type="gramEnd"/>
      <w:r w:rsidRPr="00DF74EE">
        <w:rPr>
          <w:rFonts w:ascii="Times New Roman" w:hAnsi="Times New Roman"/>
          <w:sz w:val="24"/>
        </w:rPr>
        <w:t xml:space="preserve"> Fiscal Framework document. The midterm forecasting is however largely the result of FPD internal calculations, mostly on the incremental basis with unsupported adjustments </w:t>
      </w:r>
      <w:r>
        <w:rPr>
          <w:rFonts w:ascii="Times New Roman" w:hAnsi="Times New Roman"/>
          <w:sz w:val="24"/>
        </w:rPr>
        <w:t>on specific revenue outturns. Mo</w:t>
      </w:r>
      <w:r w:rsidRPr="00DF74EE">
        <w:rPr>
          <w:rFonts w:ascii="Times New Roman" w:hAnsi="Times New Roman"/>
          <w:sz w:val="24"/>
        </w:rPr>
        <w:t xml:space="preserve">F’s FPD has been developing its own GDP-based model for revenue forecasting, </w:t>
      </w:r>
      <w:r>
        <w:rPr>
          <w:rFonts w:ascii="Times New Roman" w:hAnsi="Times New Roman"/>
          <w:sz w:val="24"/>
        </w:rPr>
        <w:t>with support from IMF and WB. Mo</w:t>
      </w:r>
      <w:r w:rsidRPr="00DF74EE">
        <w:rPr>
          <w:rFonts w:ascii="Times New Roman" w:hAnsi="Times New Roman"/>
          <w:sz w:val="24"/>
        </w:rPr>
        <w:t>F reported that the model has been used in the actual budgeting process in combination with inputs from</w:t>
      </w:r>
      <w:r>
        <w:rPr>
          <w:rFonts w:ascii="Times New Roman" w:hAnsi="Times New Roman"/>
          <w:sz w:val="24"/>
        </w:rPr>
        <w:t xml:space="preserve"> revenue collection departments.</w:t>
      </w:r>
    </w:p>
    <w:p w14:paraId="2F838D63" w14:textId="77777777" w:rsidR="007518E4" w:rsidRPr="00DF74EE" w:rsidRDefault="007518E4" w:rsidP="008037D9">
      <w:pPr>
        <w:pStyle w:val="ListParagraph"/>
        <w:numPr>
          <w:ilvl w:val="0"/>
          <w:numId w:val="62"/>
        </w:numPr>
        <w:spacing w:after="240"/>
        <w:contextualSpacing w:val="0"/>
        <w:rPr>
          <w:rFonts w:ascii="Times New Roman" w:hAnsi="Times New Roman"/>
          <w:sz w:val="24"/>
        </w:rPr>
      </w:pPr>
      <w:r w:rsidRPr="00681081">
        <w:rPr>
          <w:rFonts w:ascii="Times New Roman" w:hAnsi="Times New Roman"/>
          <w:b/>
          <w:sz w:val="24"/>
          <w:lang w:bidi="en-US"/>
        </w:rPr>
        <w:t>The data constraints and limited technical capacity environment have an impact on the MoF’s ability to produce reliable forecasts.</w:t>
      </w:r>
      <w:r w:rsidRPr="00DF74EE">
        <w:rPr>
          <w:rFonts w:ascii="Times New Roman" w:hAnsi="Times New Roman"/>
          <w:sz w:val="24"/>
          <w:lang w:bidi="en-US"/>
        </w:rPr>
        <w:t xml:space="preserve"> The data that is produced is in some cases not fully reliable and or not publicly accessible. The Lao Statistics Bureau has an ambitious plan to improve the availability of quality statistics while the ongoing Tax Revenue modernization project should help digitize and improve tax records. </w:t>
      </w:r>
      <w:r w:rsidRPr="00DF74EE">
        <w:rPr>
          <w:rFonts w:ascii="Times New Roman" w:hAnsi="Times New Roman"/>
          <w:sz w:val="24"/>
        </w:rPr>
        <w:t>Repeated revenue collection shortfalls in Lao PDR suggest that there is considerable scope to improve revenue forecasting. Actual revenues in Fiscal Year (FY) 2015/16 were 10.5 percent below the mid-</w:t>
      </w:r>
      <w:r w:rsidRPr="00DF74EE">
        <w:rPr>
          <w:rFonts w:ascii="Times New Roman" w:hAnsi="Times New Roman"/>
          <w:sz w:val="24"/>
        </w:rPr>
        <w:lastRenderedPageBreak/>
        <w:t>year revised estimates and a full 19 percent below the projections made in the initial FY2015/16 Budget. Early indications for 2017 suggest that revenues are likely to underperform by similar magnitude.</w:t>
      </w:r>
    </w:p>
    <w:p w14:paraId="64D3E308" w14:textId="77777777" w:rsidR="007518E4" w:rsidRPr="00DF74EE"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681081">
        <w:rPr>
          <w:rFonts w:ascii="Times New Roman" w:hAnsi="Times New Roman"/>
          <w:b/>
          <w:sz w:val="24"/>
        </w:rPr>
        <w:t>The underlying macro-economic assumptions for the forecasts are based on the forecasts and are not linked to other forecasts such as the GDP targets from the NSEDP</w:t>
      </w:r>
      <w:r w:rsidR="00374990">
        <w:rPr>
          <w:rFonts w:ascii="Times New Roman" w:hAnsi="Times New Roman"/>
          <w:sz w:val="24"/>
        </w:rPr>
        <w:t xml:space="preserve">. </w:t>
      </w:r>
      <w:r w:rsidR="00681081" w:rsidRPr="00681081">
        <w:rPr>
          <w:rFonts w:ascii="Times New Roman" w:hAnsi="Times New Roman"/>
          <w:sz w:val="24"/>
        </w:rPr>
        <w:t>There are outlined in PI-14.1</w:t>
      </w:r>
      <w:r w:rsidR="00681081">
        <w:rPr>
          <w:rFonts w:ascii="Times New Roman" w:hAnsi="Times New Roman"/>
          <w:sz w:val="24"/>
        </w:rPr>
        <w:t xml:space="preserve">. </w:t>
      </w:r>
      <w:r>
        <w:rPr>
          <w:rFonts w:ascii="Times New Roman" w:hAnsi="Times New Roman"/>
          <w:sz w:val="24"/>
        </w:rPr>
        <w:t>O</w:t>
      </w:r>
      <w:r w:rsidRPr="00DF74EE">
        <w:rPr>
          <w:rFonts w:ascii="Times New Roman" w:hAnsi="Times New Roman"/>
          <w:sz w:val="24"/>
        </w:rPr>
        <w:t xml:space="preserve">ther assumptions (e.g. tax policy and expenditure policy changes) are only referred to in general terms with no quantitative targets except when referring to the wage bill in </w:t>
      </w:r>
      <w:r>
        <w:rPr>
          <w:rFonts w:ascii="Times New Roman" w:hAnsi="Times New Roman"/>
          <w:sz w:val="24"/>
        </w:rPr>
        <w:t>previous years</w:t>
      </w:r>
      <w:r w:rsidRPr="00DF74EE">
        <w:rPr>
          <w:rFonts w:ascii="Times New Roman" w:hAnsi="Times New Roman"/>
          <w:sz w:val="24"/>
        </w:rPr>
        <w:t>. An explanation of the differences between annual update and the corresponding forecasts made in th</w:t>
      </w:r>
      <w:r>
        <w:rPr>
          <w:rFonts w:ascii="Times New Roman" w:hAnsi="Times New Roman"/>
          <w:sz w:val="24"/>
        </w:rPr>
        <w:t>e previous year is not provided</w:t>
      </w:r>
      <w:r w:rsidRPr="00DF74EE">
        <w:rPr>
          <w:rFonts w:ascii="Times New Roman" w:hAnsi="Times New Roman"/>
          <w:sz w:val="24"/>
        </w:rPr>
        <w:t xml:space="preserve">. </w:t>
      </w:r>
    </w:p>
    <w:p w14:paraId="2FB9A278" w14:textId="77777777" w:rsidR="007518E4" w:rsidRPr="00DF74EE" w:rsidRDefault="007518E4" w:rsidP="008037D9">
      <w:pPr>
        <w:pStyle w:val="ListParagraph"/>
        <w:numPr>
          <w:ilvl w:val="0"/>
          <w:numId w:val="62"/>
        </w:numPr>
        <w:autoSpaceDE w:val="0"/>
        <w:autoSpaceDN w:val="0"/>
        <w:adjustRightInd w:val="0"/>
        <w:spacing w:after="240"/>
        <w:contextualSpacing w:val="0"/>
        <w:rPr>
          <w:rFonts w:ascii="Times New Roman" w:eastAsia="ヒラギノ角ゴ Pro W3" w:hAnsi="Times New Roman"/>
          <w:color w:val="000000"/>
          <w:sz w:val="24"/>
          <w:lang w:eastAsia="en-IN"/>
        </w:rPr>
      </w:pPr>
      <w:r w:rsidRPr="00681081">
        <w:rPr>
          <w:rFonts w:ascii="Times New Roman" w:eastAsia="ヒラギノ角ゴ Pro W3" w:hAnsi="Times New Roman"/>
          <w:b/>
          <w:color w:val="000000"/>
          <w:sz w:val="24"/>
          <w:lang w:eastAsia="en-IN"/>
        </w:rPr>
        <w:t>The government prepared forecasts of the aggregate revenue, expenditure, budget balance and financing for the budget year and the following two years</w:t>
      </w:r>
      <w:r w:rsidR="00681081">
        <w:rPr>
          <w:rFonts w:ascii="Times New Roman" w:eastAsia="ヒラギノ角ゴ Pro W3" w:hAnsi="Times New Roman"/>
          <w:b/>
          <w:color w:val="000000"/>
          <w:sz w:val="24"/>
          <w:lang w:eastAsia="en-IN"/>
        </w:rPr>
        <w:t xml:space="preserve">.  </w:t>
      </w:r>
      <w:r w:rsidR="00681081" w:rsidRPr="00681081">
        <w:rPr>
          <w:rFonts w:ascii="Times New Roman" w:eastAsia="ヒラギノ角ゴ Pro W3" w:hAnsi="Times New Roman"/>
          <w:color w:val="000000"/>
          <w:sz w:val="24"/>
          <w:lang w:eastAsia="en-IN"/>
        </w:rPr>
        <w:t>This was done</w:t>
      </w:r>
      <w:r w:rsidRPr="00DF74EE">
        <w:rPr>
          <w:rFonts w:ascii="Times New Roman" w:eastAsia="ヒラギノ角ゴ Pro W3" w:hAnsi="Times New Roman"/>
          <w:color w:val="000000"/>
          <w:sz w:val="24"/>
          <w:lang w:eastAsia="en-IN"/>
        </w:rPr>
        <w:t xml:space="preserve"> for the first time in 2016 and </w:t>
      </w:r>
      <w:r w:rsidR="00681081" w:rsidRPr="00DF74EE">
        <w:rPr>
          <w:rFonts w:ascii="Times New Roman" w:eastAsia="ヒラギノ角ゴ Pro W3" w:hAnsi="Times New Roman"/>
          <w:color w:val="000000"/>
          <w:sz w:val="24"/>
          <w:lang w:eastAsia="en-IN"/>
        </w:rPr>
        <w:t xml:space="preserve">the forecasts </w:t>
      </w:r>
      <w:r w:rsidR="00681081">
        <w:rPr>
          <w:rFonts w:ascii="Times New Roman" w:eastAsia="ヒラギノ角ゴ Pro W3" w:hAnsi="Times New Roman"/>
          <w:color w:val="000000"/>
          <w:sz w:val="24"/>
          <w:lang w:eastAsia="en-IN"/>
        </w:rPr>
        <w:t xml:space="preserve">were </w:t>
      </w:r>
      <w:r w:rsidRPr="00DF74EE">
        <w:rPr>
          <w:rFonts w:ascii="Times New Roman" w:eastAsia="ヒラギノ角ゴ Pro W3" w:hAnsi="Times New Roman"/>
          <w:color w:val="000000"/>
          <w:sz w:val="24"/>
          <w:lang w:eastAsia="en-IN"/>
        </w:rPr>
        <w:t xml:space="preserve">presented in the budget documentation submitted to the National Assembly. However, description of the underlying assumptions is incomplete and there is no comparison to the previous year’s forecasts: Score </w:t>
      </w:r>
      <w:r w:rsidR="00EC4385">
        <w:rPr>
          <w:rFonts w:ascii="Times New Roman" w:eastAsia="ヒラギノ角ゴ Pro W3" w:hAnsi="Times New Roman"/>
          <w:color w:val="000000"/>
          <w:sz w:val="24"/>
          <w:lang w:eastAsia="en-IN"/>
        </w:rPr>
        <w:t>D</w:t>
      </w:r>
      <w:r w:rsidRPr="00DF74EE">
        <w:rPr>
          <w:rFonts w:ascii="Times New Roman" w:eastAsia="ヒラギノ角ゴ Pro W3" w:hAnsi="Times New Roman"/>
          <w:color w:val="000000"/>
          <w:sz w:val="24"/>
          <w:lang w:eastAsia="en-IN"/>
        </w:rPr>
        <w:t>.</w:t>
      </w:r>
    </w:p>
    <w:p w14:paraId="7F9A9308" w14:textId="77777777" w:rsidR="007518E4" w:rsidRPr="001B5909" w:rsidRDefault="007518E4" w:rsidP="007518E4">
      <w:pPr>
        <w:pStyle w:val="ParagraphNumbering"/>
        <w:numPr>
          <w:ilvl w:val="0"/>
          <w:numId w:val="0"/>
        </w:numPr>
        <w:spacing w:after="0"/>
        <w:rPr>
          <w:rFonts w:ascii="Times New Roman" w:eastAsia="Calibri" w:hAnsi="Times New Roman"/>
          <w:b/>
          <w:color w:val="F06322"/>
          <w:sz w:val="24"/>
        </w:rPr>
      </w:pPr>
      <w:r w:rsidRPr="001B5909">
        <w:rPr>
          <w:rFonts w:ascii="Times New Roman" w:eastAsia="Calibri" w:hAnsi="Times New Roman"/>
          <w:b/>
          <w:color w:val="F06322"/>
          <w:sz w:val="24"/>
        </w:rPr>
        <w:t>14.3 Macro-</w:t>
      </w:r>
      <w:r>
        <w:rPr>
          <w:rFonts w:ascii="Times New Roman" w:eastAsia="Calibri" w:hAnsi="Times New Roman"/>
          <w:b/>
          <w:color w:val="F06322"/>
          <w:sz w:val="24"/>
        </w:rPr>
        <w:t>f</w:t>
      </w:r>
      <w:r w:rsidRPr="001B5909">
        <w:rPr>
          <w:rFonts w:ascii="Times New Roman" w:eastAsia="Calibri" w:hAnsi="Times New Roman"/>
          <w:b/>
          <w:color w:val="F06322"/>
          <w:sz w:val="24"/>
        </w:rPr>
        <w:t xml:space="preserve">iscal </w:t>
      </w:r>
      <w:r>
        <w:rPr>
          <w:rFonts w:ascii="Times New Roman" w:eastAsia="Calibri" w:hAnsi="Times New Roman"/>
          <w:b/>
          <w:color w:val="F06322"/>
          <w:sz w:val="24"/>
        </w:rPr>
        <w:t>s</w:t>
      </w:r>
      <w:r w:rsidRPr="001B5909">
        <w:rPr>
          <w:rFonts w:ascii="Times New Roman" w:eastAsia="Calibri" w:hAnsi="Times New Roman"/>
          <w:b/>
          <w:color w:val="F06322"/>
          <w:sz w:val="24"/>
        </w:rPr>
        <w:t xml:space="preserve">ensitivity </w:t>
      </w:r>
      <w:r>
        <w:rPr>
          <w:rFonts w:ascii="Times New Roman" w:eastAsia="Calibri" w:hAnsi="Times New Roman"/>
          <w:b/>
          <w:color w:val="F06322"/>
          <w:sz w:val="24"/>
        </w:rPr>
        <w:t>a</w:t>
      </w:r>
      <w:r w:rsidRPr="001B5909">
        <w:rPr>
          <w:rFonts w:ascii="Times New Roman" w:eastAsia="Calibri" w:hAnsi="Times New Roman"/>
          <w:b/>
          <w:color w:val="F06322"/>
          <w:sz w:val="24"/>
        </w:rPr>
        <w:t>nalysis</w:t>
      </w:r>
    </w:p>
    <w:p w14:paraId="68079802" w14:textId="77777777" w:rsidR="007518E4" w:rsidRPr="00E97DCB" w:rsidRDefault="007518E4" w:rsidP="008037D9">
      <w:pPr>
        <w:pStyle w:val="ListParagraph"/>
        <w:numPr>
          <w:ilvl w:val="0"/>
          <w:numId w:val="62"/>
        </w:numPr>
        <w:autoSpaceDE w:val="0"/>
        <w:autoSpaceDN w:val="0"/>
        <w:adjustRightInd w:val="0"/>
        <w:spacing w:after="240"/>
        <w:contextualSpacing w:val="0"/>
        <w:rPr>
          <w:rFonts w:ascii="Times New Roman" w:hAnsi="Times New Roman"/>
          <w:bCs/>
          <w:iCs/>
          <w:sz w:val="24"/>
        </w:rPr>
      </w:pPr>
      <w:r w:rsidRPr="00681081">
        <w:rPr>
          <w:rFonts w:ascii="Times New Roman" w:hAnsi="Times New Roman"/>
          <w:b/>
          <w:bCs/>
          <w:iCs/>
          <w:sz w:val="24"/>
        </w:rPr>
        <w:t xml:space="preserve">Alternative fiscal scenarios (e.g. pessimistic or optimistic scenarios) </w:t>
      </w:r>
      <w:r w:rsidR="00681081" w:rsidRPr="00681081">
        <w:rPr>
          <w:rFonts w:ascii="Times New Roman" w:hAnsi="Times New Roman"/>
          <w:b/>
          <w:bCs/>
          <w:iCs/>
          <w:sz w:val="24"/>
        </w:rPr>
        <w:t>are not produced</w:t>
      </w:r>
      <w:r w:rsidR="00681081">
        <w:rPr>
          <w:rFonts w:ascii="Times New Roman" w:hAnsi="Times New Roman"/>
          <w:bCs/>
          <w:iCs/>
          <w:sz w:val="24"/>
        </w:rPr>
        <w:t>.</w:t>
      </w:r>
      <w:r w:rsidR="00681081" w:rsidRPr="00E97DCB">
        <w:rPr>
          <w:rFonts w:ascii="Times New Roman" w:hAnsi="Times New Roman"/>
          <w:bCs/>
          <w:iCs/>
          <w:sz w:val="24"/>
        </w:rPr>
        <w:t xml:space="preserve"> </w:t>
      </w:r>
      <w:r w:rsidR="00681081">
        <w:rPr>
          <w:rFonts w:ascii="Times New Roman" w:hAnsi="Times New Roman"/>
          <w:bCs/>
          <w:iCs/>
          <w:sz w:val="24"/>
        </w:rPr>
        <w:t xml:space="preserve">Analysis of </w:t>
      </w:r>
      <w:r w:rsidRPr="00E97DCB">
        <w:rPr>
          <w:rFonts w:ascii="Times New Roman" w:hAnsi="Times New Roman"/>
          <w:bCs/>
          <w:iCs/>
          <w:sz w:val="24"/>
        </w:rPr>
        <w:t>changes in underlying assumptions affecting macroeconomic and fiscal variables, including external risks such as commodit</w:t>
      </w:r>
      <w:r w:rsidR="00681081">
        <w:rPr>
          <w:rFonts w:ascii="Times New Roman" w:hAnsi="Times New Roman"/>
          <w:bCs/>
          <w:iCs/>
          <w:sz w:val="24"/>
        </w:rPr>
        <w:t>y prices, exchange rates, etc.,</w:t>
      </w:r>
      <w:r w:rsidRPr="00E97DCB">
        <w:rPr>
          <w:rFonts w:ascii="Times New Roman" w:hAnsi="Times New Roman"/>
          <w:bCs/>
          <w:iCs/>
          <w:sz w:val="24"/>
        </w:rPr>
        <w:t xml:space="preserve"> and macro-fiscal sensitivity analysis is </w:t>
      </w:r>
      <w:r w:rsidR="00681081">
        <w:rPr>
          <w:rFonts w:ascii="Times New Roman" w:hAnsi="Times New Roman"/>
          <w:bCs/>
          <w:iCs/>
          <w:sz w:val="24"/>
        </w:rPr>
        <w:t xml:space="preserve">not </w:t>
      </w:r>
      <w:r w:rsidRPr="00E97DCB">
        <w:rPr>
          <w:rFonts w:ascii="Times New Roman" w:hAnsi="Times New Roman"/>
          <w:bCs/>
          <w:iCs/>
          <w:sz w:val="24"/>
        </w:rPr>
        <w:t>undertaken. A</w:t>
      </w:r>
      <w:r>
        <w:rPr>
          <w:rFonts w:ascii="Times New Roman" w:hAnsi="Times New Roman"/>
          <w:bCs/>
          <w:iCs/>
          <w:sz w:val="24"/>
        </w:rPr>
        <w:t>n internal</w:t>
      </w:r>
      <w:r w:rsidRPr="00E97DCB">
        <w:rPr>
          <w:rFonts w:ascii="Times New Roman" w:hAnsi="Times New Roman"/>
          <w:bCs/>
          <w:iCs/>
          <w:sz w:val="24"/>
        </w:rPr>
        <w:t xml:space="preserve"> debt sustainability analysis is </w:t>
      </w:r>
      <w:r>
        <w:rPr>
          <w:rFonts w:ascii="Times New Roman" w:hAnsi="Times New Roman"/>
          <w:bCs/>
          <w:iCs/>
          <w:sz w:val="24"/>
        </w:rPr>
        <w:t xml:space="preserve">also </w:t>
      </w:r>
      <w:r w:rsidRPr="00E97DCB">
        <w:rPr>
          <w:rFonts w:ascii="Times New Roman" w:hAnsi="Times New Roman"/>
          <w:bCs/>
          <w:iCs/>
          <w:sz w:val="24"/>
        </w:rPr>
        <w:t>not available</w:t>
      </w:r>
      <w:r>
        <w:rPr>
          <w:rFonts w:ascii="Times New Roman" w:hAnsi="Times New Roman"/>
          <w:bCs/>
          <w:iCs/>
          <w:sz w:val="24"/>
        </w:rPr>
        <w:t xml:space="preserve"> (</w:t>
      </w:r>
      <w:r w:rsidRPr="00E97DCB">
        <w:rPr>
          <w:rFonts w:ascii="Times New Roman" w:hAnsi="Times New Roman"/>
          <w:bCs/>
          <w:iCs/>
          <w:sz w:val="24"/>
        </w:rPr>
        <w:t>PI-13.3</w:t>
      </w:r>
      <w:r>
        <w:rPr>
          <w:rFonts w:ascii="Times New Roman" w:hAnsi="Times New Roman"/>
          <w:bCs/>
          <w:iCs/>
          <w:sz w:val="24"/>
        </w:rPr>
        <w:t>)</w:t>
      </w:r>
      <w:r w:rsidRPr="00E97DCB">
        <w:rPr>
          <w:rFonts w:ascii="Times New Roman" w:hAnsi="Times New Roman"/>
          <w:bCs/>
          <w:iCs/>
          <w:sz w:val="24"/>
        </w:rPr>
        <w:t>.</w:t>
      </w:r>
      <w:r>
        <w:rPr>
          <w:rFonts w:ascii="Times New Roman" w:hAnsi="Times New Roman"/>
          <w:bCs/>
          <w:iCs/>
          <w:sz w:val="24"/>
        </w:rPr>
        <w:t xml:space="preserve"> Score D.</w:t>
      </w:r>
    </w:p>
    <w:p w14:paraId="065F798B" w14:textId="77777777" w:rsidR="007518E4" w:rsidRDefault="007518E4" w:rsidP="007518E4">
      <w:pPr>
        <w:ind w:left="357"/>
        <w:jc w:val="left"/>
        <w:rPr>
          <w:rFonts w:ascii="Times New Roman" w:hAnsi="Times New Roman"/>
          <w:spacing w:val="-4"/>
          <w:sz w:val="24"/>
        </w:rPr>
      </w:pPr>
      <w:r>
        <w:rPr>
          <w:rFonts w:ascii="Times New Roman" w:hAnsi="Times New Roman"/>
          <w:sz w:val="24"/>
        </w:rPr>
        <w:br w:type="page"/>
      </w:r>
    </w:p>
    <w:p w14:paraId="17C683CB" w14:textId="77777777" w:rsidR="007518E4" w:rsidRDefault="007518E4" w:rsidP="00681081">
      <w:pPr>
        <w:pStyle w:val="Heading3"/>
        <w:spacing w:after="240"/>
        <w:ind w:left="0"/>
        <w:rPr>
          <w:rFonts w:ascii="Times New Roman" w:eastAsia="Calibri" w:hAnsi="Times New Roman"/>
          <w:b w:val="0"/>
          <w:bCs w:val="0"/>
          <w:color w:val="F06322"/>
          <w:spacing w:val="-1"/>
          <w:szCs w:val="28"/>
        </w:rPr>
      </w:pPr>
      <w:bookmarkStart w:id="71" w:name="_Toc518901799"/>
      <w:bookmarkStart w:id="72" w:name="_Toc4148994"/>
      <w:r w:rsidRPr="00FE6ED4">
        <w:rPr>
          <w:rFonts w:ascii="Times New Roman" w:eastAsia="Calibri" w:hAnsi="Times New Roman"/>
          <w:color w:val="F06322"/>
          <w:spacing w:val="-1"/>
          <w:szCs w:val="28"/>
        </w:rPr>
        <w:lastRenderedPageBreak/>
        <w:t xml:space="preserve">PI-15. Fiscal </w:t>
      </w:r>
      <w:r>
        <w:rPr>
          <w:rFonts w:ascii="Times New Roman" w:eastAsia="Calibri" w:hAnsi="Times New Roman"/>
          <w:color w:val="F06322"/>
          <w:spacing w:val="-1"/>
          <w:szCs w:val="28"/>
        </w:rPr>
        <w:t>s</w:t>
      </w:r>
      <w:r w:rsidRPr="00FE6ED4">
        <w:rPr>
          <w:rFonts w:ascii="Times New Roman" w:eastAsia="Calibri" w:hAnsi="Times New Roman"/>
          <w:color w:val="F06322"/>
          <w:spacing w:val="-1"/>
          <w:szCs w:val="28"/>
        </w:rPr>
        <w:t>trategy</w:t>
      </w:r>
      <w:bookmarkEnd w:id="71"/>
      <w:bookmarkEnd w:id="72"/>
    </w:p>
    <w:p w14:paraId="35BAC25C" w14:textId="77777777" w:rsidR="007518E4" w:rsidRDefault="007518E4" w:rsidP="008037D9">
      <w:pPr>
        <w:pStyle w:val="ListParagraph"/>
        <w:numPr>
          <w:ilvl w:val="0"/>
          <w:numId w:val="62"/>
        </w:numPr>
        <w:spacing w:after="240"/>
        <w:contextualSpacing w:val="0"/>
        <w:rPr>
          <w:rFonts w:ascii="Times New Roman" w:hAnsi="Times New Roman"/>
          <w:sz w:val="24"/>
        </w:rPr>
      </w:pPr>
      <w:r w:rsidRPr="00681081">
        <w:rPr>
          <w:rFonts w:ascii="Times New Roman" w:hAnsi="Times New Roman"/>
          <w:b/>
          <w:sz w:val="24"/>
        </w:rPr>
        <w:t>This indicator provides an analysis of the capacity to develop and implement a clear fiscal strategy</w:t>
      </w:r>
      <w:r w:rsidRPr="00BE181F">
        <w:rPr>
          <w:rFonts w:ascii="Times New Roman" w:hAnsi="Times New Roman"/>
          <w:sz w:val="24"/>
        </w:rPr>
        <w:t xml:space="preserve">. It also measures the ability to develop and assess the fiscal impact of revenue and expenditure policy proposals that support the achievement of the government’s fiscal goals.  </w:t>
      </w:r>
      <w:r w:rsidRPr="00BE181F">
        <w:rPr>
          <w:rFonts w:ascii="Times New Roman" w:hAnsi="Times New Roman"/>
          <w:iCs/>
          <w:sz w:val="24"/>
        </w:rPr>
        <w:t xml:space="preserve">The </w:t>
      </w:r>
      <w:proofErr w:type="gramStart"/>
      <w:r w:rsidRPr="00BE181F">
        <w:rPr>
          <w:rFonts w:ascii="Times New Roman" w:hAnsi="Times New Roman"/>
          <w:iCs/>
          <w:sz w:val="24"/>
        </w:rPr>
        <w:t>time period</w:t>
      </w:r>
      <w:proofErr w:type="gramEnd"/>
      <w:r w:rsidRPr="00BE181F">
        <w:rPr>
          <w:rFonts w:ascii="Times New Roman" w:hAnsi="Times New Roman"/>
          <w:iCs/>
          <w:sz w:val="24"/>
        </w:rPr>
        <w:t xml:space="preserve"> for d</w:t>
      </w:r>
      <w:r w:rsidRPr="00BE181F">
        <w:rPr>
          <w:rFonts w:ascii="Times New Roman" w:hAnsi="Times New Roman"/>
          <w:bCs/>
          <w:sz w:val="24"/>
        </w:rPr>
        <w:t>imension 15.1</w:t>
      </w:r>
      <w:r>
        <w:rPr>
          <w:rFonts w:ascii="Times New Roman" w:hAnsi="Times New Roman"/>
          <w:bCs/>
          <w:sz w:val="24"/>
        </w:rPr>
        <w:t xml:space="preserve"> </w:t>
      </w:r>
      <w:r w:rsidRPr="00BE181F">
        <w:rPr>
          <w:rFonts w:ascii="Times New Roman" w:hAnsi="Times New Roman"/>
          <w:bCs/>
          <w:sz w:val="24"/>
        </w:rPr>
        <w:t xml:space="preserve">is </w:t>
      </w:r>
      <w:r>
        <w:rPr>
          <w:rFonts w:ascii="Times New Roman" w:hAnsi="Times New Roman"/>
          <w:bCs/>
          <w:sz w:val="24"/>
        </w:rPr>
        <w:t xml:space="preserve">the </w:t>
      </w:r>
      <w:r w:rsidRPr="00BE181F">
        <w:rPr>
          <w:rFonts w:ascii="Times New Roman" w:hAnsi="Times New Roman"/>
          <w:bCs/>
          <w:sz w:val="24"/>
        </w:rPr>
        <w:t>l</w:t>
      </w:r>
      <w:r w:rsidRPr="00BE181F">
        <w:rPr>
          <w:rFonts w:ascii="Times New Roman" w:hAnsi="Times New Roman"/>
          <w:sz w:val="24"/>
        </w:rPr>
        <w:t>ast three completed fiscal years and for d</w:t>
      </w:r>
      <w:r w:rsidRPr="00BE181F">
        <w:rPr>
          <w:rFonts w:ascii="Times New Roman" w:hAnsi="Times New Roman"/>
          <w:bCs/>
          <w:sz w:val="24"/>
        </w:rPr>
        <w:t xml:space="preserve">imensions 15.2 and 15.3: </w:t>
      </w:r>
      <w:r>
        <w:rPr>
          <w:rFonts w:ascii="Times New Roman" w:hAnsi="Times New Roman"/>
          <w:bCs/>
          <w:sz w:val="24"/>
        </w:rPr>
        <w:t xml:space="preserve">the </w:t>
      </w:r>
      <w:r w:rsidRPr="00BE181F">
        <w:rPr>
          <w:rFonts w:ascii="Times New Roman" w:hAnsi="Times New Roman"/>
          <w:bCs/>
          <w:sz w:val="24"/>
        </w:rPr>
        <w:t>l</w:t>
      </w:r>
      <w:r w:rsidRPr="00BE181F">
        <w:rPr>
          <w:rFonts w:ascii="Times New Roman" w:hAnsi="Times New Roman"/>
          <w:sz w:val="24"/>
        </w:rPr>
        <w:t xml:space="preserve">ast completed fiscal year. </w:t>
      </w:r>
      <w:r>
        <w:rPr>
          <w:rFonts w:ascii="Times New Roman" w:hAnsi="Times New Roman"/>
          <w:sz w:val="24"/>
        </w:rPr>
        <w:t>Coverage is Central Government</w:t>
      </w:r>
      <w:r w:rsidRPr="001964B6">
        <w:rPr>
          <w:rFonts w:ascii="Times New Roman" w:hAnsi="Times New Roman"/>
          <w:sz w:val="24"/>
        </w:rPr>
        <w:t>.</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8"/>
        <w:gridCol w:w="848"/>
        <w:gridCol w:w="5015"/>
      </w:tblGrid>
      <w:tr w:rsidR="007518E4" w:rsidRPr="00930334" w14:paraId="0A7C4C04" w14:textId="77777777" w:rsidTr="00374990">
        <w:trPr>
          <w:trHeight w:val="397"/>
          <w:jc w:val="center"/>
        </w:trPr>
        <w:tc>
          <w:tcPr>
            <w:tcW w:w="1710" w:type="pct"/>
            <w:shd w:val="clear" w:color="auto" w:fill="D9D9D9"/>
            <w:vAlign w:val="center"/>
          </w:tcPr>
          <w:p w14:paraId="58BF256D" w14:textId="77777777" w:rsidR="007518E4" w:rsidRPr="001A4329" w:rsidRDefault="007518E4" w:rsidP="00374990">
            <w:pPr>
              <w:spacing w:before="0"/>
              <w:ind w:hanging="587"/>
              <w:jc w:val="center"/>
              <w:rPr>
                <w:rFonts w:ascii="Times New Roman" w:hAnsi="Times New Roman"/>
              </w:rPr>
            </w:pPr>
            <w:r w:rsidRPr="001A4329">
              <w:rPr>
                <w:rFonts w:ascii="Times New Roman" w:hAnsi="Times New Roman"/>
              </w:rPr>
              <w:t>Indicator/Dimension</w:t>
            </w:r>
          </w:p>
        </w:tc>
        <w:tc>
          <w:tcPr>
            <w:tcW w:w="476" w:type="pct"/>
            <w:shd w:val="clear" w:color="auto" w:fill="D9D9D9"/>
            <w:vAlign w:val="center"/>
          </w:tcPr>
          <w:p w14:paraId="380BB6EA" w14:textId="77777777" w:rsidR="007518E4" w:rsidRPr="001A4329" w:rsidRDefault="00374990" w:rsidP="00374990">
            <w:pPr>
              <w:spacing w:before="0"/>
              <w:ind w:left="0" w:hanging="210"/>
              <w:jc w:val="center"/>
              <w:rPr>
                <w:rFonts w:ascii="Times New Roman" w:hAnsi="Times New Roman"/>
              </w:rPr>
            </w:pPr>
            <w:r>
              <w:rPr>
                <w:rFonts w:ascii="Times New Roman" w:hAnsi="Times New Roman"/>
              </w:rPr>
              <w:t xml:space="preserve"> </w:t>
            </w:r>
            <w:r w:rsidR="007518E4" w:rsidRPr="001A4329">
              <w:rPr>
                <w:rFonts w:ascii="Times New Roman" w:hAnsi="Times New Roman"/>
              </w:rPr>
              <w:t>Score</w:t>
            </w:r>
          </w:p>
        </w:tc>
        <w:tc>
          <w:tcPr>
            <w:tcW w:w="2815" w:type="pct"/>
            <w:shd w:val="clear" w:color="auto" w:fill="D9D9D9"/>
            <w:vAlign w:val="center"/>
          </w:tcPr>
          <w:p w14:paraId="34751390" w14:textId="77777777" w:rsidR="007518E4" w:rsidRPr="001A4329" w:rsidRDefault="007518E4" w:rsidP="00374990">
            <w:pPr>
              <w:spacing w:before="0"/>
              <w:ind w:hanging="587"/>
              <w:jc w:val="center"/>
              <w:rPr>
                <w:rFonts w:ascii="Times New Roman" w:hAnsi="Times New Roman"/>
              </w:rPr>
            </w:pPr>
            <w:r w:rsidRPr="001A4329">
              <w:rPr>
                <w:rFonts w:ascii="Times New Roman" w:hAnsi="Times New Roman"/>
              </w:rPr>
              <w:t>Brief Explanation</w:t>
            </w:r>
          </w:p>
        </w:tc>
      </w:tr>
      <w:tr w:rsidR="007518E4" w:rsidRPr="00930334" w14:paraId="6DD1E185" w14:textId="77777777" w:rsidTr="00374990">
        <w:trPr>
          <w:trHeight w:val="647"/>
          <w:jc w:val="center"/>
        </w:trPr>
        <w:tc>
          <w:tcPr>
            <w:tcW w:w="1710" w:type="pct"/>
            <w:vAlign w:val="center"/>
          </w:tcPr>
          <w:p w14:paraId="5D7CDA9E" w14:textId="77777777" w:rsidR="007518E4" w:rsidRPr="001A4329" w:rsidRDefault="007518E4" w:rsidP="00374990">
            <w:pPr>
              <w:spacing w:before="0"/>
              <w:ind w:left="0"/>
              <w:jc w:val="left"/>
              <w:rPr>
                <w:rFonts w:ascii="Times New Roman" w:hAnsi="Times New Roman"/>
              </w:rPr>
            </w:pPr>
            <w:r w:rsidRPr="001A4329">
              <w:rPr>
                <w:rFonts w:ascii="Times New Roman" w:hAnsi="Times New Roman"/>
                <w:bCs/>
              </w:rPr>
              <w:t>PI-15 Fiscal Strategy</w:t>
            </w:r>
          </w:p>
        </w:tc>
        <w:tc>
          <w:tcPr>
            <w:tcW w:w="476" w:type="pct"/>
            <w:vAlign w:val="center"/>
          </w:tcPr>
          <w:p w14:paraId="19DBBCD6" w14:textId="77777777" w:rsidR="007518E4" w:rsidRPr="001A4329" w:rsidRDefault="007518E4" w:rsidP="00681081">
            <w:pPr>
              <w:spacing w:before="0"/>
              <w:ind w:left="0"/>
              <w:jc w:val="center"/>
              <w:rPr>
                <w:rFonts w:ascii="Times New Roman" w:hAnsi="Times New Roman"/>
              </w:rPr>
            </w:pPr>
            <w:r w:rsidRPr="001A4329">
              <w:rPr>
                <w:rFonts w:ascii="Times New Roman" w:hAnsi="Times New Roman"/>
              </w:rPr>
              <w:t>D</w:t>
            </w:r>
            <w:r>
              <w:rPr>
                <w:rFonts w:ascii="Times New Roman" w:hAnsi="Times New Roman"/>
              </w:rPr>
              <w:t>+</w:t>
            </w:r>
          </w:p>
        </w:tc>
        <w:tc>
          <w:tcPr>
            <w:tcW w:w="2815" w:type="pct"/>
            <w:vAlign w:val="center"/>
          </w:tcPr>
          <w:p w14:paraId="1DE824A0" w14:textId="77777777" w:rsidR="007518E4" w:rsidRPr="001A4329" w:rsidRDefault="007518E4" w:rsidP="00681081">
            <w:pPr>
              <w:spacing w:before="0"/>
              <w:ind w:left="0"/>
              <w:rPr>
                <w:rFonts w:ascii="Times New Roman" w:hAnsi="Times New Roman"/>
              </w:rPr>
            </w:pPr>
            <w:r w:rsidRPr="001A4329">
              <w:rPr>
                <w:rFonts w:ascii="Times New Roman" w:hAnsi="Times New Roman"/>
              </w:rPr>
              <w:t>Dimensions combined by Method M2</w:t>
            </w:r>
          </w:p>
        </w:tc>
      </w:tr>
      <w:tr w:rsidR="007518E4" w:rsidRPr="00930334" w14:paraId="255EB69E" w14:textId="77777777" w:rsidTr="00374990">
        <w:trPr>
          <w:trHeight w:val="647"/>
          <w:jc w:val="center"/>
        </w:trPr>
        <w:tc>
          <w:tcPr>
            <w:tcW w:w="1710" w:type="pct"/>
            <w:vAlign w:val="center"/>
          </w:tcPr>
          <w:p w14:paraId="27C58B87" w14:textId="77777777" w:rsidR="007518E4" w:rsidRPr="001A4329" w:rsidRDefault="007518E4" w:rsidP="00374990">
            <w:pPr>
              <w:spacing w:before="0"/>
              <w:ind w:left="0"/>
              <w:jc w:val="left"/>
              <w:rPr>
                <w:rFonts w:ascii="Times New Roman" w:hAnsi="Times New Roman"/>
                <w:color w:val="000000"/>
              </w:rPr>
            </w:pPr>
            <w:r w:rsidRPr="001A4329">
              <w:rPr>
                <w:rFonts w:ascii="Times New Roman" w:hAnsi="Times New Roman"/>
                <w:color w:val="000000"/>
              </w:rPr>
              <w:t>15.1 Fiscal impact of policy proposals</w:t>
            </w:r>
          </w:p>
        </w:tc>
        <w:tc>
          <w:tcPr>
            <w:tcW w:w="476" w:type="pct"/>
            <w:vAlign w:val="center"/>
          </w:tcPr>
          <w:p w14:paraId="60867635" w14:textId="77777777" w:rsidR="007518E4" w:rsidRPr="001A4329" w:rsidRDefault="007518E4" w:rsidP="00681081">
            <w:pPr>
              <w:spacing w:before="0"/>
              <w:ind w:left="0"/>
              <w:jc w:val="center"/>
              <w:rPr>
                <w:rFonts w:ascii="Times New Roman" w:hAnsi="Times New Roman"/>
              </w:rPr>
            </w:pPr>
            <w:r w:rsidRPr="001A4329">
              <w:rPr>
                <w:rFonts w:ascii="Times New Roman" w:hAnsi="Times New Roman"/>
              </w:rPr>
              <w:t>D</w:t>
            </w:r>
          </w:p>
        </w:tc>
        <w:tc>
          <w:tcPr>
            <w:tcW w:w="2815" w:type="pct"/>
            <w:vAlign w:val="center"/>
          </w:tcPr>
          <w:p w14:paraId="2171C9FD" w14:textId="77777777" w:rsidR="007518E4" w:rsidRPr="004B49B9" w:rsidRDefault="007518E4" w:rsidP="00681081">
            <w:pPr>
              <w:spacing w:before="0"/>
              <w:ind w:left="0"/>
              <w:rPr>
                <w:rFonts w:ascii="Times New Roman" w:hAnsi="Times New Roman"/>
                <w:lang w:eastAsia="en-IN"/>
              </w:rPr>
            </w:pPr>
            <w:r w:rsidRPr="004B49B9">
              <w:rPr>
                <w:rFonts w:ascii="Times New Roman" w:eastAsia="ヒラギノ角ゴ Pro W3" w:hAnsi="Times New Roman"/>
                <w:color w:val="000000"/>
                <w:lang w:eastAsia="en-IN"/>
              </w:rPr>
              <w:t>Fiscal impact of proposed revenue measures and expenditure policy is not fully costed or estimated in the budget submitted to the legislature</w:t>
            </w:r>
            <w:r>
              <w:rPr>
                <w:rFonts w:ascii="Times New Roman" w:eastAsia="ヒラギノ角ゴ Pro W3" w:hAnsi="Times New Roman"/>
                <w:color w:val="000000"/>
                <w:lang w:eastAsia="en-IN"/>
              </w:rPr>
              <w:t>.</w:t>
            </w:r>
          </w:p>
        </w:tc>
      </w:tr>
      <w:tr w:rsidR="007518E4" w:rsidRPr="00930334" w14:paraId="796FDC4C" w14:textId="77777777" w:rsidTr="00374990">
        <w:trPr>
          <w:trHeight w:val="548"/>
          <w:jc w:val="center"/>
        </w:trPr>
        <w:tc>
          <w:tcPr>
            <w:tcW w:w="1710" w:type="pct"/>
            <w:vAlign w:val="center"/>
          </w:tcPr>
          <w:p w14:paraId="3D909EB8" w14:textId="77777777" w:rsidR="007518E4" w:rsidRPr="001A4329" w:rsidRDefault="007518E4" w:rsidP="00374990">
            <w:pPr>
              <w:spacing w:before="0"/>
              <w:ind w:left="0"/>
              <w:jc w:val="left"/>
              <w:rPr>
                <w:rFonts w:ascii="Times New Roman" w:hAnsi="Times New Roman"/>
                <w:color w:val="000000"/>
              </w:rPr>
            </w:pPr>
            <w:r w:rsidRPr="001A4329">
              <w:rPr>
                <w:rFonts w:ascii="Times New Roman" w:hAnsi="Times New Roman"/>
                <w:color w:val="000000"/>
              </w:rPr>
              <w:t>15.2 Fiscal strategy adoption</w:t>
            </w:r>
          </w:p>
        </w:tc>
        <w:tc>
          <w:tcPr>
            <w:tcW w:w="476" w:type="pct"/>
            <w:vAlign w:val="center"/>
          </w:tcPr>
          <w:p w14:paraId="7025D215" w14:textId="77777777" w:rsidR="007518E4" w:rsidRPr="001A4329" w:rsidRDefault="007518E4" w:rsidP="00681081">
            <w:pPr>
              <w:spacing w:before="0"/>
              <w:ind w:left="0"/>
              <w:jc w:val="center"/>
              <w:rPr>
                <w:rFonts w:ascii="Times New Roman" w:hAnsi="Times New Roman"/>
              </w:rPr>
            </w:pPr>
            <w:r>
              <w:rPr>
                <w:rFonts w:ascii="Times New Roman" w:hAnsi="Times New Roman"/>
              </w:rPr>
              <w:t>C</w:t>
            </w:r>
          </w:p>
        </w:tc>
        <w:tc>
          <w:tcPr>
            <w:tcW w:w="2815" w:type="pct"/>
            <w:vAlign w:val="center"/>
          </w:tcPr>
          <w:p w14:paraId="75F95647" w14:textId="77777777" w:rsidR="007518E4" w:rsidRPr="004C7D23" w:rsidRDefault="007518E4" w:rsidP="00681081">
            <w:pPr>
              <w:spacing w:before="0"/>
              <w:ind w:left="0"/>
              <w:rPr>
                <w:rFonts w:ascii="Times New Roman" w:hAnsi="Times New Roman"/>
              </w:rPr>
            </w:pPr>
            <w:r w:rsidRPr="004C7D23">
              <w:rPr>
                <w:rFonts w:ascii="Times New Roman" w:eastAsia="ヒラギノ角ゴ Pro W3" w:hAnsi="Times New Roman"/>
                <w:color w:val="000000"/>
                <w:lang w:eastAsia="en-IN"/>
              </w:rPr>
              <w:t>The government presents a fiscal strategy of qualitative objectives for the forthcoming budget year, which is presented to the National Assembly. Quantitative fiscal targets were adopted by the government internally as part of the PFDS but are neither set in law nor submitted to the National Assembly</w:t>
            </w:r>
            <w:r w:rsidRPr="004C7D23">
              <w:rPr>
                <w:rFonts w:ascii="Times New Roman" w:hAnsi="Times New Roman"/>
                <w:lang w:eastAsia="en-IN"/>
              </w:rPr>
              <w:t>.</w:t>
            </w:r>
          </w:p>
        </w:tc>
      </w:tr>
      <w:tr w:rsidR="007518E4" w:rsidRPr="00930334" w14:paraId="69CC32EE" w14:textId="77777777" w:rsidTr="00374990">
        <w:trPr>
          <w:trHeight w:val="530"/>
          <w:jc w:val="center"/>
        </w:trPr>
        <w:tc>
          <w:tcPr>
            <w:tcW w:w="1710" w:type="pct"/>
            <w:vAlign w:val="center"/>
          </w:tcPr>
          <w:p w14:paraId="53634F36" w14:textId="77777777" w:rsidR="007518E4" w:rsidRPr="001A4329" w:rsidRDefault="007518E4" w:rsidP="00374990">
            <w:pPr>
              <w:spacing w:before="0"/>
              <w:ind w:left="0"/>
              <w:jc w:val="left"/>
              <w:rPr>
                <w:rFonts w:ascii="Times New Roman" w:hAnsi="Times New Roman"/>
                <w:color w:val="000000"/>
              </w:rPr>
            </w:pPr>
            <w:r w:rsidRPr="001A4329">
              <w:rPr>
                <w:rFonts w:ascii="Times New Roman" w:hAnsi="Times New Roman"/>
                <w:color w:val="000000"/>
              </w:rPr>
              <w:t>15.3 Reporting on fiscal outcomes</w:t>
            </w:r>
          </w:p>
        </w:tc>
        <w:tc>
          <w:tcPr>
            <w:tcW w:w="476" w:type="pct"/>
            <w:vAlign w:val="center"/>
          </w:tcPr>
          <w:p w14:paraId="23E2B159" w14:textId="77777777" w:rsidR="007518E4" w:rsidRPr="001A4329" w:rsidRDefault="007518E4" w:rsidP="00681081">
            <w:pPr>
              <w:spacing w:before="0"/>
              <w:ind w:left="0"/>
              <w:jc w:val="center"/>
              <w:rPr>
                <w:rFonts w:ascii="Times New Roman" w:hAnsi="Times New Roman"/>
              </w:rPr>
            </w:pPr>
            <w:r w:rsidRPr="001A4329">
              <w:rPr>
                <w:rFonts w:ascii="Times New Roman" w:hAnsi="Times New Roman"/>
              </w:rPr>
              <w:t>D</w:t>
            </w:r>
          </w:p>
        </w:tc>
        <w:tc>
          <w:tcPr>
            <w:tcW w:w="2815" w:type="pct"/>
            <w:vAlign w:val="center"/>
          </w:tcPr>
          <w:p w14:paraId="4ABA57EE" w14:textId="77777777" w:rsidR="007518E4" w:rsidRPr="004C7D23" w:rsidRDefault="007518E4" w:rsidP="00681081">
            <w:pPr>
              <w:spacing w:before="0"/>
              <w:ind w:left="0"/>
              <w:rPr>
                <w:rFonts w:ascii="Times New Roman" w:eastAsia="ヒラギノ角ゴ Pro W3" w:hAnsi="Times New Roman"/>
                <w:color w:val="000000"/>
                <w:lang w:eastAsia="en-IN"/>
              </w:rPr>
            </w:pPr>
            <w:r w:rsidRPr="004C7D23">
              <w:rPr>
                <w:rFonts w:ascii="Times New Roman" w:eastAsia="ヒラギノ角ゴ Pro W3" w:hAnsi="Times New Roman"/>
                <w:color w:val="000000"/>
                <w:lang w:eastAsia="en-IN"/>
              </w:rPr>
              <w:t>The government prepares an internal report on progress towards broad fiscal targets but there is no systematic reporting against quantitative and qualitative targets based on implementation of specific fiscal policies.</w:t>
            </w:r>
          </w:p>
        </w:tc>
      </w:tr>
    </w:tbl>
    <w:p w14:paraId="59CABCC3" w14:textId="77777777" w:rsidR="007518E4" w:rsidRPr="00A91667" w:rsidRDefault="007518E4" w:rsidP="007518E4">
      <w:pPr>
        <w:pStyle w:val="ParagraphNumbering"/>
        <w:numPr>
          <w:ilvl w:val="0"/>
          <w:numId w:val="0"/>
        </w:numPr>
        <w:spacing w:after="0"/>
        <w:rPr>
          <w:rFonts w:ascii="Times New Roman" w:eastAsia="Calibri" w:hAnsi="Times New Roman"/>
          <w:b/>
          <w:color w:val="F06322"/>
          <w:sz w:val="24"/>
        </w:rPr>
      </w:pPr>
      <w:r w:rsidRPr="00A91667">
        <w:rPr>
          <w:rFonts w:ascii="Times New Roman" w:eastAsia="Calibri" w:hAnsi="Times New Roman"/>
          <w:b/>
          <w:color w:val="F06322"/>
          <w:sz w:val="24"/>
        </w:rPr>
        <w:t xml:space="preserve">15.1 Fiscal Impact of </w:t>
      </w:r>
      <w:r>
        <w:rPr>
          <w:rFonts w:ascii="Times New Roman" w:eastAsia="Calibri" w:hAnsi="Times New Roman"/>
          <w:b/>
          <w:color w:val="F06322"/>
          <w:sz w:val="24"/>
        </w:rPr>
        <w:t>p</w:t>
      </w:r>
      <w:r w:rsidRPr="00A91667">
        <w:rPr>
          <w:rFonts w:ascii="Times New Roman" w:eastAsia="Calibri" w:hAnsi="Times New Roman"/>
          <w:b/>
          <w:color w:val="F06322"/>
          <w:sz w:val="24"/>
        </w:rPr>
        <w:t xml:space="preserve">olicy </w:t>
      </w:r>
      <w:r>
        <w:rPr>
          <w:rFonts w:ascii="Times New Roman" w:eastAsia="Calibri" w:hAnsi="Times New Roman"/>
          <w:b/>
          <w:color w:val="F06322"/>
          <w:sz w:val="24"/>
        </w:rPr>
        <w:t>p</w:t>
      </w:r>
      <w:r w:rsidRPr="00A91667">
        <w:rPr>
          <w:rFonts w:ascii="Times New Roman" w:eastAsia="Calibri" w:hAnsi="Times New Roman"/>
          <w:b/>
          <w:color w:val="F06322"/>
          <w:sz w:val="24"/>
        </w:rPr>
        <w:t>roposals</w:t>
      </w:r>
    </w:p>
    <w:p w14:paraId="51B858AF" w14:textId="77777777" w:rsidR="007518E4" w:rsidRDefault="00681081" w:rsidP="008037D9">
      <w:pPr>
        <w:pStyle w:val="ListParagraph"/>
        <w:numPr>
          <w:ilvl w:val="0"/>
          <w:numId w:val="62"/>
        </w:numPr>
        <w:autoSpaceDE w:val="0"/>
        <w:autoSpaceDN w:val="0"/>
        <w:adjustRightInd w:val="0"/>
        <w:spacing w:after="240"/>
        <w:contextualSpacing w:val="0"/>
        <w:rPr>
          <w:rFonts w:ascii="Times New Roman" w:hAnsi="Times New Roman"/>
          <w:sz w:val="24"/>
        </w:rPr>
      </w:pPr>
      <w:r>
        <w:rPr>
          <w:rFonts w:ascii="Times New Roman" w:hAnsi="Times New Roman"/>
          <w:b/>
          <w:sz w:val="24"/>
        </w:rPr>
        <w:t>The Fiscal Policy Division (F</w:t>
      </w:r>
      <w:r w:rsidR="007518E4" w:rsidRPr="00681081">
        <w:rPr>
          <w:rFonts w:ascii="Times New Roman" w:hAnsi="Times New Roman"/>
          <w:b/>
          <w:sz w:val="24"/>
        </w:rPr>
        <w:t>PD) of MoF is responsible for preparing revenue policy proposals and for revenue estimates of tax and non-tax revenue.</w:t>
      </w:r>
      <w:r w:rsidR="00374990">
        <w:rPr>
          <w:rFonts w:ascii="Times New Roman" w:hAnsi="Times New Roman"/>
          <w:sz w:val="24"/>
        </w:rPr>
        <w:t xml:space="preserve"> </w:t>
      </w:r>
      <w:r w:rsidR="007518E4" w:rsidRPr="004B49B9">
        <w:rPr>
          <w:rFonts w:ascii="Times New Roman" w:hAnsi="Times New Roman"/>
          <w:sz w:val="24"/>
        </w:rPr>
        <w:t xml:space="preserve">It prepares a consolidation of the fiscal forecasts based on information from collecting departments for each tax and </w:t>
      </w:r>
      <w:proofErr w:type="spellStart"/>
      <w:proofErr w:type="gramStart"/>
      <w:r w:rsidR="007518E4" w:rsidRPr="004B49B9">
        <w:rPr>
          <w:rFonts w:ascii="Times New Roman" w:hAnsi="Times New Roman"/>
          <w:sz w:val="24"/>
        </w:rPr>
        <w:t>non tax</w:t>
      </w:r>
      <w:proofErr w:type="spellEnd"/>
      <w:proofErr w:type="gramEnd"/>
      <w:r w:rsidR="007518E4" w:rsidRPr="004B49B9">
        <w:rPr>
          <w:rFonts w:ascii="Times New Roman" w:hAnsi="Times New Roman"/>
          <w:sz w:val="24"/>
        </w:rPr>
        <w:t xml:space="preserve"> revenue to estimate a medium term fiscal framework for the definition of a</w:t>
      </w:r>
      <w:r w:rsidR="00374990">
        <w:rPr>
          <w:rFonts w:ascii="Times New Roman" w:hAnsi="Times New Roman"/>
          <w:sz w:val="24"/>
        </w:rPr>
        <w:t xml:space="preserve">ggregate expenditure ceilings. </w:t>
      </w:r>
      <w:r w:rsidR="007518E4" w:rsidRPr="004B49B9">
        <w:rPr>
          <w:rFonts w:ascii="Times New Roman" w:hAnsi="Times New Roman"/>
          <w:sz w:val="24"/>
        </w:rPr>
        <w:t xml:space="preserve">However, the revenue impact of tax measures such as the new amended Value Added Tax Law as of July 2015 was not estimated or quantified. </w:t>
      </w:r>
    </w:p>
    <w:p w14:paraId="282F153B" w14:textId="77777777" w:rsidR="007518E4" w:rsidRPr="004B49B9" w:rsidRDefault="007518E4" w:rsidP="008037D9">
      <w:pPr>
        <w:pStyle w:val="ListParagraph"/>
        <w:numPr>
          <w:ilvl w:val="0"/>
          <w:numId w:val="62"/>
        </w:numPr>
        <w:autoSpaceDE w:val="0"/>
        <w:autoSpaceDN w:val="0"/>
        <w:adjustRightInd w:val="0"/>
        <w:spacing w:after="240"/>
        <w:contextualSpacing w:val="0"/>
        <w:rPr>
          <w:rFonts w:ascii="Times New Roman" w:hAnsi="Times New Roman"/>
          <w:b/>
          <w:sz w:val="24"/>
        </w:rPr>
      </w:pPr>
      <w:r w:rsidRPr="00681081">
        <w:rPr>
          <w:rFonts w:ascii="Times New Roman" w:hAnsi="Times New Roman"/>
          <w:b/>
          <w:sz w:val="24"/>
        </w:rPr>
        <w:t>The FPD is also responsible for reviewing the fiscal impact of expenditure policy proposals in collaboration with the Budget Department.</w:t>
      </w:r>
      <w:r w:rsidRPr="004B49B9">
        <w:rPr>
          <w:rFonts w:ascii="Times New Roman" w:hAnsi="Times New Roman"/>
          <w:sz w:val="24"/>
        </w:rPr>
        <w:t xml:space="preserve"> However, as sector development plans/strategies typically do not include multi-year costing for each targets or outcome, estimates of the budget impact of expenditure policy proposals are not directly available. Budget estimates draw on the proposals presented in the sector plans and strategies but at a very general level, with reference to the NSEDP by sectors. The costing and alignment of these sector plans with the budget are still weak and the FPD has just started to work on the definition of a comprehensive MTEF with ADB assistance (see PI-16). </w:t>
      </w:r>
    </w:p>
    <w:p w14:paraId="314E423D" w14:textId="77777777" w:rsidR="007518E4"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681081">
        <w:rPr>
          <w:rFonts w:ascii="Times New Roman" w:eastAsia="ヒラギノ角ゴ Pro W3" w:hAnsi="Times New Roman"/>
          <w:b/>
          <w:color w:val="000000"/>
          <w:sz w:val="24"/>
          <w:lang w:eastAsia="en-IN"/>
        </w:rPr>
        <w:t>Fiscal impact of proposed revenue measures and expenditure policy is not fully costed or estimated in the budget submitted to the legislature</w:t>
      </w:r>
      <w:r w:rsidRPr="004B49B9">
        <w:rPr>
          <w:rFonts w:ascii="Times New Roman" w:eastAsia="ヒラギノ角ゴ Pro W3" w:hAnsi="Times New Roman"/>
          <w:color w:val="000000"/>
          <w:sz w:val="24"/>
          <w:lang w:eastAsia="en-IN"/>
        </w:rPr>
        <w:t>: Score D</w:t>
      </w:r>
      <w:r w:rsidRPr="004B49B9">
        <w:rPr>
          <w:rFonts w:ascii="Times New Roman" w:hAnsi="Times New Roman"/>
          <w:sz w:val="24"/>
        </w:rPr>
        <w:t xml:space="preserve">. </w:t>
      </w:r>
    </w:p>
    <w:p w14:paraId="224FF4C8" w14:textId="77777777" w:rsidR="00ED6F7A" w:rsidRDefault="00ED6F7A">
      <w:pPr>
        <w:spacing w:after="240" w:line="276" w:lineRule="auto"/>
        <w:rPr>
          <w:rFonts w:ascii="Times New Roman" w:eastAsia="ヒラギノ角ゴ Pro W3" w:hAnsi="Times New Roman"/>
          <w:b/>
          <w:color w:val="000000"/>
          <w:sz w:val="24"/>
          <w:lang w:eastAsia="en-IN"/>
        </w:rPr>
      </w:pPr>
      <w:r>
        <w:rPr>
          <w:rFonts w:ascii="Times New Roman" w:eastAsia="ヒラギノ角ゴ Pro W3" w:hAnsi="Times New Roman"/>
          <w:b/>
          <w:color w:val="000000"/>
          <w:sz w:val="24"/>
          <w:lang w:eastAsia="en-IN"/>
        </w:rPr>
        <w:br w:type="page"/>
      </w:r>
    </w:p>
    <w:p w14:paraId="706E4F3B" w14:textId="77777777" w:rsidR="007518E4" w:rsidRPr="00A91667" w:rsidRDefault="007518E4" w:rsidP="007518E4">
      <w:pPr>
        <w:pStyle w:val="ParagraphNumbering"/>
        <w:numPr>
          <w:ilvl w:val="0"/>
          <w:numId w:val="0"/>
        </w:numPr>
        <w:spacing w:after="0"/>
        <w:rPr>
          <w:rFonts w:ascii="Times New Roman" w:hAnsi="Times New Roman"/>
          <w:b/>
          <w:color w:val="F06322"/>
          <w:sz w:val="24"/>
        </w:rPr>
      </w:pPr>
      <w:r w:rsidRPr="00A91667">
        <w:rPr>
          <w:rFonts w:ascii="Times New Roman" w:eastAsia="Calibri" w:hAnsi="Times New Roman"/>
          <w:b/>
          <w:color w:val="F06322"/>
          <w:sz w:val="24"/>
        </w:rPr>
        <w:lastRenderedPageBreak/>
        <w:t xml:space="preserve">15.2 Fiscal </w:t>
      </w:r>
      <w:r>
        <w:rPr>
          <w:rFonts w:ascii="Times New Roman" w:eastAsia="Calibri" w:hAnsi="Times New Roman"/>
          <w:b/>
          <w:color w:val="F06322"/>
          <w:sz w:val="24"/>
        </w:rPr>
        <w:t>s</w:t>
      </w:r>
      <w:r w:rsidRPr="00A91667">
        <w:rPr>
          <w:rFonts w:ascii="Times New Roman" w:eastAsia="Calibri" w:hAnsi="Times New Roman"/>
          <w:b/>
          <w:color w:val="F06322"/>
          <w:sz w:val="24"/>
        </w:rPr>
        <w:t xml:space="preserve">trategy </w:t>
      </w:r>
      <w:r>
        <w:rPr>
          <w:rFonts w:ascii="Times New Roman" w:eastAsia="Calibri" w:hAnsi="Times New Roman"/>
          <w:b/>
          <w:color w:val="F06322"/>
          <w:sz w:val="24"/>
        </w:rPr>
        <w:t>a</w:t>
      </w:r>
      <w:r w:rsidRPr="00A91667">
        <w:rPr>
          <w:rFonts w:ascii="Times New Roman" w:eastAsia="Calibri" w:hAnsi="Times New Roman"/>
          <w:b/>
          <w:color w:val="F06322"/>
          <w:sz w:val="24"/>
        </w:rPr>
        <w:t>doption</w:t>
      </w:r>
    </w:p>
    <w:p w14:paraId="52E27B93" w14:textId="77777777" w:rsidR="007518E4" w:rsidRDefault="007518E4" w:rsidP="008037D9">
      <w:pPr>
        <w:pStyle w:val="Default"/>
        <w:numPr>
          <w:ilvl w:val="0"/>
          <w:numId w:val="62"/>
        </w:numPr>
        <w:spacing w:after="240"/>
        <w:rPr>
          <w:rFonts w:ascii="Times New Roman" w:hAnsi="Times New Roman" w:cs="Times New Roman"/>
        </w:rPr>
      </w:pPr>
      <w:r w:rsidRPr="00681081">
        <w:rPr>
          <w:rFonts w:ascii="Times New Roman" w:hAnsi="Times New Roman" w:cs="Times New Roman"/>
          <w:b/>
        </w:rPr>
        <w:t>The State Budget Law Article 55 requires that the MoF presents its fiscal policy, budget policy and medium-term budget framework and medium-term budgets to the National Assembly.</w:t>
      </w:r>
      <w:r w:rsidRPr="004B49B9">
        <w:rPr>
          <w:rFonts w:ascii="Times New Roman" w:hAnsi="Times New Roman" w:cs="Times New Roman"/>
        </w:rPr>
        <w:t xml:space="preserve"> </w:t>
      </w:r>
      <w:r w:rsidRPr="004B49B9">
        <w:rPr>
          <w:rFonts w:ascii="Times New Roman" w:hAnsi="Times New Roman" w:cs="Times New Roman"/>
          <w:lang w:val="en-MY"/>
        </w:rPr>
        <w:t xml:space="preserve">At present, </w:t>
      </w:r>
      <w:r w:rsidRPr="004B49B9">
        <w:rPr>
          <w:rFonts w:ascii="Times New Roman" w:hAnsi="Times New Roman" w:cs="Times New Roman"/>
        </w:rPr>
        <w:t xml:space="preserve">MoF consolidated the Public Finance Development Strategy to 2025 and Vision to 2030 endorsed by the PM and including macro targets to 2020 as follows: “ </w:t>
      </w:r>
    </w:p>
    <w:p w14:paraId="55AB9B08"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GDP growth above 7.2% and GDP per capita USD 3.217, </w:t>
      </w:r>
    </w:p>
    <w:p w14:paraId="33675993"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inflation rate below the economic growth rate, </w:t>
      </w:r>
    </w:p>
    <w:p w14:paraId="1EE423D0"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stability of the exchange rate maintained; exchange rate fluctuation of the kip against major currencies within +/- 5% per year; </w:t>
      </w:r>
    </w:p>
    <w:p w14:paraId="313E9A03"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total state revenue between 17-18% of GDP, of which domestic revenue between 15-16% of GDP; </w:t>
      </w:r>
    </w:p>
    <w:p w14:paraId="49A72873"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budget expenditure between 22-24% of GDP; </w:t>
      </w:r>
    </w:p>
    <w:p w14:paraId="2CC7A8EF"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salary expenditure not exceeding 45% of domestic revenue; </w:t>
      </w:r>
    </w:p>
    <w:p w14:paraId="02A8948C" w14:textId="77777777" w:rsidR="007518E4" w:rsidRPr="00374990" w:rsidRDefault="007518E4" w:rsidP="00374990">
      <w:pPr>
        <w:pStyle w:val="ListParagraph"/>
        <w:numPr>
          <w:ilvl w:val="0"/>
          <w:numId w:val="52"/>
        </w:numPr>
        <w:spacing w:after="120"/>
        <w:contextualSpacing w:val="0"/>
        <w:rPr>
          <w:rFonts w:ascii="Times New Roman" w:hAnsi="Times New Roman"/>
          <w:sz w:val="24"/>
        </w:rPr>
      </w:pPr>
      <w:r w:rsidRPr="00374990">
        <w:rPr>
          <w:rFonts w:ascii="Times New Roman" w:hAnsi="Times New Roman"/>
          <w:sz w:val="24"/>
        </w:rPr>
        <w:t xml:space="preserve">public debt maintained below 65% of GDP and </w:t>
      </w:r>
    </w:p>
    <w:p w14:paraId="1857696C" w14:textId="77777777" w:rsidR="007518E4" w:rsidRDefault="007518E4" w:rsidP="00374990">
      <w:pPr>
        <w:pStyle w:val="ListParagraph"/>
        <w:numPr>
          <w:ilvl w:val="0"/>
          <w:numId w:val="52"/>
        </w:numPr>
        <w:spacing w:after="120"/>
        <w:contextualSpacing w:val="0"/>
        <w:rPr>
          <w:rFonts w:ascii="Times New Roman" w:hAnsi="Times New Roman"/>
        </w:rPr>
      </w:pPr>
      <w:r w:rsidRPr="00374990">
        <w:rPr>
          <w:rFonts w:ascii="Times New Roman" w:hAnsi="Times New Roman"/>
          <w:sz w:val="24"/>
        </w:rPr>
        <w:t>a budget de</w:t>
      </w:r>
      <w:r w:rsidRPr="004B49B9">
        <w:rPr>
          <w:rFonts w:ascii="Times New Roman" w:hAnsi="Times New Roman"/>
        </w:rPr>
        <w:t xml:space="preserve">ficit below 5% of GDP per annum.” </w:t>
      </w:r>
    </w:p>
    <w:p w14:paraId="6C740E4E" w14:textId="77777777" w:rsidR="007518E4" w:rsidRPr="004B49B9" w:rsidRDefault="007518E4" w:rsidP="008037D9">
      <w:pPr>
        <w:pStyle w:val="Default"/>
        <w:numPr>
          <w:ilvl w:val="0"/>
          <w:numId w:val="62"/>
        </w:numPr>
        <w:spacing w:after="240"/>
        <w:rPr>
          <w:rFonts w:ascii="Times New Roman" w:hAnsi="Times New Roman" w:cs="Times New Roman"/>
        </w:rPr>
      </w:pPr>
      <w:r w:rsidRPr="00681081">
        <w:rPr>
          <w:rFonts w:ascii="Times New Roman" w:hAnsi="Times New Roman" w:cs="Times New Roman"/>
          <w:b/>
        </w:rPr>
        <w:t>FPD also prepared in 2017 for the 2018 budget submission to the NA a 3-page fiscal policy document</w:t>
      </w:r>
      <w:r w:rsidR="00374990">
        <w:rPr>
          <w:rFonts w:ascii="Times New Roman" w:hAnsi="Times New Roman" w:cs="Times New Roman"/>
        </w:rPr>
        <w:t xml:space="preserve">. </w:t>
      </w:r>
      <w:r w:rsidR="00681081">
        <w:rPr>
          <w:rFonts w:ascii="Times New Roman" w:hAnsi="Times New Roman" w:cs="Times New Roman"/>
        </w:rPr>
        <w:t xml:space="preserve">This was </w:t>
      </w:r>
      <w:r w:rsidRPr="004B49B9">
        <w:rPr>
          <w:rFonts w:ascii="Times New Roman" w:hAnsi="Times New Roman" w:cs="Times New Roman"/>
        </w:rPr>
        <w:t xml:space="preserve">based on the MTFF with revenue and expenditure projections for 3 years, with the intention to adjust these figures on a rolling basis, as was already the case in 2018 with the 2019 budget submission. The MoF budget statement to the NA refers to general fiscal principles and fiscal objectives based on quantitative targets. </w:t>
      </w:r>
    </w:p>
    <w:p w14:paraId="3B55AE69" w14:textId="77777777" w:rsidR="007518E4" w:rsidRPr="004B49B9" w:rsidRDefault="007518E4" w:rsidP="008037D9">
      <w:pPr>
        <w:pStyle w:val="ListParagraph"/>
        <w:numPr>
          <w:ilvl w:val="0"/>
          <w:numId w:val="62"/>
        </w:numPr>
        <w:autoSpaceDE w:val="0"/>
        <w:autoSpaceDN w:val="0"/>
        <w:adjustRightInd w:val="0"/>
        <w:spacing w:after="240"/>
        <w:contextualSpacing w:val="0"/>
        <w:rPr>
          <w:rFonts w:ascii="Times New Roman" w:hAnsi="Times New Roman"/>
          <w:sz w:val="24"/>
        </w:rPr>
      </w:pPr>
      <w:r w:rsidRPr="00681081">
        <w:rPr>
          <w:rFonts w:ascii="Times New Roman" w:hAnsi="Times New Roman"/>
          <w:b/>
          <w:sz w:val="24"/>
        </w:rPr>
        <w:t>There is a restriction on debt to GDP ratio and the level of public debt is limited in the medium-term</w:t>
      </w:r>
      <w:r w:rsidR="00374990">
        <w:rPr>
          <w:rFonts w:ascii="Times New Roman" w:hAnsi="Times New Roman"/>
          <w:sz w:val="24"/>
        </w:rPr>
        <w:t xml:space="preserve">. </w:t>
      </w:r>
      <w:r w:rsidR="00681081">
        <w:rPr>
          <w:rFonts w:ascii="Times New Roman" w:hAnsi="Times New Roman"/>
          <w:sz w:val="24"/>
        </w:rPr>
        <w:t xml:space="preserve">This </w:t>
      </w:r>
      <w:r w:rsidRPr="004B49B9">
        <w:rPr>
          <w:rFonts w:ascii="Times New Roman" w:hAnsi="Times New Roman"/>
          <w:sz w:val="24"/>
        </w:rPr>
        <w:t xml:space="preserve">serves as an anchor to government fiscal </w:t>
      </w:r>
      <w:proofErr w:type="gramStart"/>
      <w:r w:rsidRPr="004B49B9">
        <w:rPr>
          <w:rFonts w:ascii="Times New Roman" w:hAnsi="Times New Roman"/>
          <w:sz w:val="24"/>
        </w:rPr>
        <w:t>policy, but</w:t>
      </w:r>
      <w:proofErr w:type="gramEnd"/>
      <w:r w:rsidRPr="004B49B9">
        <w:rPr>
          <w:rFonts w:ascii="Times New Roman" w:hAnsi="Times New Roman"/>
          <w:sz w:val="24"/>
        </w:rPr>
        <w:t xml:space="preserve"> is not necessarily complied with. Furthermore, there are no detailed multi-year projections on the debt limit, and the linkage with the projections of expenditure and revenue that are presented in the State budget plan is missing.</w:t>
      </w:r>
    </w:p>
    <w:p w14:paraId="6110D785" w14:textId="77777777" w:rsidR="007518E4" w:rsidRPr="004C7D23" w:rsidRDefault="007518E4" w:rsidP="008037D9">
      <w:pPr>
        <w:pStyle w:val="ListParagraph"/>
        <w:numPr>
          <w:ilvl w:val="0"/>
          <w:numId w:val="62"/>
        </w:numPr>
        <w:autoSpaceDE w:val="0"/>
        <w:autoSpaceDN w:val="0"/>
        <w:adjustRightInd w:val="0"/>
        <w:spacing w:after="240"/>
        <w:contextualSpacing w:val="0"/>
        <w:rPr>
          <w:rFonts w:ascii="Times New Roman" w:eastAsia="ヒラギノ角ゴ Pro W3" w:hAnsi="Times New Roman"/>
          <w:color w:val="000000"/>
          <w:sz w:val="24"/>
          <w:lang w:eastAsia="en-IN"/>
        </w:rPr>
      </w:pPr>
      <w:r w:rsidRPr="00681081">
        <w:rPr>
          <w:rFonts w:ascii="Times New Roman" w:eastAsia="ヒラギノ角ゴ Pro W3" w:hAnsi="Times New Roman"/>
          <w:b/>
          <w:color w:val="000000"/>
          <w:sz w:val="24"/>
          <w:lang w:eastAsia="en-IN"/>
        </w:rPr>
        <w:t>The government presents a fiscal strategy of qualitative objectives for the forthcoming budget year, which is presented to the National Assembly</w:t>
      </w:r>
      <w:r w:rsidRPr="004C7D23">
        <w:rPr>
          <w:rFonts w:ascii="Times New Roman" w:eastAsia="ヒラギノ角ゴ Pro W3" w:hAnsi="Times New Roman"/>
          <w:color w:val="000000"/>
          <w:sz w:val="24"/>
          <w:lang w:eastAsia="en-IN"/>
        </w:rPr>
        <w:t>. Quantitative fiscal targets were adopted by the government internally as part of the PFDS but are neither set in law nor submitted t</w:t>
      </w:r>
      <w:r>
        <w:rPr>
          <w:rFonts w:ascii="Times New Roman" w:eastAsia="ヒラギノ角ゴ Pro W3" w:hAnsi="Times New Roman"/>
          <w:color w:val="000000"/>
          <w:sz w:val="24"/>
          <w:lang w:eastAsia="en-IN"/>
        </w:rPr>
        <w:t>o the National Assembly: Score C</w:t>
      </w:r>
      <w:r w:rsidRPr="004C7D23">
        <w:rPr>
          <w:rFonts w:ascii="Times New Roman" w:eastAsia="ヒラギノ角ゴ Pro W3" w:hAnsi="Times New Roman"/>
          <w:color w:val="000000"/>
          <w:sz w:val="24"/>
          <w:lang w:eastAsia="en-IN"/>
        </w:rPr>
        <w:t>.</w:t>
      </w:r>
    </w:p>
    <w:p w14:paraId="5E29004D" w14:textId="77777777" w:rsidR="007518E4" w:rsidRPr="00A91667" w:rsidRDefault="007518E4" w:rsidP="008037D9">
      <w:pPr>
        <w:pStyle w:val="ParagraphNumbering"/>
        <w:numPr>
          <w:ilvl w:val="1"/>
          <w:numId w:val="51"/>
        </w:numPr>
        <w:tabs>
          <w:tab w:val="left" w:pos="540"/>
        </w:tabs>
        <w:spacing w:after="0"/>
        <w:rPr>
          <w:rFonts w:ascii="Times New Roman" w:hAnsi="Times New Roman"/>
          <w:b/>
          <w:color w:val="F06322"/>
          <w:sz w:val="24"/>
        </w:rPr>
      </w:pPr>
      <w:r>
        <w:rPr>
          <w:rFonts w:ascii="Times New Roman" w:eastAsia="Calibri" w:hAnsi="Times New Roman"/>
          <w:b/>
          <w:color w:val="F06322"/>
          <w:sz w:val="24"/>
        </w:rPr>
        <w:tab/>
      </w:r>
      <w:r w:rsidRPr="00A91667">
        <w:rPr>
          <w:rFonts w:ascii="Times New Roman" w:eastAsia="Calibri" w:hAnsi="Times New Roman"/>
          <w:b/>
          <w:color w:val="F06322"/>
          <w:sz w:val="24"/>
        </w:rPr>
        <w:t xml:space="preserve">Reporting of </w:t>
      </w:r>
      <w:r>
        <w:rPr>
          <w:rFonts w:ascii="Times New Roman" w:eastAsia="Calibri" w:hAnsi="Times New Roman"/>
          <w:b/>
          <w:color w:val="F06322"/>
          <w:sz w:val="24"/>
        </w:rPr>
        <w:t>f</w:t>
      </w:r>
      <w:r w:rsidRPr="00A91667">
        <w:rPr>
          <w:rFonts w:ascii="Times New Roman" w:eastAsia="Calibri" w:hAnsi="Times New Roman"/>
          <w:b/>
          <w:color w:val="F06322"/>
          <w:sz w:val="24"/>
        </w:rPr>
        <w:t xml:space="preserve">iscal </w:t>
      </w:r>
      <w:r>
        <w:rPr>
          <w:rFonts w:ascii="Times New Roman" w:eastAsia="Calibri" w:hAnsi="Times New Roman"/>
          <w:b/>
          <w:color w:val="F06322"/>
          <w:sz w:val="24"/>
        </w:rPr>
        <w:t>r</w:t>
      </w:r>
      <w:r w:rsidRPr="00A91667">
        <w:rPr>
          <w:rFonts w:ascii="Times New Roman" w:eastAsia="Calibri" w:hAnsi="Times New Roman"/>
          <w:b/>
          <w:color w:val="F06322"/>
          <w:sz w:val="24"/>
        </w:rPr>
        <w:t>esults</w:t>
      </w:r>
    </w:p>
    <w:p w14:paraId="65FD74E5" w14:textId="77777777" w:rsidR="007518E4" w:rsidRPr="004C7D23" w:rsidRDefault="007518E4" w:rsidP="008037D9">
      <w:pPr>
        <w:pStyle w:val="ListParagraph"/>
        <w:numPr>
          <w:ilvl w:val="0"/>
          <w:numId w:val="57"/>
        </w:numPr>
        <w:autoSpaceDE w:val="0"/>
        <w:autoSpaceDN w:val="0"/>
        <w:adjustRightInd w:val="0"/>
        <w:spacing w:after="240"/>
        <w:ind w:left="0" w:firstLine="0"/>
        <w:contextualSpacing w:val="0"/>
        <w:rPr>
          <w:rFonts w:ascii="Times New Roman" w:hAnsi="Times New Roman"/>
          <w:bCs/>
          <w:iCs/>
          <w:sz w:val="24"/>
        </w:rPr>
      </w:pPr>
      <w:r w:rsidRPr="00681081">
        <w:rPr>
          <w:rFonts w:ascii="Times New Roman" w:hAnsi="Times New Roman"/>
          <w:b/>
          <w:bCs/>
          <w:iCs/>
          <w:sz w:val="24"/>
        </w:rPr>
        <w:t>In the absence of formulation and adoption of a comprehensive fiscal strategy by the government, reporting on fiscal outcomes is based on the fiscal targets stated in the state budget plan submission to the NA and the 5-year medium term fiscal framework adopted from 2016-2020.</w:t>
      </w:r>
      <w:r w:rsidRPr="004C7D23">
        <w:rPr>
          <w:rFonts w:ascii="Times New Roman" w:hAnsi="Times New Roman"/>
          <w:bCs/>
          <w:iCs/>
          <w:sz w:val="24"/>
        </w:rPr>
        <w:t xml:space="preserve"> Several reports issued by MoF discuss fiscal policy issues and underlying macro-economic developments, including during 2018, the annual 2017 report, and </w:t>
      </w:r>
      <w:r w:rsidRPr="004C7D23">
        <w:rPr>
          <w:rFonts w:ascii="Times New Roman" w:hAnsi="Times New Roman"/>
          <w:bCs/>
          <w:iCs/>
          <w:sz w:val="24"/>
        </w:rPr>
        <w:lastRenderedPageBreak/>
        <w:t>2018 4-month report (June 2018), and the 6-month report (October 2018), which are all submitted to the National Assembly. Since fiscal policy targets are defined only at a broad level, however, reporting on their achievement is made as a general statement with broad explanation on deviations. The reports discuss developments but do not make direct comparison to the qualitative and quantitative objectives stated during the previous year’s budget policy cycle. This information is not publicly available. The government publishes the Government Financial Statistics Annual Report with detailed description on performance and progress towards fiscal targets, but the report is only circulated almost 2 years after the end if the fiscal year.</w:t>
      </w:r>
    </w:p>
    <w:p w14:paraId="477A56BF" w14:textId="77777777" w:rsidR="007518E4" w:rsidRDefault="007518E4" w:rsidP="008037D9">
      <w:pPr>
        <w:pStyle w:val="ListParagraph"/>
        <w:numPr>
          <w:ilvl w:val="0"/>
          <w:numId w:val="57"/>
        </w:numPr>
        <w:autoSpaceDE w:val="0"/>
        <w:autoSpaceDN w:val="0"/>
        <w:adjustRightInd w:val="0"/>
        <w:spacing w:after="240"/>
        <w:ind w:left="0" w:firstLine="0"/>
        <w:contextualSpacing w:val="0"/>
        <w:rPr>
          <w:rFonts w:ascii="Times New Roman" w:eastAsia="ヒラギノ角ゴ Pro W3" w:hAnsi="Times New Roman"/>
          <w:color w:val="000000"/>
          <w:sz w:val="24"/>
          <w:lang w:eastAsia="en-IN"/>
        </w:rPr>
      </w:pPr>
      <w:r w:rsidRPr="00681081">
        <w:rPr>
          <w:rFonts w:ascii="Times New Roman" w:eastAsia="ヒラギノ角ゴ Pro W3" w:hAnsi="Times New Roman"/>
          <w:b/>
          <w:color w:val="000000"/>
          <w:sz w:val="24"/>
          <w:lang w:eastAsia="en-IN"/>
        </w:rPr>
        <w:t>The government prepares an internal report on progress towards broad fiscal targets</w:t>
      </w:r>
      <w:r w:rsidR="00681081">
        <w:rPr>
          <w:rFonts w:ascii="Times New Roman" w:eastAsia="ヒラギノ角ゴ Pro W3" w:hAnsi="Times New Roman"/>
          <w:b/>
          <w:color w:val="000000"/>
          <w:sz w:val="24"/>
          <w:lang w:eastAsia="en-IN"/>
        </w:rPr>
        <w:t xml:space="preserve">. </w:t>
      </w:r>
      <w:r w:rsidR="00681081" w:rsidRPr="00681081">
        <w:rPr>
          <w:rFonts w:ascii="Times New Roman" w:eastAsia="ヒラギノ角ゴ Pro W3" w:hAnsi="Times New Roman"/>
          <w:color w:val="000000"/>
          <w:sz w:val="24"/>
          <w:lang w:eastAsia="en-IN"/>
        </w:rPr>
        <w:t>T</w:t>
      </w:r>
      <w:r w:rsidRPr="004C7D23">
        <w:rPr>
          <w:rFonts w:ascii="Times New Roman" w:eastAsia="ヒラギノ角ゴ Pro W3" w:hAnsi="Times New Roman"/>
          <w:color w:val="000000"/>
          <w:sz w:val="24"/>
          <w:lang w:eastAsia="en-IN"/>
        </w:rPr>
        <w:t>here is no systematic reporting against quantitative and qualitative targets based on implementation of specific fiscal policies: Score D.</w:t>
      </w:r>
    </w:p>
    <w:p w14:paraId="3B5ECA42" w14:textId="77777777" w:rsidR="007518E4" w:rsidRPr="004C7D23" w:rsidRDefault="007518E4" w:rsidP="008037D9">
      <w:pPr>
        <w:pStyle w:val="ListParagraph"/>
        <w:numPr>
          <w:ilvl w:val="0"/>
          <w:numId w:val="57"/>
        </w:numPr>
        <w:autoSpaceDE w:val="0"/>
        <w:autoSpaceDN w:val="0"/>
        <w:adjustRightInd w:val="0"/>
        <w:spacing w:after="240"/>
        <w:ind w:left="0" w:firstLine="0"/>
        <w:contextualSpacing w:val="0"/>
        <w:rPr>
          <w:rFonts w:ascii="Times New Roman" w:hAnsi="Times New Roman"/>
          <w:bCs/>
          <w:sz w:val="24"/>
        </w:rPr>
      </w:pPr>
      <w:r w:rsidRPr="00681081">
        <w:rPr>
          <w:rFonts w:ascii="Times New Roman" w:hAnsi="Times New Roman"/>
          <w:b/>
          <w:bCs/>
          <w:sz w:val="24"/>
        </w:rPr>
        <w:t>The provisions from State Budget Law relating to the establishment of a relevant fiscal policy framework are progressively being incorporated to help ensure long term fiscal sustainability.</w:t>
      </w:r>
      <w:r w:rsidRPr="004C7D23">
        <w:rPr>
          <w:rFonts w:ascii="Times New Roman" w:hAnsi="Times New Roman"/>
          <w:bCs/>
          <w:sz w:val="24"/>
        </w:rPr>
        <w:t xml:space="preserve"> The capacity to undertake fiscal impact analysis of revenue and expenditure policy changes is gradually being developed as the MTFF and MTEF are being introduced with WB and ADB support.</w:t>
      </w:r>
    </w:p>
    <w:p w14:paraId="3E821CE5" w14:textId="77777777" w:rsidR="007518E4" w:rsidRDefault="007518E4" w:rsidP="00681081">
      <w:pPr>
        <w:pStyle w:val="Heading3"/>
        <w:spacing w:after="240"/>
        <w:ind w:left="0"/>
        <w:rPr>
          <w:rFonts w:ascii="Times New Roman" w:eastAsia="Calibri" w:hAnsi="Times New Roman"/>
          <w:b w:val="0"/>
          <w:bCs w:val="0"/>
          <w:color w:val="F06322"/>
          <w:spacing w:val="-1"/>
          <w:szCs w:val="28"/>
        </w:rPr>
      </w:pPr>
      <w:bookmarkStart w:id="73" w:name="_Toc518901800"/>
      <w:bookmarkStart w:id="74" w:name="_Toc4148995"/>
      <w:r w:rsidRPr="00FE6ED4">
        <w:rPr>
          <w:rFonts w:ascii="Times New Roman" w:eastAsia="Calibri" w:hAnsi="Times New Roman"/>
          <w:color w:val="F06322"/>
          <w:spacing w:val="-1"/>
          <w:szCs w:val="28"/>
        </w:rPr>
        <w:t>PI-16. Medium-</w:t>
      </w:r>
      <w:r>
        <w:rPr>
          <w:rFonts w:ascii="Times New Roman" w:eastAsia="Calibri" w:hAnsi="Times New Roman"/>
          <w:color w:val="F06322"/>
          <w:spacing w:val="-1"/>
          <w:szCs w:val="28"/>
        </w:rPr>
        <w:t>t</w:t>
      </w:r>
      <w:r w:rsidRPr="00FE6ED4">
        <w:rPr>
          <w:rFonts w:ascii="Times New Roman" w:eastAsia="Calibri" w:hAnsi="Times New Roman"/>
          <w:color w:val="F06322"/>
          <w:spacing w:val="-1"/>
          <w:szCs w:val="28"/>
        </w:rPr>
        <w:t xml:space="preserve">erm </w:t>
      </w:r>
      <w:r>
        <w:rPr>
          <w:rFonts w:ascii="Times New Roman" w:eastAsia="Calibri" w:hAnsi="Times New Roman"/>
          <w:color w:val="F06322"/>
          <w:spacing w:val="-1"/>
          <w:szCs w:val="28"/>
        </w:rPr>
        <w:t>p</w:t>
      </w:r>
      <w:r w:rsidRPr="00FE6ED4">
        <w:rPr>
          <w:rFonts w:ascii="Times New Roman" w:eastAsia="Calibri" w:hAnsi="Times New Roman"/>
          <w:color w:val="F06322"/>
          <w:spacing w:val="-1"/>
          <w:szCs w:val="28"/>
        </w:rPr>
        <w:t xml:space="preserve">erspective </w:t>
      </w:r>
      <w:r>
        <w:rPr>
          <w:rFonts w:ascii="Times New Roman" w:eastAsia="Calibri" w:hAnsi="Times New Roman"/>
          <w:color w:val="F06322"/>
          <w:spacing w:val="-1"/>
          <w:szCs w:val="28"/>
        </w:rPr>
        <w:t>i</w:t>
      </w:r>
      <w:r w:rsidRPr="00FE6ED4">
        <w:rPr>
          <w:rFonts w:ascii="Times New Roman" w:eastAsia="Calibri" w:hAnsi="Times New Roman"/>
          <w:color w:val="F06322"/>
          <w:spacing w:val="-1"/>
          <w:szCs w:val="28"/>
        </w:rPr>
        <w:t xml:space="preserve">n </w:t>
      </w:r>
      <w:r>
        <w:rPr>
          <w:rFonts w:ascii="Times New Roman" w:eastAsia="Calibri" w:hAnsi="Times New Roman"/>
          <w:color w:val="F06322"/>
          <w:spacing w:val="-1"/>
          <w:szCs w:val="28"/>
        </w:rPr>
        <w:t>e</w:t>
      </w:r>
      <w:r w:rsidRPr="00FE6ED4">
        <w:rPr>
          <w:rFonts w:ascii="Times New Roman" w:eastAsia="Calibri" w:hAnsi="Times New Roman"/>
          <w:color w:val="F06322"/>
          <w:spacing w:val="-1"/>
          <w:szCs w:val="28"/>
        </w:rPr>
        <w:t xml:space="preserve">xpenditure </w:t>
      </w:r>
      <w:r>
        <w:rPr>
          <w:rFonts w:ascii="Times New Roman" w:eastAsia="Calibri" w:hAnsi="Times New Roman"/>
          <w:color w:val="F06322"/>
          <w:spacing w:val="-1"/>
          <w:szCs w:val="28"/>
        </w:rPr>
        <w:t>b</w:t>
      </w:r>
      <w:r w:rsidRPr="00FE6ED4">
        <w:rPr>
          <w:rFonts w:ascii="Times New Roman" w:eastAsia="Calibri" w:hAnsi="Times New Roman"/>
          <w:color w:val="F06322"/>
          <w:spacing w:val="-1"/>
          <w:szCs w:val="28"/>
        </w:rPr>
        <w:t>udgeting</w:t>
      </w:r>
      <w:bookmarkEnd w:id="73"/>
      <w:bookmarkEnd w:id="74"/>
    </w:p>
    <w:p w14:paraId="209B4BA5" w14:textId="77777777" w:rsidR="007518E4" w:rsidRPr="004C7D23" w:rsidRDefault="007518E4" w:rsidP="008037D9">
      <w:pPr>
        <w:pStyle w:val="ListParagraph"/>
        <w:numPr>
          <w:ilvl w:val="0"/>
          <w:numId w:val="58"/>
        </w:numPr>
        <w:spacing w:after="240"/>
        <w:contextualSpacing w:val="0"/>
        <w:rPr>
          <w:rFonts w:ascii="Times New Roman" w:hAnsi="Times New Roman"/>
          <w:color w:val="000000"/>
          <w:sz w:val="24"/>
        </w:rPr>
      </w:pPr>
      <w:r w:rsidRPr="00423BC8">
        <w:rPr>
          <w:rFonts w:ascii="Times New Roman" w:hAnsi="Times New Roman"/>
          <w:b/>
          <w:color w:val="000000"/>
          <w:sz w:val="24"/>
        </w:rPr>
        <w:t>This indicator examines the extent to which expenditure budgets are developed for the medium term within explicit medium-term budget expenditure ceilings.</w:t>
      </w:r>
      <w:r w:rsidRPr="00CC30B3">
        <w:rPr>
          <w:rFonts w:ascii="Times New Roman" w:hAnsi="Times New Roman"/>
          <w:color w:val="000000"/>
          <w:sz w:val="24"/>
        </w:rPr>
        <w:t xml:space="preserve"> It also examines the extent to which annual budgets are derived from medium term estimates and the degree of alignment between medium term budget estimates </w:t>
      </w:r>
      <w:r w:rsidRPr="00CC30B3">
        <w:rPr>
          <w:rFonts w:ascii="Times New Roman" w:hAnsi="Times New Roman"/>
          <w:sz w:val="24"/>
        </w:rPr>
        <w:t>and</w:t>
      </w:r>
      <w:r w:rsidRPr="00CC30B3">
        <w:rPr>
          <w:rFonts w:ascii="Times New Roman" w:hAnsi="Times New Roman"/>
          <w:color w:val="000000"/>
          <w:sz w:val="24"/>
        </w:rPr>
        <w:t xml:space="preserve"> strategic plans.  Assessment is based on, for d</w:t>
      </w:r>
      <w:r w:rsidRPr="00CC30B3">
        <w:rPr>
          <w:rFonts w:ascii="Times New Roman" w:hAnsi="Times New Roman"/>
          <w:sz w:val="24"/>
        </w:rPr>
        <w:t>imensions 16.1, 16.2 and 16.3, last budget submitted to the legislature, 2017.  For dimension 16.4, last budget submitted to the legislature 2017, and the current budget 2018.</w:t>
      </w:r>
      <w:r>
        <w:rPr>
          <w:rFonts w:ascii="Times New Roman" w:hAnsi="Times New Roman"/>
          <w:sz w:val="24"/>
        </w:rPr>
        <w:t xml:space="preserve">  The coverage is budgetary central government.</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1271"/>
        <w:gridCol w:w="4931"/>
      </w:tblGrid>
      <w:tr w:rsidR="007518E4" w:rsidRPr="00930334" w14:paraId="74AABF9A" w14:textId="77777777" w:rsidTr="00374990">
        <w:trPr>
          <w:trHeight w:val="397"/>
          <w:jc w:val="center"/>
        </w:trPr>
        <w:tc>
          <w:tcPr>
            <w:tcW w:w="1520" w:type="pct"/>
            <w:shd w:val="clear" w:color="auto" w:fill="D9D9D9"/>
            <w:vAlign w:val="center"/>
          </w:tcPr>
          <w:p w14:paraId="00B1B33D" w14:textId="77777777" w:rsidR="007518E4" w:rsidRPr="004C7D23" w:rsidRDefault="007518E4" w:rsidP="00374990">
            <w:pPr>
              <w:spacing w:before="0"/>
              <w:ind w:hanging="497"/>
              <w:jc w:val="center"/>
              <w:rPr>
                <w:rFonts w:ascii="Times New Roman" w:hAnsi="Times New Roman"/>
              </w:rPr>
            </w:pPr>
            <w:r w:rsidRPr="004C7D23">
              <w:rPr>
                <w:rFonts w:ascii="Times New Roman" w:hAnsi="Times New Roman"/>
              </w:rPr>
              <w:t>Indicator/Dimension</w:t>
            </w:r>
          </w:p>
        </w:tc>
        <w:tc>
          <w:tcPr>
            <w:tcW w:w="713" w:type="pct"/>
            <w:shd w:val="clear" w:color="auto" w:fill="D9D9D9"/>
            <w:vAlign w:val="center"/>
          </w:tcPr>
          <w:p w14:paraId="3C35EAC6" w14:textId="77777777" w:rsidR="007518E4" w:rsidRPr="004C7D23" w:rsidRDefault="007518E4" w:rsidP="00423BC8">
            <w:pPr>
              <w:spacing w:before="0"/>
              <w:ind w:left="0"/>
              <w:jc w:val="center"/>
              <w:rPr>
                <w:rFonts w:ascii="Times New Roman" w:hAnsi="Times New Roman"/>
              </w:rPr>
            </w:pPr>
            <w:r w:rsidRPr="004C7D23">
              <w:rPr>
                <w:rFonts w:ascii="Times New Roman" w:hAnsi="Times New Roman"/>
              </w:rPr>
              <w:t>Score</w:t>
            </w:r>
          </w:p>
        </w:tc>
        <w:tc>
          <w:tcPr>
            <w:tcW w:w="2767" w:type="pct"/>
            <w:shd w:val="clear" w:color="auto" w:fill="D9D9D9"/>
            <w:vAlign w:val="center"/>
          </w:tcPr>
          <w:p w14:paraId="7B7C8FEF" w14:textId="77777777" w:rsidR="007518E4" w:rsidRPr="004C7D23" w:rsidRDefault="007518E4" w:rsidP="00374990">
            <w:pPr>
              <w:spacing w:before="0"/>
              <w:ind w:hanging="527"/>
              <w:jc w:val="center"/>
              <w:rPr>
                <w:rFonts w:ascii="Times New Roman" w:hAnsi="Times New Roman"/>
              </w:rPr>
            </w:pPr>
            <w:r w:rsidRPr="004C7D23">
              <w:rPr>
                <w:rFonts w:ascii="Times New Roman" w:hAnsi="Times New Roman"/>
              </w:rPr>
              <w:t>Brief Explanation</w:t>
            </w:r>
          </w:p>
        </w:tc>
      </w:tr>
      <w:tr w:rsidR="007518E4" w:rsidRPr="00930334" w14:paraId="2831F0AF" w14:textId="77777777" w:rsidTr="00374990">
        <w:trPr>
          <w:trHeight w:val="647"/>
          <w:jc w:val="center"/>
        </w:trPr>
        <w:tc>
          <w:tcPr>
            <w:tcW w:w="1520" w:type="pct"/>
            <w:vAlign w:val="center"/>
          </w:tcPr>
          <w:p w14:paraId="558579D8" w14:textId="77777777" w:rsidR="007518E4" w:rsidRPr="004C7D23" w:rsidRDefault="007518E4" w:rsidP="00374990">
            <w:pPr>
              <w:spacing w:before="0"/>
              <w:ind w:left="0"/>
              <w:jc w:val="left"/>
              <w:rPr>
                <w:rFonts w:ascii="Times New Roman" w:eastAsia="Calibri" w:hAnsi="Times New Roman"/>
                <w:bCs/>
              </w:rPr>
            </w:pPr>
            <w:r w:rsidRPr="004C7D23">
              <w:rPr>
                <w:rFonts w:ascii="Times New Roman" w:eastAsia="Calibri" w:hAnsi="Times New Roman"/>
                <w:bCs/>
              </w:rPr>
              <w:t>PI-16 Medium-term perspective in expenditure budgeting</w:t>
            </w:r>
          </w:p>
        </w:tc>
        <w:tc>
          <w:tcPr>
            <w:tcW w:w="713" w:type="pct"/>
            <w:vAlign w:val="center"/>
          </w:tcPr>
          <w:p w14:paraId="7CA039E4" w14:textId="77777777" w:rsidR="007518E4" w:rsidRPr="004C7D23" w:rsidRDefault="007518E4" w:rsidP="00423BC8">
            <w:pPr>
              <w:spacing w:before="0"/>
              <w:ind w:left="0"/>
              <w:jc w:val="center"/>
              <w:rPr>
                <w:rFonts w:ascii="Times New Roman" w:hAnsi="Times New Roman"/>
              </w:rPr>
            </w:pPr>
            <w:r w:rsidRPr="004C7D23">
              <w:rPr>
                <w:rFonts w:ascii="Times New Roman" w:hAnsi="Times New Roman"/>
              </w:rPr>
              <w:t>D</w:t>
            </w:r>
            <w:r w:rsidR="00F15491">
              <w:rPr>
                <w:rFonts w:ascii="Times New Roman" w:hAnsi="Times New Roman"/>
              </w:rPr>
              <w:t>+</w:t>
            </w:r>
          </w:p>
        </w:tc>
        <w:tc>
          <w:tcPr>
            <w:tcW w:w="2767" w:type="pct"/>
            <w:vAlign w:val="center"/>
          </w:tcPr>
          <w:p w14:paraId="29D9EBA5" w14:textId="77777777" w:rsidR="007518E4" w:rsidRPr="004C7D23" w:rsidRDefault="007518E4" w:rsidP="00423BC8">
            <w:pPr>
              <w:spacing w:before="0"/>
              <w:ind w:left="0"/>
              <w:rPr>
                <w:rFonts w:ascii="Times New Roman" w:hAnsi="Times New Roman"/>
              </w:rPr>
            </w:pPr>
            <w:r w:rsidRPr="004C7D23">
              <w:rPr>
                <w:rFonts w:ascii="Times New Roman" w:hAnsi="Times New Roman"/>
              </w:rPr>
              <w:t>Dimensions combined by Method M2 (average)</w:t>
            </w:r>
          </w:p>
        </w:tc>
      </w:tr>
      <w:tr w:rsidR="007518E4" w:rsidRPr="00930334" w14:paraId="4D326DA6" w14:textId="77777777" w:rsidTr="00374990">
        <w:trPr>
          <w:trHeight w:val="647"/>
          <w:jc w:val="center"/>
        </w:trPr>
        <w:tc>
          <w:tcPr>
            <w:tcW w:w="1520" w:type="pct"/>
            <w:vAlign w:val="center"/>
          </w:tcPr>
          <w:p w14:paraId="1EEB37F4" w14:textId="77777777" w:rsidR="007518E4" w:rsidRPr="004C7D23" w:rsidRDefault="007518E4" w:rsidP="00374990">
            <w:pPr>
              <w:spacing w:before="0"/>
              <w:ind w:left="0"/>
              <w:jc w:val="left"/>
              <w:rPr>
                <w:rFonts w:ascii="Times New Roman" w:hAnsi="Times New Roman"/>
              </w:rPr>
            </w:pPr>
            <w:r w:rsidRPr="004C7D23">
              <w:rPr>
                <w:rFonts w:ascii="Times New Roman" w:hAnsi="Times New Roman"/>
              </w:rPr>
              <w:t xml:space="preserve">16.1 </w:t>
            </w:r>
            <w:r w:rsidRPr="004C7D23">
              <w:rPr>
                <w:rFonts w:ascii="Times New Roman" w:hAnsi="Times New Roman"/>
                <w:color w:val="000000"/>
              </w:rPr>
              <w:t>Medium-term expenditure estimates</w:t>
            </w:r>
          </w:p>
        </w:tc>
        <w:tc>
          <w:tcPr>
            <w:tcW w:w="713" w:type="pct"/>
            <w:vAlign w:val="center"/>
          </w:tcPr>
          <w:p w14:paraId="40CE3EF7" w14:textId="77777777" w:rsidR="007518E4" w:rsidRPr="004C7D23" w:rsidRDefault="00EC4385" w:rsidP="00423BC8">
            <w:pPr>
              <w:spacing w:before="0"/>
              <w:ind w:left="0"/>
              <w:jc w:val="center"/>
              <w:rPr>
                <w:rFonts w:ascii="Times New Roman" w:hAnsi="Times New Roman"/>
              </w:rPr>
            </w:pPr>
            <w:r>
              <w:rPr>
                <w:rFonts w:ascii="Times New Roman" w:hAnsi="Times New Roman"/>
              </w:rPr>
              <w:t>C</w:t>
            </w:r>
          </w:p>
        </w:tc>
        <w:tc>
          <w:tcPr>
            <w:tcW w:w="2767" w:type="pct"/>
            <w:vAlign w:val="center"/>
          </w:tcPr>
          <w:p w14:paraId="435273D4" w14:textId="77777777" w:rsidR="007518E4" w:rsidRPr="004C7D23" w:rsidRDefault="007518E4" w:rsidP="00423BC8">
            <w:pPr>
              <w:spacing w:before="0"/>
              <w:ind w:left="0"/>
              <w:rPr>
                <w:rFonts w:ascii="Times New Roman" w:hAnsi="Times New Roman"/>
                <w:lang w:eastAsia="en-IN"/>
              </w:rPr>
            </w:pPr>
            <w:r w:rsidRPr="0076276F">
              <w:rPr>
                <w:rFonts w:ascii="Times New Roman" w:eastAsia="ヒラギノ角ゴ Pro W3" w:hAnsi="Times New Roman"/>
                <w:color w:val="000000"/>
                <w:lang w:eastAsia="en-IN"/>
              </w:rPr>
              <w:t xml:space="preserve">While </w:t>
            </w:r>
            <w:r w:rsidRPr="0076276F">
              <w:rPr>
                <w:rFonts w:ascii="Times New Roman" w:hAnsi="Times New Roman"/>
              </w:rPr>
              <w:t xml:space="preserve">detailed estimates by economic classification at 4-digit level are available within the State Budget Plan for the current budget year, </w:t>
            </w:r>
            <w:r w:rsidRPr="0076276F">
              <w:rPr>
                <w:rFonts w:ascii="Times New Roman" w:eastAsia="ヒラギノ角ゴ Pro W3" w:hAnsi="Times New Roman"/>
                <w:color w:val="000000"/>
                <w:lang w:eastAsia="en-IN"/>
              </w:rPr>
              <w:t xml:space="preserve">aggregate estimates </w:t>
            </w:r>
            <w:r w:rsidR="00F15491">
              <w:rPr>
                <w:rFonts w:ascii="Times New Roman" w:eastAsia="ヒラギノ角ゴ Pro W3" w:hAnsi="Times New Roman"/>
                <w:color w:val="000000"/>
                <w:lang w:eastAsia="en-IN"/>
              </w:rPr>
              <w:t xml:space="preserve">at a 2-digit </w:t>
            </w:r>
            <w:r w:rsidRPr="0076276F">
              <w:rPr>
                <w:rFonts w:ascii="Times New Roman" w:eastAsia="ヒラギノ角ゴ Pro W3" w:hAnsi="Times New Roman"/>
                <w:color w:val="000000"/>
                <w:lang w:eastAsia="en-IN"/>
              </w:rPr>
              <w:t>of expenditure are presented for the two following years</w:t>
            </w:r>
            <w:r w:rsidRPr="004C7D23">
              <w:rPr>
                <w:rFonts w:ascii="Times New Roman" w:hAnsi="Times New Roman"/>
                <w:lang w:eastAsia="en-IN"/>
              </w:rPr>
              <w:t>.</w:t>
            </w:r>
          </w:p>
        </w:tc>
      </w:tr>
      <w:tr w:rsidR="007518E4" w:rsidRPr="00930334" w14:paraId="4FAC11DE" w14:textId="77777777" w:rsidTr="00374990">
        <w:trPr>
          <w:trHeight w:val="548"/>
          <w:jc w:val="center"/>
        </w:trPr>
        <w:tc>
          <w:tcPr>
            <w:tcW w:w="1520" w:type="pct"/>
            <w:vAlign w:val="center"/>
          </w:tcPr>
          <w:p w14:paraId="22A546C8" w14:textId="77777777" w:rsidR="007518E4" w:rsidRPr="004C7D23" w:rsidRDefault="007518E4" w:rsidP="00374990">
            <w:pPr>
              <w:spacing w:before="0"/>
              <w:ind w:left="0"/>
              <w:jc w:val="left"/>
              <w:rPr>
                <w:rFonts w:ascii="Times New Roman" w:hAnsi="Times New Roman"/>
              </w:rPr>
            </w:pPr>
            <w:r w:rsidRPr="004C7D23">
              <w:rPr>
                <w:rFonts w:ascii="Times New Roman" w:hAnsi="Times New Roman"/>
              </w:rPr>
              <w:t>16.2 Medium-term expenditure ceilings</w:t>
            </w:r>
          </w:p>
        </w:tc>
        <w:tc>
          <w:tcPr>
            <w:tcW w:w="713" w:type="pct"/>
            <w:vAlign w:val="center"/>
          </w:tcPr>
          <w:p w14:paraId="39993974" w14:textId="77777777" w:rsidR="007518E4" w:rsidRPr="004C7D23" w:rsidRDefault="007518E4" w:rsidP="00423BC8">
            <w:pPr>
              <w:spacing w:before="0"/>
              <w:ind w:left="0"/>
              <w:jc w:val="center"/>
              <w:rPr>
                <w:rFonts w:ascii="Times New Roman" w:hAnsi="Times New Roman"/>
              </w:rPr>
            </w:pPr>
            <w:r w:rsidRPr="004C7D23">
              <w:rPr>
                <w:rFonts w:ascii="Times New Roman" w:hAnsi="Times New Roman"/>
              </w:rPr>
              <w:t>C</w:t>
            </w:r>
          </w:p>
        </w:tc>
        <w:tc>
          <w:tcPr>
            <w:tcW w:w="2767" w:type="pct"/>
            <w:vAlign w:val="center"/>
          </w:tcPr>
          <w:p w14:paraId="463DE5F7" w14:textId="77777777" w:rsidR="007518E4" w:rsidRPr="004C7D23" w:rsidRDefault="007518E4" w:rsidP="00423BC8">
            <w:pPr>
              <w:spacing w:before="0"/>
              <w:ind w:left="0"/>
              <w:rPr>
                <w:rFonts w:ascii="Times New Roman" w:hAnsi="Times New Roman"/>
                <w:lang w:eastAsia="en-IN"/>
              </w:rPr>
            </w:pPr>
            <w:r w:rsidRPr="004C7D23">
              <w:rPr>
                <w:rFonts w:ascii="Times New Roman" w:hAnsi="Times New Roman"/>
                <w:lang w:eastAsia="en-IN"/>
              </w:rPr>
              <w:t>The 2018 Budget circular from MoF indicates the aggregate expenditure ceiling prepared based on the MTBF prepared by the government (or 5-year budget plan revised every year) and endorsed by the NA.</w:t>
            </w:r>
          </w:p>
        </w:tc>
      </w:tr>
      <w:tr w:rsidR="007518E4" w:rsidRPr="00930334" w14:paraId="548DF621" w14:textId="77777777" w:rsidTr="00374990">
        <w:trPr>
          <w:trHeight w:val="530"/>
          <w:jc w:val="center"/>
        </w:trPr>
        <w:tc>
          <w:tcPr>
            <w:tcW w:w="1520" w:type="pct"/>
            <w:vAlign w:val="center"/>
          </w:tcPr>
          <w:p w14:paraId="17364306" w14:textId="77777777" w:rsidR="007518E4" w:rsidRPr="004C7D23" w:rsidRDefault="007518E4" w:rsidP="00374990">
            <w:pPr>
              <w:spacing w:before="0"/>
              <w:ind w:left="0"/>
              <w:jc w:val="left"/>
              <w:rPr>
                <w:rFonts w:ascii="Times New Roman" w:hAnsi="Times New Roman"/>
              </w:rPr>
            </w:pPr>
            <w:r w:rsidRPr="004C7D23">
              <w:rPr>
                <w:rFonts w:ascii="Times New Roman" w:hAnsi="Times New Roman"/>
              </w:rPr>
              <w:t>16.3 Alignment of strategic plans and medium-term budgeting</w:t>
            </w:r>
          </w:p>
        </w:tc>
        <w:tc>
          <w:tcPr>
            <w:tcW w:w="713" w:type="pct"/>
            <w:vAlign w:val="center"/>
          </w:tcPr>
          <w:p w14:paraId="17B5FAB3" w14:textId="77777777" w:rsidR="007518E4" w:rsidRPr="004C7D23" w:rsidRDefault="007518E4" w:rsidP="00423BC8">
            <w:pPr>
              <w:spacing w:before="0"/>
              <w:ind w:left="0"/>
              <w:jc w:val="center"/>
              <w:rPr>
                <w:rFonts w:ascii="Times New Roman" w:hAnsi="Times New Roman"/>
              </w:rPr>
            </w:pPr>
            <w:r w:rsidRPr="004C7D23">
              <w:rPr>
                <w:rFonts w:ascii="Times New Roman" w:hAnsi="Times New Roman"/>
              </w:rPr>
              <w:t>D</w:t>
            </w:r>
          </w:p>
        </w:tc>
        <w:tc>
          <w:tcPr>
            <w:tcW w:w="2767" w:type="pct"/>
            <w:vAlign w:val="center"/>
          </w:tcPr>
          <w:p w14:paraId="3B5F5D60" w14:textId="77777777" w:rsidR="007518E4" w:rsidRPr="00315370" w:rsidRDefault="007518E4" w:rsidP="00423BC8">
            <w:pPr>
              <w:spacing w:before="0"/>
              <w:ind w:left="0"/>
              <w:rPr>
                <w:rFonts w:ascii="Times New Roman" w:eastAsia="ヒラギノ角ゴ Pro W3" w:hAnsi="Times New Roman"/>
                <w:color w:val="000000"/>
                <w:lang w:eastAsia="en-IN"/>
              </w:rPr>
            </w:pPr>
            <w:r w:rsidRPr="00315370">
              <w:rPr>
                <w:rFonts w:ascii="Times New Roman" w:eastAsia="ヒラギノ角ゴ Pro W3" w:hAnsi="Times New Roman"/>
                <w:color w:val="000000"/>
                <w:lang w:eastAsia="en-IN"/>
              </w:rPr>
              <w:t>Medium-term strategic plans are prepared for each sector of the NSEDP at least for ministries representing at least more than 75 pe</w:t>
            </w:r>
            <w:r w:rsidR="00374990">
              <w:rPr>
                <w:rFonts w:ascii="Times New Roman" w:eastAsia="ヒラギノ角ゴ Pro W3" w:hAnsi="Times New Roman"/>
                <w:color w:val="000000"/>
                <w:lang w:eastAsia="en-IN"/>
              </w:rPr>
              <w:t xml:space="preserve">rcent of budgeted expenditure. </w:t>
            </w:r>
            <w:r w:rsidRPr="00315370">
              <w:rPr>
                <w:rFonts w:ascii="Times New Roman" w:eastAsia="ヒラギノ角ゴ Pro W3" w:hAnsi="Times New Roman"/>
                <w:color w:val="000000"/>
                <w:lang w:eastAsia="en-IN"/>
              </w:rPr>
              <w:t>However</w:t>
            </w:r>
            <w:r w:rsidR="00374990">
              <w:rPr>
                <w:rFonts w:ascii="Times New Roman" w:eastAsia="ヒラギノ角ゴ Pro W3" w:hAnsi="Times New Roman"/>
                <w:color w:val="000000"/>
                <w:lang w:eastAsia="en-IN"/>
              </w:rPr>
              <w:t>,</w:t>
            </w:r>
            <w:r w:rsidRPr="00315370">
              <w:rPr>
                <w:rFonts w:ascii="Times New Roman" w:eastAsia="ヒラギノ角ゴ Pro W3" w:hAnsi="Times New Roman"/>
                <w:color w:val="000000"/>
                <w:lang w:eastAsia="en-IN"/>
              </w:rPr>
              <w:t xml:space="preserve"> the costing is not systematic across all ministries and medium-term budget projections from MoF are not drawing directly on expenditure policy proposals from these sector plans</w:t>
            </w:r>
            <w:r>
              <w:rPr>
                <w:rFonts w:ascii="Times New Roman" w:eastAsia="ヒラギノ角ゴ Pro W3" w:hAnsi="Times New Roman"/>
                <w:color w:val="000000"/>
                <w:lang w:eastAsia="en-IN"/>
              </w:rPr>
              <w:t>.</w:t>
            </w:r>
          </w:p>
        </w:tc>
      </w:tr>
      <w:tr w:rsidR="007518E4" w:rsidRPr="00930334" w14:paraId="24449D5A" w14:textId="77777777" w:rsidTr="00374990">
        <w:trPr>
          <w:trHeight w:val="530"/>
          <w:jc w:val="center"/>
        </w:trPr>
        <w:tc>
          <w:tcPr>
            <w:tcW w:w="1520" w:type="pct"/>
            <w:vAlign w:val="center"/>
          </w:tcPr>
          <w:p w14:paraId="65282A0D" w14:textId="77777777" w:rsidR="007518E4" w:rsidRPr="004C7D23" w:rsidRDefault="007518E4" w:rsidP="00423BC8">
            <w:pPr>
              <w:spacing w:before="0"/>
              <w:ind w:left="0"/>
              <w:jc w:val="left"/>
              <w:rPr>
                <w:rFonts w:ascii="Times New Roman" w:hAnsi="Times New Roman"/>
              </w:rPr>
            </w:pPr>
            <w:r w:rsidRPr="004C7D23">
              <w:rPr>
                <w:rFonts w:ascii="Times New Roman" w:hAnsi="Times New Roman"/>
              </w:rPr>
              <w:lastRenderedPageBreak/>
              <w:t>16.4 Consistency of budgets with previous estimates</w:t>
            </w:r>
          </w:p>
        </w:tc>
        <w:tc>
          <w:tcPr>
            <w:tcW w:w="713" w:type="pct"/>
            <w:vAlign w:val="center"/>
          </w:tcPr>
          <w:p w14:paraId="50E21B4C" w14:textId="77777777" w:rsidR="007518E4" w:rsidRPr="004C7D23" w:rsidRDefault="007518E4" w:rsidP="00423BC8">
            <w:pPr>
              <w:spacing w:before="0"/>
              <w:ind w:left="0"/>
              <w:jc w:val="center"/>
              <w:rPr>
                <w:rFonts w:ascii="Times New Roman" w:hAnsi="Times New Roman"/>
              </w:rPr>
            </w:pPr>
            <w:r w:rsidRPr="004C7D23">
              <w:rPr>
                <w:rFonts w:ascii="Times New Roman" w:hAnsi="Times New Roman"/>
              </w:rPr>
              <w:t>D</w:t>
            </w:r>
          </w:p>
        </w:tc>
        <w:tc>
          <w:tcPr>
            <w:tcW w:w="2767" w:type="pct"/>
            <w:vAlign w:val="center"/>
          </w:tcPr>
          <w:p w14:paraId="0D3E2601" w14:textId="77777777" w:rsidR="007518E4" w:rsidRPr="004C7D23" w:rsidRDefault="007518E4" w:rsidP="00423BC8">
            <w:pPr>
              <w:spacing w:before="0"/>
              <w:ind w:left="0"/>
              <w:rPr>
                <w:rFonts w:ascii="Times New Roman" w:eastAsia="ヒラギノ角ゴ Pro W3" w:hAnsi="Times New Roman"/>
                <w:color w:val="000000"/>
                <w:lang w:eastAsia="en-IN"/>
              </w:rPr>
            </w:pPr>
            <w:r w:rsidRPr="004C7D23">
              <w:rPr>
                <w:rFonts w:ascii="Times New Roman" w:eastAsia="ヒラギノ角ゴ Pro W3" w:hAnsi="Times New Roman"/>
                <w:color w:val="000000"/>
                <w:lang w:eastAsia="en-IN"/>
              </w:rPr>
              <w:t>Budget documents do not provide any explanations of changes to the updated medium-term expenditure estimates compared to the previous year’s estimates.</w:t>
            </w:r>
          </w:p>
        </w:tc>
      </w:tr>
    </w:tbl>
    <w:p w14:paraId="775546E1" w14:textId="77777777" w:rsidR="007518E4" w:rsidRPr="003511C8" w:rsidRDefault="007518E4" w:rsidP="00423BC8">
      <w:pPr>
        <w:autoSpaceDE w:val="0"/>
        <w:autoSpaceDN w:val="0"/>
        <w:adjustRightInd w:val="0"/>
        <w:ind w:left="0"/>
        <w:rPr>
          <w:rFonts w:ascii="Times New Roman" w:hAnsi="Times New Roman"/>
          <w:b/>
          <w:color w:val="F06322"/>
          <w:sz w:val="24"/>
        </w:rPr>
      </w:pPr>
      <w:r w:rsidRPr="003511C8">
        <w:rPr>
          <w:rFonts w:ascii="Times New Roman" w:hAnsi="Times New Roman"/>
          <w:b/>
          <w:color w:val="F06322"/>
          <w:sz w:val="24"/>
        </w:rPr>
        <w:t xml:space="preserve">16.1 </w:t>
      </w:r>
      <w:r w:rsidRPr="003511C8">
        <w:rPr>
          <w:rFonts w:ascii="Times New Roman" w:hAnsi="Times New Roman"/>
          <w:b/>
          <w:bCs/>
          <w:color w:val="F06322"/>
          <w:sz w:val="24"/>
          <w:lang w:val="en-GB"/>
        </w:rPr>
        <w:t>Medium-</w:t>
      </w:r>
      <w:r>
        <w:rPr>
          <w:rFonts w:ascii="Times New Roman" w:hAnsi="Times New Roman"/>
          <w:b/>
          <w:bCs/>
          <w:color w:val="F06322"/>
          <w:sz w:val="24"/>
          <w:lang w:val="en-GB"/>
        </w:rPr>
        <w:t>t</w:t>
      </w:r>
      <w:r w:rsidRPr="003511C8">
        <w:rPr>
          <w:rFonts w:ascii="Times New Roman" w:hAnsi="Times New Roman"/>
          <w:b/>
          <w:bCs/>
          <w:color w:val="F06322"/>
          <w:sz w:val="24"/>
          <w:lang w:val="en-GB"/>
        </w:rPr>
        <w:t xml:space="preserve">erm </w:t>
      </w:r>
      <w:r>
        <w:rPr>
          <w:rFonts w:ascii="Times New Roman" w:hAnsi="Times New Roman"/>
          <w:b/>
          <w:bCs/>
          <w:color w:val="F06322"/>
          <w:sz w:val="24"/>
          <w:lang w:val="en-GB"/>
        </w:rPr>
        <w:t>e</w:t>
      </w:r>
      <w:r w:rsidRPr="003511C8">
        <w:rPr>
          <w:rFonts w:ascii="Times New Roman" w:hAnsi="Times New Roman"/>
          <w:b/>
          <w:bCs/>
          <w:color w:val="F06322"/>
          <w:sz w:val="24"/>
          <w:lang w:val="en-GB"/>
        </w:rPr>
        <w:t xml:space="preserve">xpenditure </w:t>
      </w:r>
      <w:r>
        <w:rPr>
          <w:rFonts w:ascii="Times New Roman" w:hAnsi="Times New Roman"/>
          <w:b/>
          <w:bCs/>
          <w:color w:val="F06322"/>
          <w:sz w:val="24"/>
          <w:lang w:val="en-GB"/>
        </w:rPr>
        <w:t>e</w:t>
      </w:r>
      <w:r w:rsidRPr="003511C8">
        <w:rPr>
          <w:rFonts w:ascii="Times New Roman" w:hAnsi="Times New Roman"/>
          <w:b/>
          <w:bCs/>
          <w:color w:val="F06322"/>
          <w:sz w:val="24"/>
          <w:lang w:val="en-GB"/>
        </w:rPr>
        <w:t>stimates</w:t>
      </w:r>
    </w:p>
    <w:p w14:paraId="1D8D26FE" w14:textId="77777777" w:rsidR="007518E4" w:rsidRDefault="007518E4" w:rsidP="008037D9">
      <w:pPr>
        <w:pStyle w:val="ListParagraph"/>
        <w:numPr>
          <w:ilvl w:val="0"/>
          <w:numId w:val="58"/>
        </w:numPr>
        <w:autoSpaceDE w:val="0"/>
        <w:autoSpaceDN w:val="0"/>
        <w:adjustRightInd w:val="0"/>
        <w:spacing w:after="240"/>
        <w:contextualSpacing w:val="0"/>
        <w:rPr>
          <w:rFonts w:ascii="Times New Roman" w:hAnsi="Times New Roman"/>
          <w:sz w:val="24"/>
        </w:rPr>
      </w:pPr>
      <w:r w:rsidRPr="00423BC8">
        <w:rPr>
          <w:rFonts w:ascii="Times New Roman" w:hAnsi="Times New Roman"/>
          <w:b/>
          <w:sz w:val="24"/>
        </w:rPr>
        <w:t>The MoF introduced a medium-term approach to budgeting in 2016 through the formulation and presentation of a 5-year budget framework to the NA.</w:t>
      </w:r>
      <w:r w:rsidRPr="004C7D23">
        <w:rPr>
          <w:rFonts w:ascii="Times New Roman" w:hAnsi="Times New Roman"/>
          <w:sz w:val="24"/>
        </w:rPr>
        <w:t xml:space="preserve"> A </w:t>
      </w:r>
      <w:proofErr w:type="gramStart"/>
      <w:r w:rsidRPr="004C7D23">
        <w:rPr>
          <w:rFonts w:ascii="Times New Roman" w:hAnsi="Times New Roman"/>
          <w:sz w:val="24"/>
        </w:rPr>
        <w:t>M</w:t>
      </w:r>
      <w:r w:rsidR="005263CA">
        <w:rPr>
          <w:rFonts w:ascii="Times New Roman" w:hAnsi="Times New Roman"/>
          <w:sz w:val="24"/>
        </w:rPr>
        <w:t xml:space="preserve">edium </w:t>
      </w:r>
      <w:r w:rsidRPr="004C7D23">
        <w:rPr>
          <w:rFonts w:ascii="Times New Roman" w:hAnsi="Times New Roman"/>
          <w:sz w:val="24"/>
        </w:rPr>
        <w:t>T</w:t>
      </w:r>
      <w:r w:rsidR="005263CA">
        <w:rPr>
          <w:rFonts w:ascii="Times New Roman" w:hAnsi="Times New Roman"/>
          <w:sz w:val="24"/>
        </w:rPr>
        <w:t>erm</w:t>
      </w:r>
      <w:proofErr w:type="gramEnd"/>
      <w:r w:rsidR="005263CA">
        <w:rPr>
          <w:rFonts w:ascii="Times New Roman" w:hAnsi="Times New Roman"/>
          <w:sz w:val="24"/>
        </w:rPr>
        <w:t xml:space="preserve"> </w:t>
      </w:r>
      <w:r w:rsidRPr="004C7D23">
        <w:rPr>
          <w:rFonts w:ascii="Times New Roman" w:hAnsi="Times New Roman"/>
          <w:sz w:val="24"/>
        </w:rPr>
        <w:t>F</w:t>
      </w:r>
      <w:r w:rsidR="005263CA">
        <w:rPr>
          <w:rFonts w:ascii="Times New Roman" w:hAnsi="Times New Roman"/>
          <w:sz w:val="24"/>
        </w:rPr>
        <w:t xml:space="preserve">iscal </w:t>
      </w:r>
      <w:r w:rsidRPr="004C7D23">
        <w:rPr>
          <w:rFonts w:ascii="Times New Roman" w:hAnsi="Times New Roman"/>
          <w:sz w:val="24"/>
        </w:rPr>
        <w:t>F</w:t>
      </w:r>
      <w:r w:rsidR="005263CA">
        <w:rPr>
          <w:rFonts w:ascii="Times New Roman" w:hAnsi="Times New Roman"/>
          <w:sz w:val="24"/>
        </w:rPr>
        <w:t>ramework</w:t>
      </w:r>
      <w:r w:rsidRPr="004C7D23">
        <w:rPr>
          <w:rFonts w:ascii="Times New Roman" w:hAnsi="Times New Roman"/>
          <w:sz w:val="24"/>
        </w:rPr>
        <w:t xml:space="preserve"> document with projections of the main revenue streams and GDP assumptions was also prepared by the FPD in 2017 and endorsed by the government.  The document presented revenue estimates for 2017-2020 with projections for all taxes and simulation of GDP growth based on the variables used in the GDP modeling</w:t>
      </w:r>
      <w:r>
        <w:rPr>
          <w:rFonts w:ascii="Times New Roman" w:hAnsi="Times New Roman"/>
          <w:sz w:val="24"/>
        </w:rPr>
        <w:t xml:space="preserve"> work</w:t>
      </w:r>
      <w:r w:rsidRPr="004C7D23">
        <w:rPr>
          <w:rFonts w:ascii="Times New Roman" w:hAnsi="Times New Roman"/>
          <w:sz w:val="24"/>
        </w:rPr>
        <w:t xml:space="preserve"> (see PI-14). Subsequently, MoF formulated a 5-year budget plan to provide a budget framework to the implementation and reporting on the NSEDP and presented aggregate ceilings for expenditure and main revenue projected for the period 2017 -2020 to the National Assembly during the submission of the 2017 budget in November 2016. </w:t>
      </w:r>
    </w:p>
    <w:p w14:paraId="4B1D9E7D" w14:textId="77777777" w:rsidR="007518E4" w:rsidRPr="004C7D23" w:rsidRDefault="007518E4" w:rsidP="008037D9">
      <w:pPr>
        <w:pStyle w:val="ListParagraph"/>
        <w:numPr>
          <w:ilvl w:val="0"/>
          <w:numId w:val="58"/>
        </w:numPr>
        <w:autoSpaceDE w:val="0"/>
        <w:autoSpaceDN w:val="0"/>
        <w:adjustRightInd w:val="0"/>
        <w:spacing w:after="240"/>
        <w:contextualSpacing w:val="0"/>
        <w:rPr>
          <w:rFonts w:ascii="Times New Roman" w:hAnsi="Times New Roman"/>
          <w:sz w:val="24"/>
        </w:rPr>
      </w:pPr>
      <w:r w:rsidRPr="00423BC8">
        <w:rPr>
          <w:rFonts w:ascii="Times New Roman" w:hAnsi="Times New Roman"/>
          <w:b/>
          <w:sz w:val="24"/>
        </w:rPr>
        <w:t xml:space="preserve">The 5-year budget framework presents aggregate level of revenue and expenditure and macroeconomic assumptions used for the projections. </w:t>
      </w:r>
      <w:r>
        <w:rPr>
          <w:rFonts w:ascii="Times New Roman" w:hAnsi="Times New Roman"/>
          <w:sz w:val="24"/>
        </w:rPr>
        <w:t xml:space="preserve"> </w:t>
      </w:r>
      <w:r w:rsidRPr="004C7D23">
        <w:rPr>
          <w:rFonts w:ascii="Times New Roman" w:hAnsi="Times New Roman"/>
          <w:sz w:val="24"/>
        </w:rPr>
        <w:t xml:space="preserve">At present, detailed estimates by economic classification at 4-digit level are only available within the State Budget Plan for the current budget year.  The planning process in place at sector level produces Annual Costed Sector Plans aligned to the sector development plans prepared by the ministries based on the broad strategic orientations and targets of the NSEDP. These plans present projections of financing requirements by programs based on activity-based costing at some degree of aggregation and not at detailed item level but cannot link the sector policy directly with the annual budget process. </w:t>
      </w:r>
    </w:p>
    <w:p w14:paraId="4A55EE70" w14:textId="77777777" w:rsidR="007518E4" w:rsidRPr="004C7D23" w:rsidRDefault="007518E4" w:rsidP="008037D9">
      <w:pPr>
        <w:pStyle w:val="ListParagraph"/>
        <w:numPr>
          <w:ilvl w:val="0"/>
          <w:numId w:val="58"/>
        </w:numPr>
        <w:autoSpaceDE w:val="0"/>
        <w:autoSpaceDN w:val="0"/>
        <w:adjustRightInd w:val="0"/>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 xml:space="preserve">While </w:t>
      </w:r>
      <w:r w:rsidRPr="00423BC8">
        <w:rPr>
          <w:rFonts w:ascii="Times New Roman" w:hAnsi="Times New Roman"/>
          <w:b/>
          <w:sz w:val="24"/>
        </w:rPr>
        <w:t xml:space="preserve">detailed estimates by economic classification at 4-digit level are available within the State Budget Plan for the current budget year, </w:t>
      </w:r>
      <w:r w:rsidRPr="00423BC8">
        <w:rPr>
          <w:rFonts w:ascii="Times New Roman" w:eastAsia="ヒラギノ角ゴ Pro W3" w:hAnsi="Times New Roman"/>
          <w:b/>
          <w:color w:val="000000"/>
          <w:sz w:val="24"/>
          <w:lang w:eastAsia="en-IN"/>
        </w:rPr>
        <w:t>aggregate estimates of expenditure are presented for the two following years</w:t>
      </w:r>
      <w:r w:rsidR="00EC4385">
        <w:rPr>
          <w:rFonts w:ascii="Times New Roman" w:eastAsia="ヒラギノ角ゴ Pro W3" w:hAnsi="Times New Roman"/>
          <w:b/>
          <w:color w:val="000000"/>
          <w:sz w:val="24"/>
          <w:lang w:eastAsia="en-IN"/>
        </w:rPr>
        <w:t xml:space="preserve"> at a 2-digit level</w:t>
      </w:r>
      <w:r w:rsidRPr="004C7D23">
        <w:rPr>
          <w:rFonts w:ascii="Times New Roman" w:eastAsia="ヒラギノ角ゴ Pro W3" w:hAnsi="Times New Roman"/>
          <w:color w:val="000000"/>
          <w:sz w:val="24"/>
          <w:lang w:eastAsia="en-IN"/>
        </w:rPr>
        <w:t xml:space="preserve">: Score </w:t>
      </w:r>
      <w:r w:rsidR="00EC4385">
        <w:rPr>
          <w:rFonts w:ascii="Times New Roman" w:eastAsia="ヒラギノ角ゴ Pro W3" w:hAnsi="Times New Roman"/>
          <w:color w:val="000000"/>
          <w:sz w:val="24"/>
          <w:lang w:eastAsia="en-IN"/>
        </w:rPr>
        <w:t>C</w:t>
      </w:r>
      <w:r w:rsidRPr="004C7D23">
        <w:rPr>
          <w:rFonts w:ascii="Times New Roman" w:eastAsia="ヒラギノ角ゴ Pro W3" w:hAnsi="Times New Roman"/>
          <w:color w:val="000000"/>
          <w:sz w:val="24"/>
          <w:lang w:eastAsia="en-IN"/>
        </w:rPr>
        <w:t>.</w:t>
      </w:r>
    </w:p>
    <w:p w14:paraId="5DA90E09" w14:textId="77777777" w:rsidR="007518E4" w:rsidRPr="003511C8" w:rsidRDefault="007518E4" w:rsidP="007518E4">
      <w:pPr>
        <w:pStyle w:val="ParagraphNumbering"/>
        <w:numPr>
          <w:ilvl w:val="0"/>
          <w:numId w:val="0"/>
        </w:numPr>
        <w:spacing w:after="0"/>
        <w:rPr>
          <w:rFonts w:ascii="Times New Roman" w:hAnsi="Times New Roman"/>
          <w:b/>
          <w:color w:val="F06322"/>
          <w:sz w:val="24"/>
        </w:rPr>
      </w:pPr>
      <w:r w:rsidRPr="003511C8">
        <w:rPr>
          <w:rFonts w:ascii="Times New Roman" w:hAnsi="Times New Roman"/>
          <w:b/>
          <w:color w:val="F06322"/>
          <w:sz w:val="24"/>
        </w:rPr>
        <w:t>16.2</w:t>
      </w:r>
      <w:r w:rsidRPr="003511C8">
        <w:rPr>
          <w:rFonts w:ascii="Times New Roman" w:hAnsi="Times New Roman"/>
          <w:b/>
          <w:bCs/>
          <w:color w:val="F06322"/>
          <w:sz w:val="24"/>
        </w:rPr>
        <w:t xml:space="preserve"> </w:t>
      </w:r>
      <w:r w:rsidRPr="003511C8">
        <w:rPr>
          <w:rFonts w:ascii="Times New Roman" w:hAnsi="Times New Roman"/>
          <w:b/>
          <w:bCs/>
          <w:color w:val="F06322"/>
          <w:sz w:val="24"/>
          <w:lang w:val="en-GB"/>
        </w:rPr>
        <w:t>Medium-</w:t>
      </w:r>
      <w:r>
        <w:rPr>
          <w:rFonts w:ascii="Times New Roman" w:hAnsi="Times New Roman"/>
          <w:b/>
          <w:bCs/>
          <w:color w:val="F06322"/>
          <w:sz w:val="24"/>
          <w:lang w:val="en-GB"/>
        </w:rPr>
        <w:t>t</w:t>
      </w:r>
      <w:r w:rsidRPr="003511C8">
        <w:rPr>
          <w:rFonts w:ascii="Times New Roman" w:hAnsi="Times New Roman"/>
          <w:b/>
          <w:bCs/>
          <w:color w:val="F06322"/>
          <w:sz w:val="24"/>
          <w:lang w:val="en-GB"/>
        </w:rPr>
        <w:t xml:space="preserve">erm </w:t>
      </w:r>
      <w:r>
        <w:rPr>
          <w:rFonts w:ascii="Times New Roman" w:hAnsi="Times New Roman"/>
          <w:b/>
          <w:bCs/>
          <w:color w:val="F06322"/>
          <w:sz w:val="24"/>
          <w:lang w:val="en-GB"/>
        </w:rPr>
        <w:t>e</w:t>
      </w:r>
      <w:r w:rsidRPr="003511C8">
        <w:rPr>
          <w:rFonts w:ascii="Times New Roman" w:hAnsi="Times New Roman"/>
          <w:b/>
          <w:bCs/>
          <w:color w:val="F06322"/>
          <w:sz w:val="24"/>
          <w:lang w:val="en-GB"/>
        </w:rPr>
        <w:t xml:space="preserve">xpenditure </w:t>
      </w:r>
      <w:r>
        <w:rPr>
          <w:rFonts w:ascii="Times New Roman" w:hAnsi="Times New Roman"/>
          <w:b/>
          <w:bCs/>
          <w:color w:val="F06322"/>
          <w:sz w:val="24"/>
          <w:lang w:val="en-GB"/>
        </w:rPr>
        <w:t>c</w:t>
      </w:r>
      <w:r w:rsidRPr="003511C8">
        <w:rPr>
          <w:rFonts w:ascii="Times New Roman" w:hAnsi="Times New Roman"/>
          <w:b/>
          <w:bCs/>
          <w:color w:val="F06322"/>
          <w:sz w:val="24"/>
          <w:lang w:val="en-GB"/>
        </w:rPr>
        <w:t>eilings</w:t>
      </w:r>
    </w:p>
    <w:p w14:paraId="398C56D2" w14:textId="77777777" w:rsidR="007518E4" w:rsidRPr="0076276F" w:rsidRDefault="007518E4" w:rsidP="008037D9">
      <w:pPr>
        <w:pStyle w:val="ListParagraph"/>
        <w:numPr>
          <w:ilvl w:val="0"/>
          <w:numId w:val="58"/>
        </w:numPr>
        <w:autoSpaceDE w:val="0"/>
        <w:autoSpaceDN w:val="0"/>
        <w:adjustRightInd w:val="0"/>
        <w:spacing w:after="240"/>
        <w:contextualSpacing w:val="0"/>
        <w:rPr>
          <w:rFonts w:ascii="Times New Roman" w:hAnsi="Times New Roman"/>
          <w:sz w:val="24"/>
        </w:rPr>
      </w:pPr>
      <w:r w:rsidRPr="00423BC8">
        <w:rPr>
          <w:rFonts w:ascii="Times New Roman" w:hAnsi="Times New Roman"/>
          <w:b/>
          <w:sz w:val="24"/>
          <w:lang w:eastAsia="en-IN"/>
        </w:rPr>
        <w:t xml:space="preserve">The 2018 Budget circular from MoF indicates the aggregate expenditure ceiling prepared based on the </w:t>
      </w:r>
      <w:proofErr w:type="gramStart"/>
      <w:r w:rsidRPr="00423BC8">
        <w:rPr>
          <w:rFonts w:ascii="Times New Roman" w:hAnsi="Times New Roman"/>
          <w:b/>
          <w:sz w:val="24"/>
          <w:lang w:eastAsia="en-IN"/>
        </w:rPr>
        <w:t>M</w:t>
      </w:r>
      <w:r w:rsidR="005263CA">
        <w:rPr>
          <w:rFonts w:ascii="Times New Roman" w:hAnsi="Times New Roman"/>
          <w:b/>
          <w:sz w:val="24"/>
          <w:lang w:eastAsia="en-IN"/>
        </w:rPr>
        <w:t xml:space="preserve">edium </w:t>
      </w:r>
      <w:r w:rsidRPr="00423BC8">
        <w:rPr>
          <w:rFonts w:ascii="Times New Roman" w:hAnsi="Times New Roman"/>
          <w:b/>
          <w:sz w:val="24"/>
          <w:lang w:eastAsia="en-IN"/>
        </w:rPr>
        <w:t>T</w:t>
      </w:r>
      <w:r w:rsidR="005263CA">
        <w:rPr>
          <w:rFonts w:ascii="Times New Roman" w:hAnsi="Times New Roman"/>
          <w:b/>
          <w:sz w:val="24"/>
          <w:lang w:eastAsia="en-IN"/>
        </w:rPr>
        <w:t>erm</w:t>
      </w:r>
      <w:proofErr w:type="gramEnd"/>
      <w:r w:rsidR="005263CA">
        <w:rPr>
          <w:rFonts w:ascii="Times New Roman" w:hAnsi="Times New Roman"/>
          <w:b/>
          <w:sz w:val="24"/>
          <w:lang w:eastAsia="en-IN"/>
        </w:rPr>
        <w:t xml:space="preserve"> </w:t>
      </w:r>
      <w:r w:rsidRPr="00423BC8">
        <w:rPr>
          <w:rFonts w:ascii="Times New Roman" w:hAnsi="Times New Roman"/>
          <w:b/>
          <w:sz w:val="24"/>
          <w:lang w:eastAsia="en-IN"/>
        </w:rPr>
        <w:t>B</w:t>
      </w:r>
      <w:r w:rsidR="005263CA">
        <w:rPr>
          <w:rFonts w:ascii="Times New Roman" w:hAnsi="Times New Roman"/>
          <w:b/>
          <w:sz w:val="24"/>
          <w:lang w:eastAsia="en-IN"/>
        </w:rPr>
        <w:t xml:space="preserve">udget </w:t>
      </w:r>
      <w:r w:rsidRPr="00423BC8">
        <w:rPr>
          <w:rFonts w:ascii="Times New Roman" w:hAnsi="Times New Roman"/>
          <w:b/>
          <w:sz w:val="24"/>
          <w:lang w:eastAsia="en-IN"/>
        </w:rPr>
        <w:t>F</w:t>
      </w:r>
      <w:r w:rsidR="005263CA">
        <w:rPr>
          <w:rFonts w:ascii="Times New Roman" w:hAnsi="Times New Roman"/>
          <w:b/>
          <w:sz w:val="24"/>
          <w:lang w:eastAsia="en-IN"/>
        </w:rPr>
        <w:t>ramework</w:t>
      </w:r>
      <w:r w:rsidRPr="00423BC8">
        <w:rPr>
          <w:rFonts w:ascii="Times New Roman" w:hAnsi="Times New Roman"/>
          <w:b/>
          <w:sz w:val="24"/>
          <w:lang w:eastAsia="en-IN"/>
        </w:rPr>
        <w:t>.</w:t>
      </w:r>
      <w:r w:rsidRPr="004C7D23">
        <w:rPr>
          <w:rFonts w:ascii="Times New Roman" w:hAnsi="Times New Roman"/>
          <w:lang w:eastAsia="en-IN"/>
        </w:rPr>
        <w:t xml:space="preserve"> </w:t>
      </w:r>
      <w:r>
        <w:rPr>
          <w:rFonts w:ascii="Times New Roman" w:hAnsi="Times New Roman"/>
          <w:lang w:eastAsia="en-IN"/>
        </w:rPr>
        <w:t xml:space="preserve"> </w:t>
      </w:r>
      <w:r w:rsidRPr="0076276F">
        <w:rPr>
          <w:rFonts w:ascii="Times New Roman" w:hAnsi="Times New Roman"/>
          <w:sz w:val="24"/>
        </w:rPr>
        <w:t xml:space="preserve">Expenditure ceilings are endorsed at the aggregate level only and include a projection for the following two years. There are no expenditure ceilings issued to line ministries before or within the budget circular, and the line ministries submissions are revised in accordance with the NA approval of the aggregate budget ceilings, as per budget calendar (ref. PI-17.1). </w:t>
      </w:r>
    </w:p>
    <w:p w14:paraId="57EB912D" w14:textId="77777777" w:rsidR="007518E4" w:rsidRPr="0076276F" w:rsidRDefault="007518E4" w:rsidP="008037D9">
      <w:pPr>
        <w:pStyle w:val="ListParagraph"/>
        <w:numPr>
          <w:ilvl w:val="0"/>
          <w:numId w:val="58"/>
        </w:numPr>
        <w:autoSpaceDE w:val="0"/>
        <w:autoSpaceDN w:val="0"/>
        <w:adjustRightInd w:val="0"/>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The government and NA approved aggregate expenditure ceilings for the budget year and the two following years in 2017 for the 2017-2020 period</w:t>
      </w:r>
      <w:r w:rsidRPr="0076276F">
        <w:rPr>
          <w:rFonts w:ascii="Times New Roman" w:eastAsia="ヒラギノ角ゴ Pro W3" w:hAnsi="Times New Roman"/>
          <w:color w:val="000000"/>
          <w:sz w:val="24"/>
          <w:lang w:eastAsia="en-IN"/>
        </w:rPr>
        <w:t>: S</w:t>
      </w:r>
      <w:r>
        <w:rPr>
          <w:rFonts w:ascii="Times New Roman" w:eastAsia="ヒラギノ角ゴ Pro W3" w:hAnsi="Times New Roman"/>
          <w:color w:val="000000"/>
          <w:sz w:val="24"/>
          <w:lang w:eastAsia="en-IN"/>
        </w:rPr>
        <w:t>core C</w:t>
      </w:r>
      <w:r w:rsidRPr="0076276F">
        <w:rPr>
          <w:rFonts w:ascii="Times New Roman" w:eastAsia="ヒラギノ角ゴ Pro W3" w:hAnsi="Times New Roman"/>
          <w:color w:val="000000"/>
          <w:sz w:val="24"/>
          <w:lang w:eastAsia="en-IN"/>
        </w:rPr>
        <w:t>.</w:t>
      </w:r>
    </w:p>
    <w:p w14:paraId="032D51DB" w14:textId="77777777" w:rsidR="007518E4" w:rsidRPr="003511C8" w:rsidRDefault="007518E4" w:rsidP="00423BC8">
      <w:pPr>
        <w:autoSpaceDE w:val="0"/>
        <w:autoSpaceDN w:val="0"/>
        <w:adjustRightInd w:val="0"/>
        <w:ind w:left="0"/>
        <w:rPr>
          <w:rFonts w:ascii="Times New Roman" w:hAnsi="Times New Roman"/>
          <w:b/>
          <w:color w:val="F06322"/>
          <w:sz w:val="24"/>
        </w:rPr>
      </w:pPr>
      <w:r w:rsidRPr="003511C8">
        <w:rPr>
          <w:rFonts w:ascii="Times New Roman" w:hAnsi="Times New Roman"/>
          <w:b/>
          <w:color w:val="F06322"/>
          <w:sz w:val="24"/>
        </w:rPr>
        <w:t xml:space="preserve">16.3 </w:t>
      </w:r>
      <w:r w:rsidRPr="003511C8">
        <w:rPr>
          <w:rFonts w:ascii="Times New Roman" w:hAnsi="Times New Roman"/>
          <w:b/>
          <w:bCs/>
          <w:color w:val="F06322"/>
          <w:sz w:val="24"/>
          <w:lang w:val="en-GB"/>
        </w:rPr>
        <w:t xml:space="preserve">Alignment of </w:t>
      </w:r>
      <w:r>
        <w:rPr>
          <w:rFonts w:ascii="Times New Roman" w:hAnsi="Times New Roman"/>
          <w:b/>
          <w:bCs/>
          <w:color w:val="F06322"/>
          <w:sz w:val="24"/>
          <w:lang w:val="en-GB"/>
        </w:rPr>
        <w:t>s</w:t>
      </w:r>
      <w:r w:rsidRPr="003511C8">
        <w:rPr>
          <w:rFonts w:ascii="Times New Roman" w:hAnsi="Times New Roman"/>
          <w:b/>
          <w:bCs/>
          <w:color w:val="F06322"/>
          <w:sz w:val="24"/>
          <w:lang w:val="en-GB"/>
        </w:rPr>
        <w:t xml:space="preserve">trategic </w:t>
      </w:r>
      <w:r>
        <w:rPr>
          <w:rFonts w:ascii="Times New Roman" w:hAnsi="Times New Roman"/>
          <w:b/>
          <w:bCs/>
          <w:color w:val="F06322"/>
          <w:sz w:val="24"/>
          <w:lang w:val="en-GB"/>
        </w:rPr>
        <w:t>p</w:t>
      </w:r>
      <w:r w:rsidRPr="003511C8">
        <w:rPr>
          <w:rFonts w:ascii="Times New Roman" w:hAnsi="Times New Roman"/>
          <w:b/>
          <w:bCs/>
          <w:color w:val="F06322"/>
          <w:sz w:val="24"/>
          <w:lang w:val="en-GB"/>
        </w:rPr>
        <w:t xml:space="preserve">lans and </w:t>
      </w:r>
      <w:r>
        <w:rPr>
          <w:rFonts w:ascii="Times New Roman" w:hAnsi="Times New Roman"/>
          <w:b/>
          <w:bCs/>
          <w:color w:val="F06322"/>
          <w:sz w:val="24"/>
          <w:lang w:val="en-GB"/>
        </w:rPr>
        <w:t>m</w:t>
      </w:r>
      <w:r w:rsidRPr="003511C8">
        <w:rPr>
          <w:rFonts w:ascii="Times New Roman" w:hAnsi="Times New Roman"/>
          <w:b/>
          <w:bCs/>
          <w:color w:val="F06322"/>
          <w:sz w:val="24"/>
          <w:lang w:val="en-GB"/>
        </w:rPr>
        <w:t>edium-</w:t>
      </w:r>
      <w:r>
        <w:rPr>
          <w:rFonts w:ascii="Times New Roman" w:hAnsi="Times New Roman"/>
          <w:b/>
          <w:bCs/>
          <w:color w:val="F06322"/>
          <w:sz w:val="24"/>
          <w:lang w:val="en-GB"/>
        </w:rPr>
        <w:t>t</w:t>
      </w:r>
      <w:r w:rsidRPr="003511C8">
        <w:rPr>
          <w:rFonts w:ascii="Times New Roman" w:hAnsi="Times New Roman"/>
          <w:b/>
          <w:bCs/>
          <w:color w:val="F06322"/>
          <w:sz w:val="24"/>
          <w:lang w:val="en-GB"/>
        </w:rPr>
        <w:t xml:space="preserve">erm </w:t>
      </w:r>
      <w:r>
        <w:rPr>
          <w:rFonts w:ascii="Times New Roman" w:hAnsi="Times New Roman"/>
          <w:b/>
          <w:bCs/>
          <w:color w:val="F06322"/>
          <w:sz w:val="24"/>
          <w:lang w:val="en-GB"/>
        </w:rPr>
        <w:t>b</w:t>
      </w:r>
      <w:r w:rsidRPr="003511C8">
        <w:rPr>
          <w:rFonts w:ascii="Times New Roman" w:hAnsi="Times New Roman"/>
          <w:b/>
          <w:bCs/>
          <w:color w:val="F06322"/>
          <w:sz w:val="24"/>
          <w:lang w:val="en-GB"/>
        </w:rPr>
        <w:t>udgets</w:t>
      </w:r>
    </w:p>
    <w:p w14:paraId="7CA9DE40" w14:textId="77777777" w:rsidR="007518E4" w:rsidRDefault="007518E4" w:rsidP="008037D9">
      <w:pPr>
        <w:pStyle w:val="ListParagraph"/>
        <w:numPr>
          <w:ilvl w:val="0"/>
          <w:numId w:val="58"/>
        </w:numPr>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SBL Article 55 requires the development of a medium-term budget framework</w:t>
      </w:r>
      <w:r w:rsidR="00374990">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The</w:t>
      </w:r>
      <w:r w:rsidRPr="00315370">
        <w:rPr>
          <w:rFonts w:ascii="Times New Roman" w:eastAsia="ヒラギノ角ゴ Pro W3" w:hAnsi="Times New Roman"/>
          <w:color w:val="000000"/>
          <w:sz w:val="24"/>
          <w:lang w:eastAsia="en-IN"/>
        </w:rPr>
        <w:t xml:space="preserve"> Lao PDR strategic planning process is well-structured and translates into a 5-year plan NESDP 2016-2020 </w:t>
      </w:r>
      <w:r>
        <w:rPr>
          <w:rFonts w:ascii="Times New Roman" w:eastAsia="ヒラギノ角ゴ Pro W3" w:hAnsi="Times New Roman"/>
          <w:color w:val="000000"/>
          <w:sz w:val="24"/>
          <w:lang w:eastAsia="en-IN"/>
        </w:rPr>
        <w:t>which is</w:t>
      </w:r>
      <w:r w:rsidRPr="00315370">
        <w:rPr>
          <w:rFonts w:ascii="Times New Roman" w:eastAsia="ヒラギノ角ゴ Pro W3" w:hAnsi="Times New Roman"/>
          <w:color w:val="000000"/>
          <w:sz w:val="24"/>
          <w:lang w:eastAsia="en-IN"/>
        </w:rPr>
        <w:t xml:space="preserve"> revised in 2018</w:t>
      </w:r>
      <w:r>
        <w:rPr>
          <w:rFonts w:ascii="Times New Roman" w:eastAsia="ヒラギノ角ゴ Pro W3" w:hAnsi="Times New Roman"/>
          <w:color w:val="000000"/>
          <w:sz w:val="24"/>
          <w:lang w:eastAsia="en-IN"/>
        </w:rPr>
        <w:t xml:space="preserve"> </w:t>
      </w:r>
      <w:r w:rsidRPr="00315370">
        <w:rPr>
          <w:rFonts w:ascii="Times New Roman" w:eastAsia="ヒラギノ角ゴ Pro W3" w:hAnsi="Times New Roman"/>
          <w:color w:val="000000"/>
          <w:sz w:val="24"/>
          <w:lang w:eastAsia="en-IN"/>
        </w:rPr>
        <w:t>after 2 years. The MPI provides overall strategic guidance on national development planning under the NESDP formulation process and line ministries receive instructions to align their sectoral plans, activities, and budgets during the 5-</w:t>
      </w:r>
      <w:r w:rsidRPr="00315370">
        <w:rPr>
          <w:rFonts w:ascii="Times New Roman" w:eastAsia="ヒラギノ角ゴ Pro W3" w:hAnsi="Times New Roman"/>
          <w:color w:val="000000"/>
          <w:sz w:val="24"/>
          <w:lang w:eastAsia="en-IN"/>
        </w:rPr>
        <w:lastRenderedPageBreak/>
        <w:t xml:space="preserve">year NSEDP implementation period and during the annual planning process supporting the annual budget formulation. </w:t>
      </w:r>
    </w:p>
    <w:p w14:paraId="1BC03717" w14:textId="77777777" w:rsidR="007518E4" w:rsidRDefault="007518E4" w:rsidP="008037D9">
      <w:pPr>
        <w:pStyle w:val="ListParagraph"/>
        <w:numPr>
          <w:ilvl w:val="0"/>
          <w:numId w:val="58"/>
        </w:numPr>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The NESDP has no costing information for the 3 main sector strategies and outcome (Inclusive Economic Growth, Enhanced Human Development and Improved Environmental Protection).</w:t>
      </w:r>
      <w:r w:rsidR="00374990">
        <w:rPr>
          <w:rFonts w:ascii="Times New Roman" w:eastAsia="ヒラギノ角ゴ Pro W3" w:hAnsi="Times New Roman"/>
          <w:color w:val="000000"/>
          <w:sz w:val="24"/>
          <w:lang w:eastAsia="en-IN"/>
        </w:rPr>
        <w:t xml:space="preserve"> </w:t>
      </w:r>
      <w:r>
        <w:rPr>
          <w:rFonts w:ascii="Times New Roman" w:eastAsia="ヒラギノ角ゴ Pro W3" w:hAnsi="Times New Roman"/>
          <w:color w:val="000000"/>
          <w:sz w:val="24"/>
          <w:lang w:eastAsia="en-IN"/>
        </w:rPr>
        <w:t xml:space="preserve">The </w:t>
      </w:r>
      <w:r w:rsidRPr="00315370">
        <w:rPr>
          <w:rFonts w:ascii="Times New Roman" w:eastAsia="ヒラギノ角ゴ Pro W3" w:hAnsi="Times New Roman"/>
          <w:color w:val="000000"/>
          <w:sz w:val="24"/>
          <w:lang w:eastAsia="en-IN"/>
        </w:rPr>
        <w:t>sector strate</w:t>
      </w:r>
      <w:r>
        <w:rPr>
          <w:rFonts w:ascii="Times New Roman" w:eastAsia="ヒラギノ角ゴ Pro W3" w:hAnsi="Times New Roman"/>
          <w:color w:val="000000"/>
          <w:sz w:val="24"/>
          <w:lang w:eastAsia="en-IN"/>
        </w:rPr>
        <w:t>gies that underpin the NESDP</w:t>
      </w:r>
      <w:r w:rsidRPr="00315370">
        <w:rPr>
          <w:rFonts w:ascii="Times New Roman" w:eastAsia="ヒラギノ角ゴ Pro W3" w:hAnsi="Times New Roman"/>
          <w:color w:val="000000"/>
          <w:sz w:val="24"/>
          <w:lang w:eastAsia="en-IN"/>
        </w:rPr>
        <w:t xml:space="preserve"> prepared by main ministries covering all the major economic, social and</w:t>
      </w:r>
      <w:r>
        <w:rPr>
          <w:rFonts w:ascii="Times New Roman" w:eastAsia="ヒラギノ角ゴ Pro W3" w:hAnsi="Times New Roman"/>
          <w:color w:val="000000"/>
          <w:sz w:val="24"/>
          <w:lang w:eastAsia="en-IN"/>
        </w:rPr>
        <w:t xml:space="preserve"> strategic sectors (Education, H</w:t>
      </w:r>
      <w:r w:rsidRPr="00315370">
        <w:rPr>
          <w:rFonts w:ascii="Times New Roman" w:eastAsia="ヒラギノ角ゴ Pro W3" w:hAnsi="Times New Roman"/>
          <w:color w:val="000000"/>
          <w:sz w:val="24"/>
          <w:lang w:eastAsia="en-IN"/>
        </w:rPr>
        <w:t>ealth, Public Works and Agriculture represent more than 75 % of the total budgete</w:t>
      </w:r>
      <w:r>
        <w:rPr>
          <w:rFonts w:ascii="Times New Roman" w:eastAsia="ヒラギノ角ゴ Pro W3" w:hAnsi="Times New Roman"/>
          <w:color w:val="000000"/>
          <w:sz w:val="24"/>
          <w:lang w:eastAsia="en-IN"/>
        </w:rPr>
        <w:t>d expen</w:t>
      </w:r>
      <w:r w:rsidR="00374990">
        <w:rPr>
          <w:rFonts w:ascii="Times New Roman" w:eastAsia="ヒラギノ角ゴ Pro W3" w:hAnsi="Times New Roman"/>
          <w:color w:val="000000"/>
          <w:sz w:val="24"/>
          <w:lang w:eastAsia="en-IN"/>
        </w:rPr>
        <w:t xml:space="preserve">diture in 2015/2016. </w:t>
      </w:r>
      <w:r>
        <w:rPr>
          <w:rFonts w:ascii="Times New Roman" w:eastAsia="ヒラギノ角ゴ Pro W3" w:hAnsi="Times New Roman"/>
          <w:color w:val="000000"/>
          <w:sz w:val="24"/>
          <w:lang w:eastAsia="en-IN"/>
        </w:rPr>
        <w:t>These sector plans</w:t>
      </w:r>
      <w:r w:rsidRPr="00315370">
        <w:rPr>
          <w:rFonts w:ascii="Times New Roman" w:eastAsia="ヒラギノ角ゴ Pro W3" w:hAnsi="Times New Roman"/>
          <w:color w:val="000000"/>
          <w:sz w:val="24"/>
          <w:lang w:eastAsia="en-IN"/>
        </w:rPr>
        <w:t xml:space="preserve"> identify objectives, milestones, activities, outputs and outcome targets and detailed costs of main categories of recurrent costs and major investments. These plans contain various performance indicators</w:t>
      </w:r>
      <w:r>
        <w:rPr>
          <w:rFonts w:ascii="Times New Roman" w:eastAsia="ヒラギノ角ゴ Pro W3" w:hAnsi="Times New Roman"/>
          <w:color w:val="000000"/>
          <w:sz w:val="24"/>
          <w:lang w:eastAsia="en-IN"/>
        </w:rPr>
        <w:t xml:space="preserve"> (</w:t>
      </w:r>
      <w:r w:rsidRPr="00315370">
        <w:rPr>
          <w:rFonts w:ascii="Times New Roman" w:eastAsia="ヒラギノ角ゴ Pro W3" w:hAnsi="Times New Roman"/>
          <w:color w:val="000000"/>
          <w:sz w:val="24"/>
          <w:lang w:eastAsia="en-IN"/>
        </w:rPr>
        <w:t>PI-8.1</w:t>
      </w:r>
      <w:r>
        <w:rPr>
          <w:rFonts w:ascii="Times New Roman" w:eastAsia="ヒラギノ角ゴ Pro W3" w:hAnsi="Times New Roman"/>
          <w:color w:val="000000"/>
          <w:sz w:val="24"/>
          <w:lang w:eastAsia="en-IN"/>
        </w:rPr>
        <w:t>)</w:t>
      </w:r>
      <w:r w:rsidRPr="00315370">
        <w:rPr>
          <w:rFonts w:ascii="Times New Roman" w:eastAsia="ヒラギノ角ゴ Pro W3" w:hAnsi="Times New Roman"/>
          <w:color w:val="000000"/>
          <w:sz w:val="24"/>
          <w:lang w:eastAsia="en-IN"/>
        </w:rPr>
        <w:t xml:space="preserve">. </w:t>
      </w:r>
    </w:p>
    <w:p w14:paraId="380E1EE2" w14:textId="77777777" w:rsidR="007518E4" w:rsidRPr="00315370" w:rsidRDefault="00423BC8" w:rsidP="008037D9">
      <w:pPr>
        <w:pStyle w:val="ListParagraph"/>
        <w:numPr>
          <w:ilvl w:val="0"/>
          <w:numId w:val="58"/>
        </w:numPr>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T</w:t>
      </w:r>
      <w:r w:rsidR="007518E4" w:rsidRPr="00423BC8">
        <w:rPr>
          <w:rFonts w:ascii="Times New Roman" w:eastAsia="ヒラギノ角ゴ Pro W3" w:hAnsi="Times New Roman"/>
          <w:b/>
          <w:color w:val="000000"/>
          <w:sz w:val="24"/>
          <w:lang w:eastAsia="en-IN"/>
        </w:rPr>
        <w:t>he information on costs is not systematically prepared and presented as there are no consistent cost norms across government.</w:t>
      </w:r>
      <w:r w:rsidR="00374990">
        <w:rPr>
          <w:rFonts w:ascii="Times New Roman" w:eastAsia="ヒラギノ角ゴ Pro W3" w:hAnsi="Times New Roman"/>
          <w:color w:val="000000"/>
          <w:sz w:val="24"/>
          <w:lang w:eastAsia="en-IN"/>
        </w:rPr>
        <w:t xml:space="preserve"> </w:t>
      </w:r>
      <w:r w:rsidR="007518E4">
        <w:rPr>
          <w:rFonts w:ascii="Times New Roman" w:eastAsia="ヒラギノ角ゴ Pro W3" w:hAnsi="Times New Roman"/>
          <w:color w:val="000000"/>
          <w:sz w:val="24"/>
          <w:lang w:eastAsia="en-IN"/>
        </w:rPr>
        <w:t>The</w:t>
      </w:r>
      <w:r w:rsidR="007518E4" w:rsidRPr="00315370">
        <w:rPr>
          <w:rFonts w:ascii="Times New Roman" w:eastAsia="ヒラギノ角ゴ Pro W3" w:hAnsi="Times New Roman"/>
          <w:color w:val="000000"/>
          <w:sz w:val="24"/>
          <w:lang w:eastAsia="en-IN"/>
        </w:rPr>
        <w:t xml:space="preserve"> link between budget allocation and estimation of funding needs calculated by the ministries remains weak. NSEDP, sector strategies and annual plans are typically broadly defined, overly ambitious, and aspirational in nature, with actual funding ultimately being defined by the availability of resources and prevailing political priorities. Additionally, major sectors </w:t>
      </w:r>
      <w:proofErr w:type="gramStart"/>
      <w:r w:rsidR="007518E4" w:rsidRPr="00315370">
        <w:rPr>
          <w:rFonts w:ascii="Times New Roman" w:eastAsia="ヒラギノ角ゴ Pro W3" w:hAnsi="Times New Roman"/>
          <w:color w:val="000000"/>
          <w:sz w:val="24"/>
          <w:lang w:eastAsia="en-IN"/>
        </w:rPr>
        <w:t>plans</w:t>
      </w:r>
      <w:proofErr w:type="gramEnd"/>
      <w:r w:rsidR="007518E4" w:rsidRPr="00315370">
        <w:rPr>
          <w:rFonts w:ascii="Times New Roman" w:eastAsia="ヒラギノ角ゴ Pro W3" w:hAnsi="Times New Roman"/>
          <w:color w:val="000000"/>
          <w:sz w:val="24"/>
          <w:lang w:eastAsia="en-IN"/>
        </w:rPr>
        <w:t xml:space="preserve"> - such as health, education, transport, energy and agriculture – depend heavily on ODA funding (and other non-government funding) – much of which is off-budget</w:t>
      </w:r>
      <w:r w:rsidR="007518E4" w:rsidRPr="00315370">
        <w:rPr>
          <w:rStyle w:val="FootnoteReference"/>
          <w:rFonts w:ascii="Times New Roman" w:eastAsia="ヒラギノ角ゴ Pro W3" w:hAnsi="Times New Roman"/>
          <w:color w:val="000000"/>
          <w:sz w:val="24"/>
          <w:lang w:eastAsia="en-IN"/>
        </w:rPr>
        <w:footnoteReference w:id="32"/>
      </w:r>
      <w:r w:rsidR="007518E4" w:rsidRPr="00315370">
        <w:rPr>
          <w:rFonts w:ascii="Times New Roman" w:eastAsia="ヒラギノ角ゴ Pro W3" w:hAnsi="Times New Roman"/>
          <w:color w:val="000000"/>
          <w:sz w:val="24"/>
          <w:lang w:eastAsia="en-IN"/>
        </w:rPr>
        <w:t>. Furthermore, the dual planning processes between the capital budget allocations based on identification of capital projects by MPI and the current budget allocations by MoF, results in a fragmented process and lack of consistency between the policy priorities and allocations assigned.</w:t>
      </w:r>
    </w:p>
    <w:p w14:paraId="10C3A06B" w14:textId="77777777" w:rsidR="007518E4" w:rsidRPr="00315370" w:rsidRDefault="007518E4" w:rsidP="008037D9">
      <w:pPr>
        <w:pStyle w:val="ListParagraph"/>
        <w:numPr>
          <w:ilvl w:val="0"/>
          <w:numId w:val="58"/>
        </w:numPr>
        <w:spacing w:after="240"/>
        <w:contextualSpacing w:val="0"/>
        <w:rPr>
          <w:rFonts w:ascii="Times New Roman" w:hAnsi="Times New Roman"/>
          <w:bCs/>
          <w:kern w:val="32"/>
          <w:sz w:val="24"/>
        </w:rPr>
      </w:pPr>
      <w:r w:rsidRPr="00423BC8">
        <w:rPr>
          <w:rFonts w:ascii="Times New Roman" w:eastAsia="ヒラギノ角ゴ Pro W3" w:hAnsi="Times New Roman"/>
          <w:b/>
          <w:color w:val="000000"/>
          <w:sz w:val="24"/>
          <w:lang w:eastAsia="en-IN"/>
        </w:rPr>
        <w:t xml:space="preserve">Medium-term strategic plans are prepared for each sector of the NSEDP at least for ministries representing </w:t>
      </w:r>
      <w:r w:rsidR="00423BC8">
        <w:rPr>
          <w:rFonts w:ascii="Times New Roman" w:eastAsia="ヒラギノ角ゴ Pro W3" w:hAnsi="Times New Roman"/>
          <w:b/>
          <w:color w:val="000000"/>
          <w:sz w:val="24"/>
          <w:lang w:eastAsia="en-IN"/>
        </w:rPr>
        <w:t xml:space="preserve">some </w:t>
      </w:r>
      <w:r w:rsidRPr="00423BC8">
        <w:rPr>
          <w:rFonts w:ascii="Times New Roman" w:eastAsia="ヒラギノ角ゴ Pro W3" w:hAnsi="Times New Roman"/>
          <w:b/>
          <w:color w:val="000000"/>
          <w:sz w:val="24"/>
          <w:lang w:eastAsia="en-IN"/>
        </w:rPr>
        <w:t>75 percent of budgeted expenditure.</w:t>
      </w:r>
      <w:r>
        <w:rPr>
          <w:rFonts w:ascii="Times New Roman" w:eastAsia="ヒラギノ角ゴ Pro W3" w:hAnsi="Times New Roman"/>
          <w:color w:val="000000"/>
          <w:sz w:val="24"/>
          <w:lang w:eastAsia="en-IN"/>
        </w:rPr>
        <w:t xml:space="preserve"> H</w:t>
      </w:r>
      <w:r w:rsidRPr="00315370">
        <w:rPr>
          <w:rFonts w:ascii="Times New Roman" w:eastAsia="ヒラギノ角ゴ Pro W3" w:hAnsi="Times New Roman"/>
          <w:color w:val="000000"/>
          <w:sz w:val="24"/>
          <w:lang w:eastAsia="en-IN"/>
        </w:rPr>
        <w:t>owever</w:t>
      </w:r>
      <w:r w:rsidR="00921730">
        <w:rPr>
          <w:rFonts w:ascii="Times New Roman" w:eastAsia="ヒラギノ角ゴ Pro W3" w:hAnsi="Times New Roman"/>
          <w:color w:val="000000"/>
          <w:sz w:val="24"/>
          <w:lang w:eastAsia="en-IN"/>
        </w:rPr>
        <w:t>,</w:t>
      </w:r>
      <w:r w:rsidRPr="00315370">
        <w:rPr>
          <w:rFonts w:ascii="Times New Roman" w:eastAsia="ヒラギノ角ゴ Pro W3" w:hAnsi="Times New Roman"/>
          <w:color w:val="000000"/>
          <w:sz w:val="24"/>
          <w:lang w:eastAsia="en-IN"/>
        </w:rPr>
        <w:t xml:space="preserve"> the costing is not systematic across all ministries and medium-term budget projections from MoF are not drawing directly on expenditure policy proposals from these sector plans: Score D.</w:t>
      </w:r>
    </w:p>
    <w:p w14:paraId="3BEDD3F5" w14:textId="77777777" w:rsidR="007518E4" w:rsidRPr="003511C8" w:rsidRDefault="007518E4" w:rsidP="00423BC8">
      <w:pPr>
        <w:spacing w:before="120"/>
        <w:ind w:left="0"/>
        <w:rPr>
          <w:rFonts w:ascii="Times New Roman" w:hAnsi="Times New Roman"/>
          <w:b/>
          <w:color w:val="F06322"/>
          <w:sz w:val="24"/>
        </w:rPr>
      </w:pPr>
      <w:r w:rsidRPr="003511C8">
        <w:rPr>
          <w:rFonts w:ascii="Times New Roman" w:hAnsi="Times New Roman"/>
          <w:b/>
          <w:color w:val="F06322"/>
          <w:sz w:val="24"/>
        </w:rPr>
        <w:t xml:space="preserve">16.4 </w:t>
      </w:r>
      <w:r w:rsidRPr="003511C8">
        <w:rPr>
          <w:rFonts w:ascii="Times New Roman" w:hAnsi="Times New Roman"/>
          <w:b/>
          <w:bCs/>
          <w:color w:val="F06322"/>
          <w:sz w:val="24"/>
          <w:lang w:val="en-GB"/>
        </w:rPr>
        <w:t xml:space="preserve">Consistency of </w:t>
      </w:r>
      <w:r>
        <w:rPr>
          <w:rFonts w:ascii="Times New Roman" w:hAnsi="Times New Roman"/>
          <w:b/>
          <w:bCs/>
          <w:color w:val="F06322"/>
          <w:sz w:val="24"/>
          <w:lang w:val="en-GB"/>
        </w:rPr>
        <w:t>b</w:t>
      </w:r>
      <w:r w:rsidRPr="003511C8">
        <w:rPr>
          <w:rFonts w:ascii="Times New Roman" w:hAnsi="Times New Roman"/>
          <w:b/>
          <w:bCs/>
          <w:color w:val="F06322"/>
          <w:sz w:val="24"/>
          <w:lang w:val="en-GB"/>
        </w:rPr>
        <w:t xml:space="preserve">udgets </w:t>
      </w:r>
      <w:r>
        <w:rPr>
          <w:rFonts w:ascii="Times New Roman" w:hAnsi="Times New Roman"/>
          <w:b/>
          <w:bCs/>
          <w:color w:val="F06322"/>
          <w:sz w:val="24"/>
          <w:lang w:val="en-GB"/>
        </w:rPr>
        <w:t>w</w:t>
      </w:r>
      <w:r w:rsidRPr="003511C8">
        <w:rPr>
          <w:rFonts w:ascii="Times New Roman" w:hAnsi="Times New Roman"/>
          <w:b/>
          <w:bCs/>
          <w:color w:val="F06322"/>
          <w:sz w:val="24"/>
          <w:lang w:val="en-GB"/>
        </w:rPr>
        <w:t xml:space="preserve">ith </w:t>
      </w:r>
      <w:r>
        <w:rPr>
          <w:rFonts w:ascii="Times New Roman" w:hAnsi="Times New Roman"/>
          <w:b/>
          <w:bCs/>
          <w:color w:val="F06322"/>
          <w:sz w:val="24"/>
          <w:lang w:val="en-GB"/>
        </w:rPr>
        <w:t>p</w:t>
      </w:r>
      <w:r w:rsidRPr="003511C8">
        <w:rPr>
          <w:rFonts w:ascii="Times New Roman" w:hAnsi="Times New Roman"/>
          <w:b/>
          <w:bCs/>
          <w:color w:val="F06322"/>
          <w:sz w:val="24"/>
          <w:lang w:val="en-GB"/>
        </w:rPr>
        <w:t xml:space="preserve">revious </w:t>
      </w:r>
      <w:r>
        <w:rPr>
          <w:rFonts w:ascii="Times New Roman" w:hAnsi="Times New Roman"/>
          <w:b/>
          <w:bCs/>
          <w:color w:val="F06322"/>
          <w:sz w:val="24"/>
          <w:lang w:val="en-GB"/>
        </w:rPr>
        <w:t>y</w:t>
      </w:r>
      <w:r w:rsidRPr="003511C8">
        <w:rPr>
          <w:rFonts w:ascii="Times New Roman" w:hAnsi="Times New Roman"/>
          <w:b/>
          <w:bCs/>
          <w:color w:val="F06322"/>
          <w:sz w:val="24"/>
          <w:lang w:val="en-GB"/>
        </w:rPr>
        <w:t xml:space="preserve">ear’s </w:t>
      </w:r>
      <w:r>
        <w:rPr>
          <w:rFonts w:ascii="Times New Roman" w:hAnsi="Times New Roman"/>
          <w:b/>
          <w:bCs/>
          <w:color w:val="F06322"/>
          <w:sz w:val="24"/>
          <w:lang w:val="en-GB"/>
        </w:rPr>
        <w:t>e</w:t>
      </w:r>
      <w:r w:rsidRPr="003511C8">
        <w:rPr>
          <w:rFonts w:ascii="Times New Roman" w:hAnsi="Times New Roman"/>
          <w:b/>
          <w:bCs/>
          <w:color w:val="F06322"/>
          <w:sz w:val="24"/>
          <w:lang w:val="en-GB"/>
        </w:rPr>
        <w:t>stimates</w:t>
      </w:r>
    </w:p>
    <w:p w14:paraId="2DE9227D" w14:textId="77777777" w:rsidR="007518E4" w:rsidRPr="00315370" w:rsidRDefault="007518E4" w:rsidP="008037D9">
      <w:pPr>
        <w:pStyle w:val="ListParagraph"/>
        <w:numPr>
          <w:ilvl w:val="0"/>
          <w:numId w:val="58"/>
        </w:numPr>
        <w:autoSpaceDE w:val="0"/>
        <w:autoSpaceDN w:val="0"/>
        <w:adjustRightInd w:val="0"/>
        <w:spacing w:after="240"/>
        <w:contextualSpacing w:val="0"/>
        <w:rPr>
          <w:rFonts w:ascii="Times New Roman" w:hAnsi="Times New Roman"/>
          <w:bCs/>
          <w:iCs/>
          <w:sz w:val="24"/>
        </w:rPr>
      </w:pPr>
      <w:r w:rsidRPr="00423BC8">
        <w:rPr>
          <w:rFonts w:ascii="Times New Roman" w:hAnsi="Times New Roman"/>
          <w:b/>
          <w:bCs/>
          <w:iCs/>
          <w:sz w:val="24"/>
        </w:rPr>
        <w:t>The projections for the following subsequent years of the medium-term budget framework are calculated incrementally based on the aggregate revenue estimates.</w:t>
      </w:r>
      <w:r w:rsidR="00374990">
        <w:rPr>
          <w:rFonts w:ascii="Times New Roman" w:hAnsi="Times New Roman"/>
          <w:bCs/>
          <w:iCs/>
          <w:sz w:val="24"/>
        </w:rPr>
        <w:t xml:space="preserve"> </w:t>
      </w:r>
      <w:r>
        <w:rPr>
          <w:rFonts w:ascii="Times New Roman" w:hAnsi="Times New Roman"/>
          <w:bCs/>
          <w:iCs/>
          <w:sz w:val="24"/>
        </w:rPr>
        <w:t xml:space="preserve">They </w:t>
      </w:r>
      <w:r w:rsidRPr="00315370">
        <w:rPr>
          <w:rFonts w:ascii="Times New Roman" w:hAnsi="Times New Roman"/>
          <w:bCs/>
          <w:iCs/>
          <w:sz w:val="24"/>
        </w:rPr>
        <w:t xml:space="preserve">are revised form one year to the other or from one budget report to the next.  Reasons for changes to the expenditure projections include mostly overambitious revenue forecast but </w:t>
      </w:r>
      <w:r w:rsidR="00423BC8">
        <w:rPr>
          <w:rFonts w:ascii="Times New Roman" w:hAnsi="Times New Roman"/>
          <w:bCs/>
          <w:iCs/>
          <w:sz w:val="24"/>
        </w:rPr>
        <w:t>are</w:t>
      </w:r>
      <w:r>
        <w:rPr>
          <w:rFonts w:ascii="Times New Roman" w:hAnsi="Times New Roman"/>
          <w:bCs/>
          <w:iCs/>
          <w:sz w:val="24"/>
        </w:rPr>
        <w:t xml:space="preserve"> also </w:t>
      </w:r>
      <w:r w:rsidRPr="00315370">
        <w:rPr>
          <w:rFonts w:ascii="Times New Roman" w:hAnsi="Times New Roman"/>
          <w:bCs/>
          <w:iCs/>
          <w:sz w:val="24"/>
        </w:rPr>
        <w:t>caused by natural disasters, major project cost overruns or adjustment of new pri</w:t>
      </w:r>
      <w:r w:rsidR="00374990">
        <w:rPr>
          <w:rFonts w:ascii="Times New Roman" w:hAnsi="Times New Roman"/>
          <w:bCs/>
          <w:iCs/>
          <w:sz w:val="24"/>
        </w:rPr>
        <w:t xml:space="preserve">orities in the NESDP. </w:t>
      </w:r>
      <w:r w:rsidRPr="00315370">
        <w:rPr>
          <w:rFonts w:ascii="Times New Roman" w:hAnsi="Times New Roman"/>
          <w:bCs/>
          <w:iCs/>
          <w:sz w:val="24"/>
        </w:rPr>
        <w:t xml:space="preserve">Overall, recurrent adjustments to budget plans reflect the poor predictability of the annual budget </w:t>
      </w:r>
      <w:proofErr w:type="gramStart"/>
      <w:r w:rsidRPr="00315370">
        <w:rPr>
          <w:rFonts w:ascii="Times New Roman" w:hAnsi="Times New Roman"/>
          <w:bCs/>
          <w:iCs/>
          <w:sz w:val="24"/>
        </w:rPr>
        <w:t>as a result of</w:t>
      </w:r>
      <w:proofErr w:type="gramEnd"/>
      <w:r w:rsidRPr="00315370">
        <w:rPr>
          <w:rFonts w:ascii="Times New Roman" w:hAnsi="Times New Roman"/>
          <w:bCs/>
          <w:iCs/>
          <w:sz w:val="24"/>
        </w:rPr>
        <w:t xml:space="preserve"> weak planning and budgeting process. The current budget estimates (aggregate expenditure ceilings) often change significantly before and during the implementation and reported to the NA</w:t>
      </w:r>
      <w:r w:rsidRPr="00315370">
        <w:rPr>
          <w:rStyle w:val="FootnoteReference"/>
          <w:rFonts w:ascii="Times New Roman" w:hAnsi="Times New Roman"/>
          <w:bCs/>
          <w:sz w:val="24"/>
        </w:rPr>
        <w:footnoteReference w:id="33"/>
      </w:r>
      <w:r w:rsidRPr="00315370">
        <w:rPr>
          <w:rFonts w:ascii="Times New Roman" w:hAnsi="Times New Roman"/>
          <w:bCs/>
          <w:iCs/>
          <w:sz w:val="24"/>
        </w:rPr>
        <w:t xml:space="preserve">, and budget outturns vary significantly from the approved estimates (ref. PI-2). </w:t>
      </w:r>
    </w:p>
    <w:p w14:paraId="63DCEFFF" w14:textId="77777777" w:rsidR="007518E4" w:rsidRPr="00315370" w:rsidRDefault="007518E4" w:rsidP="008037D9">
      <w:pPr>
        <w:pStyle w:val="ListParagraph"/>
        <w:numPr>
          <w:ilvl w:val="0"/>
          <w:numId w:val="58"/>
        </w:numPr>
        <w:autoSpaceDE w:val="0"/>
        <w:autoSpaceDN w:val="0"/>
        <w:adjustRightInd w:val="0"/>
        <w:spacing w:after="240"/>
        <w:contextualSpacing w:val="0"/>
        <w:rPr>
          <w:rFonts w:ascii="Times New Roman" w:hAnsi="Times New Roman"/>
          <w:bCs/>
          <w:iCs/>
          <w:sz w:val="24"/>
        </w:rPr>
      </w:pPr>
      <w:r w:rsidRPr="00423BC8">
        <w:rPr>
          <w:rFonts w:ascii="Times New Roman" w:hAnsi="Times New Roman"/>
          <w:b/>
          <w:bCs/>
          <w:iCs/>
          <w:sz w:val="24"/>
        </w:rPr>
        <w:t xml:space="preserve">Budget documents do not explain the differences between approved estimates and actual outturns for the previous year or likely outturn for the current year (say 2016/17 </w:t>
      </w:r>
      <w:r w:rsidRPr="00423BC8">
        <w:rPr>
          <w:rFonts w:ascii="Times New Roman" w:hAnsi="Times New Roman"/>
          <w:b/>
          <w:bCs/>
          <w:iCs/>
          <w:sz w:val="24"/>
        </w:rPr>
        <w:lastRenderedPageBreak/>
        <w:t>and 2017/18 respectively in the 2018/19 budget documentation) except for a few deviations at highly aggregated level.</w:t>
      </w:r>
      <w:r w:rsidRPr="00315370">
        <w:rPr>
          <w:rFonts w:ascii="Times New Roman" w:hAnsi="Times New Roman"/>
          <w:bCs/>
          <w:iCs/>
          <w:sz w:val="24"/>
        </w:rPr>
        <w:t xml:space="preserve"> The narrative tends to focus mostly on the economic assumptions to explai</w:t>
      </w:r>
      <w:r w:rsidR="00374990">
        <w:rPr>
          <w:rFonts w:ascii="Times New Roman" w:hAnsi="Times New Roman"/>
          <w:bCs/>
          <w:iCs/>
          <w:sz w:val="24"/>
        </w:rPr>
        <w:t xml:space="preserve">n the GDP growth outturn. </w:t>
      </w:r>
      <w:r w:rsidRPr="00315370">
        <w:rPr>
          <w:rFonts w:ascii="Times New Roman" w:hAnsi="Times New Roman"/>
          <w:bCs/>
          <w:iCs/>
          <w:sz w:val="24"/>
        </w:rPr>
        <w:t xml:space="preserve">Consequently, no explanations are given for changes to the medium-term projections compared to the previous year’s estimates. Most ministries are not concerned by the medium-term projections </w:t>
      </w:r>
      <w:r>
        <w:rPr>
          <w:rFonts w:ascii="Times New Roman" w:hAnsi="Times New Roman"/>
          <w:bCs/>
          <w:iCs/>
          <w:sz w:val="24"/>
        </w:rPr>
        <w:t>as they bear</w:t>
      </w:r>
      <w:r w:rsidRPr="00315370">
        <w:rPr>
          <w:rFonts w:ascii="Times New Roman" w:hAnsi="Times New Roman"/>
          <w:bCs/>
          <w:iCs/>
          <w:sz w:val="24"/>
        </w:rPr>
        <w:t xml:space="preserve"> no binding significance in the final budget allocations decisions. </w:t>
      </w:r>
    </w:p>
    <w:p w14:paraId="2DEFFAA1" w14:textId="77777777" w:rsidR="007518E4" w:rsidRPr="00315370" w:rsidRDefault="007518E4" w:rsidP="008037D9">
      <w:pPr>
        <w:pStyle w:val="ListParagraph"/>
        <w:numPr>
          <w:ilvl w:val="0"/>
          <w:numId w:val="58"/>
        </w:numPr>
        <w:autoSpaceDE w:val="0"/>
        <w:autoSpaceDN w:val="0"/>
        <w:adjustRightInd w:val="0"/>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Budget documents do not provide any explanations of changes to the updated medium-term expenditure estimates compared to the previous year’s estimates</w:t>
      </w:r>
      <w:r w:rsidRPr="00315370">
        <w:rPr>
          <w:rFonts w:ascii="Times New Roman" w:eastAsia="ヒラギノ角ゴ Pro W3" w:hAnsi="Times New Roman"/>
          <w:color w:val="000000"/>
          <w:sz w:val="24"/>
          <w:lang w:eastAsia="en-IN"/>
        </w:rPr>
        <w:t>: Score D.</w:t>
      </w:r>
    </w:p>
    <w:p w14:paraId="6A6EC907" w14:textId="77777777" w:rsidR="007518E4" w:rsidRPr="00AE3D38" w:rsidRDefault="007518E4" w:rsidP="008037D9">
      <w:pPr>
        <w:pStyle w:val="ListParagraph"/>
        <w:numPr>
          <w:ilvl w:val="0"/>
          <w:numId w:val="58"/>
        </w:numPr>
        <w:spacing w:after="240"/>
        <w:contextualSpacing w:val="0"/>
        <w:rPr>
          <w:rFonts w:ascii="Times New Roman" w:hAnsi="Times New Roman"/>
          <w:sz w:val="24"/>
        </w:rPr>
      </w:pPr>
      <w:r w:rsidRPr="00423BC8">
        <w:rPr>
          <w:rFonts w:ascii="Times New Roman" w:hAnsi="Times New Roman"/>
          <w:b/>
          <w:sz w:val="24"/>
        </w:rPr>
        <w:t>MoF has already planned to develop further the fiscal management provisions of the SBL</w:t>
      </w:r>
      <w:r w:rsidR="00423BC8">
        <w:rPr>
          <w:rFonts w:ascii="Times New Roman" w:hAnsi="Times New Roman"/>
          <w:b/>
          <w:sz w:val="24"/>
        </w:rPr>
        <w:t xml:space="preserve">. </w:t>
      </w:r>
      <w:r w:rsidR="00423BC8" w:rsidRPr="00423BC8">
        <w:rPr>
          <w:rFonts w:ascii="Times New Roman" w:hAnsi="Times New Roman"/>
          <w:sz w:val="24"/>
        </w:rPr>
        <w:t>This will also</w:t>
      </w:r>
      <w:r w:rsidR="00423BC8">
        <w:rPr>
          <w:rFonts w:ascii="Times New Roman" w:hAnsi="Times New Roman"/>
          <w:b/>
          <w:sz w:val="24"/>
        </w:rPr>
        <w:t xml:space="preserve"> </w:t>
      </w:r>
      <w:r w:rsidRPr="00AE3D38">
        <w:rPr>
          <w:rFonts w:ascii="Times New Roman" w:hAnsi="Times New Roman"/>
          <w:sz w:val="24"/>
        </w:rPr>
        <w:t xml:space="preserve">develop a roadmap for </w:t>
      </w:r>
      <w:r w:rsidR="005263CA">
        <w:rPr>
          <w:rFonts w:ascii="Times New Roman" w:hAnsi="Times New Roman"/>
          <w:sz w:val="24"/>
        </w:rPr>
        <w:t>medium term</w:t>
      </w:r>
      <w:r w:rsidRPr="00AE3D38">
        <w:rPr>
          <w:rFonts w:ascii="Times New Roman" w:hAnsi="Times New Roman"/>
          <w:sz w:val="24"/>
        </w:rPr>
        <w:t xml:space="preserve"> budgeting for 4 main ministries (Education, Health, Public Works and Transport and Agriculture and Forestry).</w:t>
      </w:r>
    </w:p>
    <w:p w14:paraId="372309E1" w14:textId="77777777" w:rsidR="007518E4" w:rsidRPr="00FE6ED4" w:rsidRDefault="007518E4" w:rsidP="00423BC8">
      <w:pPr>
        <w:pStyle w:val="Heading3"/>
        <w:spacing w:after="240"/>
        <w:ind w:left="0"/>
        <w:rPr>
          <w:rFonts w:ascii="Times New Roman" w:eastAsia="Calibri" w:hAnsi="Times New Roman"/>
          <w:b w:val="0"/>
          <w:bCs w:val="0"/>
          <w:color w:val="F06322"/>
          <w:spacing w:val="-1"/>
          <w:szCs w:val="28"/>
        </w:rPr>
      </w:pPr>
      <w:bookmarkStart w:id="75" w:name="_Toc518901801"/>
      <w:bookmarkStart w:id="76" w:name="_Toc4148996"/>
      <w:r w:rsidRPr="00FE6ED4">
        <w:rPr>
          <w:rFonts w:ascii="Times New Roman" w:eastAsia="Calibri" w:hAnsi="Times New Roman"/>
          <w:color w:val="F06322"/>
          <w:spacing w:val="-1"/>
          <w:szCs w:val="28"/>
        </w:rPr>
        <w:t xml:space="preserve">PI-17. Budget </w:t>
      </w:r>
      <w:r>
        <w:rPr>
          <w:rFonts w:ascii="Times New Roman" w:eastAsia="Calibri" w:hAnsi="Times New Roman"/>
          <w:color w:val="F06322"/>
          <w:spacing w:val="-1"/>
          <w:szCs w:val="28"/>
        </w:rPr>
        <w:t>p</w:t>
      </w:r>
      <w:r w:rsidRPr="00FE6ED4">
        <w:rPr>
          <w:rFonts w:ascii="Times New Roman" w:eastAsia="Calibri" w:hAnsi="Times New Roman"/>
          <w:color w:val="F06322"/>
          <w:spacing w:val="-1"/>
          <w:szCs w:val="28"/>
        </w:rPr>
        <w:t xml:space="preserve">reparation </w:t>
      </w:r>
      <w:r>
        <w:rPr>
          <w:rFonts w:ascii="Times New Roman" w:eastAsia="Calibri" w:hAnsi="Times New Roman"/>
          <w:color w:val="F06322"/>
          <w:spacing w:val="-1"/>
          <w:szCs w:val="28"/>
        </w:rPr>
        <w:t>p</w:t>
      </w:r>
      <w:r w:rsidRPr="00FE6ED4">
        <w:rPr>
          <w:rFonts w:ascii="Times New Roman" w:eastAsia="Calibri" w:hAnsi="Times New Roman"/>
          <w:color w:val="F06322"/>
          <w:spacing w:val="-1"/>
          <w:szCs w:val="28"/>
        </w:rPr>
        <w:t>rocess</w:t>
      </w:r>
      <w:bookmarkEnd w:id="75"/>
      <w:bookmarkEnd w:id="76"/>
    </w:p>
    <w:p w14:paraId="563ECBA3" w14:textId="77777777" w:rsidR="007518E4" w:rsidRDefault="007518E4" w:rsidP="008037D9">
      <w:pPr>
        <w:pStyle w:val="ListParagraph"/>
        <w:numPr>
          <w:ilvl w:val="0"/>
          <w:numId w:val="58"/>
        </w:numPr>
        <w:spacing w:after="240"/>
        <w:contextualSpacing w:val="0"/>
        <w:rPr>
          <w:rFonts w:ascii="Times New Roman" w:hAnsi="Times New Roman"/>
          <w:sz w:val="24"/>
        </w:rPr>
      </w:pPr>
      <w:r w:rsidRPr="00423BC8">
        <w:rPr>
          <w:rFonts w:ascii="Times New Roman" w:hAnsi="Times New Roman"/>
          <w:b/>
          <w:sz w:val="24"/>
        </w:rPr>
        <w:t>The indicator evaluates the effectiveness of stakeholder engagement in the budget preparation process, including the consistency and timeliness of involvement of persons conducting the Policy</w:t>
      </w:r>
      <w:r w:rsidR="00374990">
        <w:rPr>
          <w:rFonts w:ascii="Times New Roman" w:hAnsi="Times New Roman"/>
          <w:sz w:val="24"/>
        </w:rPr>
        <w:t xml:space="preserve">. </w:t>
      </w:r>
      <w:r>
        <w:rPr>
          <w:rFonts w:ascii="Times New Roman" w:hAnsi="Times New Roman"/>
          <w:sz w:val="24"/>
        </w:rPr>
        <w:t xml:space="preserve">The </w:t>
      </w:r>
      <w:proofErr w:type="gramStart"/>
      <w:r>
        <w:rPr>
          <w:rFonts w:ascii="Times New Roman" w:hAnsi="Times New Roman"/>
          <w:sz w:val="24"/>
        </w:rPr>
        <w:t>time period</w:t>
      </w:r>
      <w:proofErr w:type="gramEnd"/>
      <w:r>
        <w:rPr>
          <w:rFonts w:ascii="Times New Roman" w:hAnsi="Times New Roman"/>
          <w:sz w:val="24"/>
        </w:rPr>
        <w:t xml:space="preserve"> for dimensions 17.1 and 17.2 is last budget submitted to the legislature and for 17.3 the last</w:t>
      </w:r>
      <w:r w:rsidR="00374990">
        <w:rPr>
          <w:rFonts w:ascii="Times New Roman" w:hAnsi="Times New Roman"/>
          <w:sz w:val="24"/>
        </w:rPr>
        <w:t xml:space="preserve"> three completed fiscal years. </w:t>
      </w:r>
      <w:r>
        <w:rPr>
          <w:rFonts w:ascii="Times New Roman" w:hAnsi="Times New Roman"/>
          <w:sz w:val="24"/>
        </w:rPr>
        <w:t>Coverage is budgetary central government.</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1186"/>
        <w:gridCol w:w="5017"/>
      </w:tblGrid>
      <w:tr w:rsidR="007518E4" w:rsidRPr="00930334" w14:paraId="06BC35A8" w14:textId="77777777" w:rsidTr="00374990">
        <w:trPr>
          <w:trHeight w:val="397"/>
          <w:jc w:val="center"/>
        </w:trPr>
        <w:tc>
          <w:tcPr>
            <w:tcW w:w="1485" w:type="pct"/>
            <w:shd w:val="clear" w:color="auto" w:fill="D9D9D9"/>
            <w:vAlign w:val="center"/>
          </w:tcPr>
          <w:p w14:paraId="42171052" w14:textId="77777777" w:rsidR="007518E4" w:rsidRPr="00DC1379" w:rsidRDefault="007518E4" w:rsidP="00374990">
            <w:pPr>
              <w:spacing w:before="0"/>
              <w:ind w:hanging="545"/>
              <w:jc w:val="center"/>
              <w:rPr>
                <w:rFonts w:ascii="Times New Roman" w:hAnsi="Times New Roman"/>
              </w:rPr>
            </w:pPr>
            <w:r w:rsidRPr="00DC1379">
              <w:rPr>
                <w:rFonts w:ascii="Times New Roman" w:hAnsi="Times New Roman"/>
              </w:rPr>
              <w:t>Indicator/Dimension</w:t>
            </w:r>
          </w:p>
        </w:tc>
        <w:tc>
          <w:tcPr>
            <w:tcW w:w="672" w:type="pct"/>
            <w:shd w:val="clear" w:color="auto" w:fill="D9D9D9"/>
            <w:vAlign w:val="center"/>
          </w:tcPr>
          <w:p w14:paraId="09D9E70B" w14:textId="77777777" w:rsidR="007518E4" w:rsidRPr="00DC1379" w:rsidRDefault="007518E4" w:rsidP="00423BC8">
            <w:pPr>
              <w:spacing w:before="0"/>
              <w:ind w:left="0"/>
              <w:jc w:val="center"/>
              <w:rPr>
                <w:rFonts w:ascii="Times New Roman" w:hAnsi="Times New Roman"/>
              </w:rPr>
            </w:pPr>
            <w:r w:rsidRPr="00DC1379">
              <w:rPr>
                <w:rFonts w:ascii="Times New Roman" w:hAnsi="Times New Roman"/>
              </w:rPr>
              <w:t>Score</w:t>
            </w:r>
          </w:p>
        </w:tc>
        <w:tc>
          <w:tcPr>
            <w:tcW w:w="2843" w:type="pct"/>
            <w:shd w:val="clear" w:color="auto" w:fill="D9D9D9"/>
            <w:vAlign w:val="center"/>
          </w:tcPr>
          <w:p w14:paraId="07814EE4" w14:textId="77777777" w:rsidR="007518E4" w:rsidRPr="00DC1379" w:rsidRDefault="007518E4" w:rsidP="00374990">
            <w:pPr>
              <w:spacing w:before="0"/>
              <w:ind w:hanging="539"/>
              <w:jc w:val="center"/>
              <w:rPr>
                <w:rFonts w:ascii="Times New Roman" w:hAnsi="Times New Roman"/>
              </w:rPr>
            </w:pPr>
            <w:r w:rsidRPr="00DC1379">
              <w:rPr>
                <w:rFonts w:ascii="Times New Roman" w:hAnsi="Times New Roman"/>
              </w:rPr>
              <w:t>Brief Explanation</w:t>
            </w:r>
          </w:p>
        </w:tc>
      </w:tr>
      <w:tr w:rsidR="007518E4" w:rsidRPr="00930334" w14:paraId="511868E4" w14:textId="77777777" w:rsidTr="00374990">
        <w:trPr>
          <w:trHeight w:val="647"/>
          <w:jc w:val="center"/>
        </w:trPr>
        <w:tc>
          <w:tcPr>
            <w:tcW w:w="1485" w:type="pct"/>
            <w:vAlign w:val="center"/>
          </w:tcPr>
          <w:p w14:paraId="7D6323AD" w14:textId="77777777" w:rsidR="007518E4" w:rsidRPr="00DC1379" w:rsidRDefault="007518E4" w:rsidP="00374990">
            <w:pPr>
              <w:spacing w:before="0"/>
              <w:ind w:left="0"/>
              <w:jc w:val="left"/>
              <w:rPr>
                <w:rFonts w:ascii="Times New Roman" w:hAnsi="Times New Roman"/>
              </w:rPr>
            </w:pPr>
            <w:r w:rsidRPr="00DC1379">
              <w:rPr>
                <w:rFonts w:ascii="Times New Roman" w:hAnsi="Times New Roman"/>
                <w:bCs/>
              </w:rPr>
              <w:t>PI-17 Budget preparation process</w:t>
            </w:r>
          </w:p>
        </w:tc>
        <w:tc>
          <w:tcPr>
            <w:tcW w:w="672" w:type="pct"/>
            <w:vAlign w:val="center"/>
          </w:tcPr>
          <w:p w14:paraId="5F5CA625" w14:textId="77777777" w:rsidR="007518E4" w:rsidRPr="00DC1379" w:rsidRDefault="007518E4" w:rsidP="00423BC8">
            <w:pPr>
              <w:spacing w:before="0"/>
              <w:ind w:left="0"/>
              <w:jc w:val="center"/>
              <w:rPr>
                <w:rFonts w:ascii="Times New Roman" w:hAnsi="Times New Roman"/>
              </w:rPr>
            </w:pPr>
            <w:r w:rsidRPr="00DC1379">
              <w:rPr>
                <w:rFonts w:ascii="Times New Roman" w:hAnsi="Times New Roman"/>
              </w:rPr>
              <w:t>C+</w:t>
            </w:r>
          </w:p>
        </w:tc>
        <w:tc>
          <w:tcPr>
            <w:tcW w:w="2843" w:type="pct"/>
            <w:vAlign w:val="center"/>
          </w:tcPr>
          <w:p w14:paraId="005ED4DA" w14:textId="77777777" w:rsidR="007518E4" w:rsidRPr="00DC1379" w:rsidRDefault="007518E4" w:rsidP="00423BC8">
            <w:pPr>
              <w:spacing w:before="0"/>
              <w:ind w:left="0"/>
              <w:rPr>
                <w:rFonts w:ascii="Times New Roman" w:hAnsi="Times New Roman"/>
              </w:rPr>
            </w:pPr>
            <w:r w:rsidRPr="00DC1379">
              <w:rPr>
                <w:rFonts w:ascii="Times New Roman" w:hAnsi="Times New Roman"/>
              </w:rPr>
              <w:t>Dimensions combined by Method M2 (average).</w:t>
            </w:r>
          </w:p>
        </w:tc>
      </w:tr>
      <w:tr w:rsidR="007518E4" w:rsidRPr="00930334" w14:paraId="4B654FC1" w14:textId="77777777" w:rsidTr="00374990">
        <w:trPr>
          <w:trHeight w:val="647"/>
          <w:jc w:val="center"/>
        </w:trPr>
        <w:tc>
          <w:tcPr>
            <w:tcW w:w="1485" w:type="pct"/>
            <w:vAlign w:val="center"/>
          </w:tcPr>
          <w:p w14:paraId="307CC76D" w14:textId="77777777" w:rsidR="007518E4" w:rsidRPr="00DC1379" w:rsidRDefault="007518E4" w:rsidP="00374990">
            <w:pPr>
              <w:spacing w:before="0"/>
              <w:ind w:left="0"/>
              <w:jc w:val="left"/>
              <w:rPr>
                <w:rFonts w:ascii="Times New Roman" w:hAnsi="Times New Roman"/>
                <w:color w:val="000000"/>
              </w:rPr>
            </w:pPr>
            <w:r w:rsidRPr="00DC1379">
              <w:rPr>
                <w:rFonts w:ascii="Times New Roman" w:hAnsi="Times New Roman"/>
                <w:color w:val="000000"/>
              </w:rPr>
              <w:t>17.1 Budget calendar</w:t>
            </w:r>
          </w:p>
        </w:tc>
        <w:tc>
          <w:tcPr>
            <w:tcW w:w="672" w:type="pct"/>
            <w:vAlign w:val="center"/>
          </w:tcPr>
          <w:p w14:paraId="3DFB653C" w14:textId="77777777" w:rsidR="007518E4" w:rsidRPr="00DC1379" w:rsidRDefault="007518E4" w:rsidP="00423BC8">
            <w:pPr>
              <w:spacing w:before="0"/>
              <w:ind w:left="0"/>
              <w:jc w:val="center"/>
              <w:rPr>
                <w:rFonts w:ascii="Times New Roman" w:hAnsi="Times New Roman"/>
              </w:rPr>
            </w:pPr>
            <w:r w:rsidRPr="00DC1379">
              <w:rPr>
                <w:rFonts w:ascii="Times New Roman" w:hAnsi="Times New Roman"/>
              </w:rPr>
              <w:t>C</w:t>
            </w:r>
          </w:p>
        </w:tc>
        <w:tc>
          <w:tcPr>
            <w:tcW w:w="2843" w:type="pct"/>
            <w:vAlign w:val="center"/>
          </w:tcPr>
          <w:p w14:paraId="706770F5" w14:textId="77777777" w:rsidR="007518E4" w:rsidRPr="00DC1379" w:rsidRDefault="007518E4" w:rsidP="00423BC8">
            <w:pPr>
              <w:spacing w:before="0"/>
              <w:ind w:left="0"/>
              <w:rPr>
                <w:rFonts w:ascii="Times New Roman" w:hAnsi="Times New Roman"/>
                <w:lang w:eastAsia="en-IN"/>
              </w:rPr>
            </w:pPr>
            <w:r w:rsidRPr="00DC1379">
              <w:rPr>
                <w:rFonts w:ascii="Times New Roman" w:hAnsi="Times New Roman"/>
                <w:lang w:eastAsia="en-IN"/>
              </w:rPr>
              <w:t>A formal budget calendar exists</w:t>
            </w:r>
            <w:r>
              <w:rPr>
                <w:rFonts w:ascii="Times New Roman" w:hAnsi="Times New Roman"/>
                <w:lang w:eastAsia="en-IN"/>
              </w:rPr>
              <w:t xml:space="preserve"> with </w:t>
            </w:r>
            <w:r>
              <w:rPr>
                <w:rFonts w:ascii="Times New Roman" w:eastAsia="ヒラギノ角ゴ Pro W3" w:hAnsi="Times New Roman"/>
                <w:color w:val="000000"/>
                <w:szCs w:val="20"/>
                <w:lang w:eastAsia="en-IN"/>
              </w:rPr>
              <w:t>steps that are</w:t>
            </w:r>
            <w:r w:rsidRPr="00DC1379">
              <w:rPr>
                <w:rFonts w:ascii="Times New Roman" w:eastAsia="ヒラギノ角ゴ Pro W3" w:hAnsi="Times New Roman"/>
                <w:color w:val="000000"/>
                <w:szCs w:val="20"/>
                <w:lang w:eastAsia="en-IN"/>
              </w:rPr>
              <w:t xml:space="preserve"> generally adhered</w:t>
            </w:r>
            <w:r>
              <w:rPr>
                <w:rFonts w:ascii="Times New Roman" w:eastAsia="ヒラギノ角ゴ Pro W3" w:hAnsi="Times New Roman"/>
                <w:color w:val="000000"/>
                <w:szCs w:val="20"/>
                <w:lang w:eastAsia="en-IN"/>
              </w:rPr>
              <w:t xml:space="preserve"> to. However</w:t>
            </w:r>
            <w:r w:rsidR="00921730">
              <w:rPr>
                <w:rFonts w:ascii="Times New Roman" w:eastAsia="ヒラギノ角ゴ Pro W3" w:hAnsi="Times New Roman"/>
                <w:color w:val="000000"/>
                <w:szCs w:val="20"/>
                <w:lang w:eastAsia="en-IN"/>
              </w:rPr>
              <w:t>,</w:t>
            </w:r>
            <w:r>
              <w:rPr>
                <w:rFonts w:ascii="Times New Roman" w:eastAsia="ヒラギノ角ゴ Pro W3" w:hAnsi="Times New Roman"/>
                <w:color w:val="000000"/>
                <w:szCs w:val="20"/>
                <w:lang w:eastAsia="en-IN"/>
              </w:rPr>
              <w:t xml:space="preserve"> in practice </w:t>
            </w:r>
            <w:r w:rsidRPr="00DC1379">
              <w:rPr>
                <w:rFonts w:ascii="Times New Roman" w:eastAsia="ヒラギノ角ゴ Pro W3" w:hAnsi="Times New Roman"/>
                <w:color w:val="000000"/>
                <w:szCs w:val="20"/>
                <w:lang w:eastAsia="en-IN"/>
              </w:rPr>
              <w:t xml:space="preserve">spending units </w:t>
            </w:r>
            <w:r>
              <w:rPr>
                <w:rFonts w:ascii="Times New Roman" w:eastAsia="ヒラギノ角ゴ Pro W3" w:hAnsi="Times New Roman"/>
                <w:color w:val="000000"/>
                <w:szCs w:val="20"/>
                <w:lang w:eastAsia="en-IN"/>
              </w:rPr>
              <w:t>have around two weeks to</w:t>
            </w:r>
            <w:r w:rsidRPr="00DC1379">
              <w:rPr>
                <w:rFonts w:ascii="Times New Roman" w:eastAsia="ヒラギノ角ゴ Pro W3" w:hAnsi="Times New Roman"/>
                <w:color w:val="000000"/>
                <w:szCs w:val="20"/>
                <w:lang w:eastAsia="en-IN"/>
              </w:rPr>
              <w:t xml:space="preserve"> prepare their budget proposals and estimates after receipt of the budget instructions and respective ceiling</w:t>
            </w:r>
          </w:p>
        </w:tc>
      </w:tr>
      <w:tr w:rsidR="007518E4" w:rsidRPr="00930334" w14:paraId="5FB531E0" w14:textId="77777777" w:rsidTr="00374990">
        <w:trPr>
          <w:trHeight w:val="548"/>
          <w:jc w:val="center"/>
        </w:trPr>
        <w:tc>
          <w:tcPr>
            <w:tcW w:w="1485" w:type="pct"/>
            <w:vAlign w:val="center"/>
          </w:tcPr>
          <w:p w14:paraId="08B1768F" w14:textId="77777777" w:rsidR="007518E4" w:rsidRPr="00DC1379" w:rsidRDefault="007518E4" w:rsidP="00374990">
            <w:pPr>
              <w:spacing w:before="0"/>
              <w:ind w:left="0"/>
              <w:jc w:val="left"/>
              <w:rPr>
                <w:rFonts w:ascii="Times New Roman" w:hAnsi="Times New Roman"/>
                <w:color w:val="000000"/>
              </w:rPr>
            </w:pPr>
            <w:r w:rsidRPr="00DC1379">
              <w:rPr>
                <w:rFonts w:ascii="Times New Roman" w:hAnsi="Times New Roman"/>
                <w:color w:val="000000"/>
              </w:rPr>
              <w:t>17.2 Guidance on budget preparation</w:t>
            </w:r>
          </w:p>
        </w:tc>
        <w:tc>
          <w:tcPr>
            <w:tcW w:w="672" w:type="pct"/>
            <w:vAlign w:val="center"/>
          </w:tcPr>
          <w:p w14:paraId="1B1DFE74" w14:textId="77777777" w:rsidR="007518E4" w:rsidRPr="00DC1379" w:rsidRDefault="007518E4" w:rsidP="00423BC8">
            <w:pPr>
              <w:spacing w:before="0"/>
              <w:ind w:left="0"/>
              <w:jc w:val="center"/>
              <w:rPr>
                <w:rFonts w:ascii="Times New Roman" w:hAnsi="Times New Roman"/>
              </w:rPr>
            </w:pPr>
            <w:r w:rsidRPr="00DC1379">
              <w:rPr>
                <w:rFonts w:ascii="Times New Roman" w:hAnsi="Times New Roman"/>
              </w:rPr>
              <w:t>D</w:t>
            </w:r>
          </w:p>
        </w:tc>
        <w:tc>
          <w:tcPr>
            <w:tcW w:w="2843" w:type="pct"/>
            <w:vAlign w:val="center"/>
          </w:tcPr>
          <w:p w14:paraId="68B76BF3" w14:textId="77777777" w:rsidR="007518E4" w:rsidRPr="00DC1379" w:rsidRDefault="007518E4" w:rsidP="00423BC8">
            <w:pPr>
              <w:spacing w:before="0"/>
              <w:ind w:left="0"/>
              <w:rPr>
                <w:rFonts w:ascii="Times New Roman" w:hAnsi="Times New Roman"/>
                <w:lang w:eastAsia="en-IN"/>
              </w:rPr>
            </w:pPr>
            <w:r w:rsidRPr="00DC1379">
              <w:rPr>
                <w:rFonts w:ascii="Times New Roman" w:hAnsi="Times New Roman"/>
                <w:lang w:eastAsia="en-IN"/>
              </w:rPr>
              <w:t>A general budget circular (MoF) and set of instructions (MPI) are circulated to all spending units with general description of the budget formulation context and instructions for specific expenditure categories, including capital and current expenditures. Individual notifications with final ceilings to each ministry are circulated only after the initial budget submission to NA with proposed aggregate expenditure and revenue plans, as approved by the Minister for Finance.</w:t>
            </w:r>
          </w:p>
        </w:tc>
      </w:tr>
      <w:tr w:rsidR="007518E4" w:rsidRPr="00930334" w14:paraId="00DCC7E3" w14:textId="77777777" w:rsidTr="00374990">
        <w:trPr>
          <w:trHeight w:val="530"/>
          <w:jc w:val="center"/>
        </w:trPr>
        <w:tc>
          <w:tcPr>
            <w:tcW w:w="1485" w:type="pct"/>
            <w:vAlign w:val="center"/>
          </w:tcPr>
          <w:p w14:paraId="45474E18" w14:textId="77777777" w:rsidR="007518E4" w:rsidRPr="00DC1379" w:rsidRDefault="007518E4" w:rsidP="00374990">
            <w:pPr>
              <w:spacing w:before="0"/>
              <w:ind w:left="0"/>
              <w:jc w:val="left"/>
              <w:rPr>
                <w:rFonts w:ascii="Times New Roman" w:hAnsi="Times New Roman"/>
                <w:color w:val="000000"/>
              </w:rPr>
            </w:pPr>
            <w:r w:rsidRPr="00DC1379">
              <w:rPr>
                <w:rFonts w:ascii="Times New Roman" w:hAnsi="Times New Roman"/>
                <w:color w:val="000000"/>
              </w:rPr>
              <w:t>17.3 Budget submission to the legislature</w:t>
            </w:r>
          </w:p>
        </w:tc>
        <w:tc>
          <w:tcPr>
            <w:tcW w:w="672" w:type="pct"/>
            <w:vAlign w:val="center"/>
          </w:tcPr>
          <w:p w14:paraId="5B8BC1E3" w14:textId="77777777" w:rsidR="007518E4" w:rsidRPr="00DC1379" w:rsidRDefault="007518E4" w:rsidP="00423BC8">
            <w:pPr>
              <w:spacing w:before="0"/>
              <w:ind w:left="0"/>
              <w:jc w:val="center"/>
              <w:rPr>
                <w:rFonts w:ascii="Times New Roman" w:hAnsi="Times New Roman"/>
              </w:rPr>
            </w:pPr>
            <w:r w:rsidRPr="00DC1379">
              <w:rPr>
                <w:rFonts w:ascii="Times New Roman" w:hAnsi="Times New Roman"/>
              </w:rPr>
              <w:t>A</w:t>
            </w:r>
          </w:p>
        </w:tc>
        <w:tc>
          <w:tcPr>
            <w:tcW w:w="2843" w:type="pct"/>
            <w:vAlign w:val="center"/>
          </w:tcPr>
          <w:p w14:paraId="1B9A1322" w14:textId="77777777" w:rsidR="007518E4" w:rsidRPr="00DC1379" w:rsidRDefault="007518E4" w:rsidP="00423BC8">
            <w:pPr>
              <w:spacing w:before="0"/>
              <w:ind w:left="0"/>
              <w:rPr>
                <w:rFonts w:ascii="Times New Roman" w:eastAsia="ヒラギノ角ゴ Pro W3" w:hAnsi="Times New Roman"/>
                <w:color w:val="000000"/>
                <w:lang w:eastAsia="en-IN"/>
              </w:rPr>
            </w:pPr>
            <w:r w:rsidRPr="00DC1379">
              <w:rPr>
                <w:rFonts w:ascii="Times New Roman" w:eastAsia="ヒラギノ角ゴ Pro W3" w:hAnsi="Times New Roman"/>
                <w:color w:val="000000"/>
                <w:lang w:eastAsia="en-IN"/>
              </w:rPr>
              <w:t>MoF has, on behalf of the government– in each of the last three years - presented the annual budget proposals to the National Assembly at least 8 weeks before the start of the fiscal year.</w:t>
            </w:r>
          </w:p>
        </w:tc>
      </w:tr>
    </w:tbl>
    <w:p w14:paraId="30ECFC59" w14:textId="77777777" w:rsidR="007518E4" w:rsidRPr="00FE6ED4" w:rsidRDefault="007518E4" w:rsidP="00ED6F7A">
      <w:pPr>
        <w:spacing w:after="240"/>
        <w:ind w:left="0"/>
        <w:rPr>
          <w:rFonts w:ascii="Times New Roman" w:eastAsia="Calibri" w:hAnsi="Times New Roman"/>
          <w:b/>
          <w:bCs/>
          <w:color w:val="F06322"/>
          <w:spacing w:val="-1"/>
          <w:sz w:val="24"/>
        </w:rPr>
      </w:pPr>
      <w:r w:rsidRPr="00FE6ED4">
        <w:rPr>
          <w:rFonts w:ascii="Times New Roman" w:eastAsia="Calibri" w:hAnsi="Times New Roman"/>
          <w:b/>
          <w:bCs/>
          <w:color w:val="F06322"/>
          <w:spacing w:val="-1"/>
          <w:sz w:val="24"/>
        </w:rPr>
        <w:t xml:space="preserve">17.1. Budget </w:t>
      </w:r>
      <w:r>
        <w:rPr>
          <w:rFonts w:ascii="Times New Roman" w:eastAsia="Calibri" w:hAnsi="Times New Roman"/>
          <w:b/>
          <w:bCs/>
          <w:color w:val="F06322"/>
          <w:spacing w:val="-1"/>
          <w:sz w:val="24"/>
        </w:rPr>
        <w:t>c</w:t>
      </w:r>
      <w:r w:rsidRPr="00FE6ED4">
        <w:rPr>
          <w:rFonts w:ascii="Times New Roman" w:eastAsia="Calibri" w:hAnsi="Times New Roman"/>
          <w:b/>
          <w:bCs/>
          <w:color w:val="F06322"/>
          <w:spacing w:val="-1"/>
          <w:sz w:val="24"/>
        </w:rPr>
        <w:t xml:space="preserve">alendar </w:t>
      </w:r>
    </w:p>
    <w:p w14:paraId="0E99B49C" w14:textId="77777777" w:rsidR="007518E4" w:rsidRPr="00DC1379" w:rsidRDefault="007518E4" w:rsidP="008037D9">
      <w:pPr>
        <w:pStyle w:val="ListParagraph"/>
        <w:numPr>
          <w:ilvl w:val="0"/>
          <w:numId w:val="58"/>
        </w:numPr>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The SBL and internal government and MoF processes regarding the budget formulation rely on a budget calendar with sequenced activities and dea</w:t>
      </w:r>
      <w:r w:rsidR="00423BC8">
        <w:rPr>
          <w:rFonts w:ascii="Times New Roman" w:eastAsia="ヒラギノ角ゴ Pro W3" w:hAnsi="Times New Roman"/>
          <w:b/>
          <w:color w:val="000000"/>
          <w:sz w:val="24"/>
          <w:lang w:eastAsia="en-IN"/>
        </w:rPr>
        <w:t>dlines as summarized in table 17.1</w:t>
      </w:r>
      <w:r w:rsidRPr="00423BC8">
        <w:rPr>
          <w:rFonts w:ascii="Times New Roman" w:eastAsia="ヒラギノ角ゴ Pro W3" w:hAnsi="Times New Roman"/>
          <w:b/>
          <w:color w:val="000000"/>
          <w:sz w:val="24"/>
          <w:lang w:eastAsia="en-IN"/>
        </w:rPr>
        <w:t xml:space="preserve"> below</w:t>
      </w:r>
      <w:r w:rsidRPr="00DC1379">
        <w:rPr>
          <w:rFonts w:ascii="Times New Roman" w:eastAsia="ヒラギノ角ゴ Pro W3" w:hAnsi="Times New Roman"/>
          <w:color w:val="000000"/>
          <w:sz w:val="24"/>
          <w:lang w:eastAsia="en-IN"/>
        </w:rPr>
        <w:t xml:space="preserve">. The substantial delays and usual shortfalls reported by MoF </w:t>
      </w:r>
      <w:r w:rsidRPr="00DC1379">
        <w:rPr>
          <w:rFonts w:ascii="Times New Roman" w:eastAsia="ヒラギノ角ゴ Pro W3" w:hAnsi="Times New Roman"/>
          <w:color w:val="000000"/>
          <w:sz w:val="24"/>
          <w:lang w:eastAsia="en-IN"/>
        </w:rPr>
        <w:lastRenderedPageBreak/>
        <w:t xml:space="preserve">and the consulted ministries have been summarized in the table to highlight the weaknesses in the overall process. </w:t>
      </w:r>
    </w:p>
    <w:p w14:paraId="39B26E38" w14:textId="77777777" w:rsidR="007518E4" w:rsidRPr="00DC1379" w:rsidRDefault="007518E4" w:rsidP="008037D9">
      <w:pPr>
        <w:pStyle w:val="ListParagraph"/>
        <w:numPr>
          <w:ilvl w:val="0"/>
          <w:numId w:val="58"/>
        </w:numPr>
        <w:spacing w:after="240"/>
        <w:contextualSpacing w:val="0"/>
        <w:rPr>
          <w:rFonts w:ascii="Times New Roman" w:eastAsia="ヒラギノ角ゴ Pro W3" w:hAnsi="Times New Roman"/>
          <w:color w:val="000000"/>
          <w:sz w:val="24"/>
          <w:lang w:eastAsia="en-IN"/>
        </w:rPr>
      </w:pPr>
      <w:r w:rsidRPr="00423BC8">
        <w:rPr>
          <w:rFonts w:ascii="Times New Roman" w:eastAsia="ヒラギノ角ゴ Pro W3" w:hAnsi="Times New Roman"/>
          <w:b/>
          <w:color w:val="000000"/>
          <w:sz w:val="24"/>
          <w:lang w:eastAsia="en-IN"/>
        </w:rPr>
        <w:t>In general ministries are given only two weeks to review and submit their budget proposals after issue of the first set of ceilings</w:t>
      </w:r>
      <w:r w:rsidR="00423BC8">
        <w:rPr>
          <w:rFonts w:ascii="Times New Roman" w:eastAsia="ヒラギノ角ゴ Pro W3" w:hAnsi="Times New Roman"/>
          <w:color w:val="000000"/>
          <w:sz w:val="24"/>
          <w:lang w:eastAsia="en-IN"/>
        </w:rPr>
        <w:t xml:space="preserve">. Even then there is </w:t>
      </w:r>
      <w:r w:rsidRPr="00DC1379">
        <w:rPr>
          <w:rFonts w:ascii="Times New Roman" w:eastAsia="ヒラギノ角ゴ Pro W3" w:hAnsi="Times New Roman"/>
          <w:color w:val="000000"/>
          <w:sz w:val="24"/>
          <w:lang w:eastAsia="en-IN"/>
        </w:rPr>
        <w:t xml:space="preserve">still some uncertainty about the final estimates submitted to NA and adjustments before the final consolidation. Ministries consulted explained that the short deadlines for adjustments made it very difficult to consult with the technical departments which eventually become responsible for implementing the budget. </w:t>
      </w:r>
    </w:p>
    <w:p w14:paraId="0D3B3C9E" w14:textId="77777777" w:rsidR="007518E4" w:rsidRDefault="007518E4" w:rsidP="00374990">
      <w:pPr>
        <w:pStyle w:val="ListParagraph"/>
        <w:spacing w:before="0"/>
        <w:ind w:left="0"/>
        <w:contextualSpacing w:val="0"/>
        <w:jc w:val="center"/>
        <w:rPr>
          <w:rFonts w:ascii="Times New Roman" w:hAnsi="Times New Roman"/>
          <w:b/>
          <w:bCs/>
        </w:rPr>
      </w:pPr>
      <w:r w:rsidRPr="00DC1379">
        <w:rPr>
          <w:rFonts w:ascii="Times New Roman" w:hAnsi="Times New Roman"/>
          <w:b/>
          <w:bCs/>
        </w:rPr>
        <w:t>Table 17.1 - Calendar for State Budget Plan Formulation</w:t>
      </w:r>
      <w:r w:rsidR="00423BC8">
        <w:rPr>
          <w:rStyle w:val="FootnoteReference"/>
          <w:rFonts w:ascii="Times New Roman" w:hAnsi="Times New Roman"/>
          <w:b/>
          <w:bCs/>
        </w:rPr>
        <w:footnoteReference w:id="34"/>
      </w:r>
    </w:p>
    <w:tbl>
      <w:tblPr>
        <w:tblStyle w:val="TableGrid"/>
        <w:tblW w:w="8931" w:type="dxa"/>
        <w:tblInd w:w="108" w:type="dxa"/>
        <w:tblLook w:val="04A0" w:firstRow="1" w:lastRow="0" w:firstColumn="1" w:lastColumn="0" w:noHBand="0" w:noVBand="1"/>
      </w:tblPr>
      <w:tblGrid>
        <w:gridCol w:w="1403"/>
        <w:gridCol w:w="3296"/>
        <w:gridCol w:w="4232"/>
      </w:tblGrid>
      <w:tr w:rsidR="007518E4" w:rsidRPr="00930334" w14:paraId="6D114EFA" w14:textId="77777777" w:rsidTr="00374990">
        <w:tc>
          <w:tcPr>
            <w:tcW w:w="1403" w:type="dxa"/>
          </w:tcPr>
          <w:p w14:paraId="34912229" w14:textId="77777777" w:rsidR="007518E4" w:rsidRPr="00DC1379" w:rsidRDefault="007518E4" w:rsidP="00374990">
            <w:pPr>
              <w:spacing w:before="0"/>
              <w:ind w:left="0"/>
              <w:jc w:val="center"/>
              <w:rPr>
                <w:b/>
                <w:sz w:val="20"/>
                <w:szCs w:val="20"/>
              </w:rPr>
            </w:pPr>
            <w:r w:rsidRPr="00DC1379">
              <w:rPr>
                <w:b/>
                <w:sz w:val="20"/>
                <w:szCs w:val="20"/>
              </w:rPr>
              <w:t xml:space="preserve">Deadline dates </w:t>
            </w:r>
          </w:p>
        </w:tc>
        <w:tc>
          <w:tcPr>
            <w:tcW w:w="3296" w:type="dxa"/>
          </w:tcPr>
          <w:p w14:paraId="3ED8518A" w14:textId="77777777" w:rsidR="007518E4" w:rsidRPr="00DC1379" w:rsidRDefault="007518E4" w:rsidP="00374990">
            <w:pPr>
              <w:spacing w:before="0"/>
              <w:ind w:hanging="521"/>
              <w:jc w:val="center"/>
              <w:rPr>
                <w:b/>
                <w:sz w:val="20"/>
                <w:szCs w:val="20"/>
              </w:rPr>
            </w:pPr>
            <w:r w:rsidRPr="00DC1379">
              <w:rPr>
                <w:b/>
                <w:sz w:val="20"/>
                <w:szCs w:val="20"/>
              </w:rPr>
              <w:t xml:space="preserve">Steps </w:t>
            </w:r>
          </w:p>
        </w:tc>
        <w:tc>
          <w:tcPr>
            <w:tcW w:w="4232" w:type="dxa"/>
          </w:tcPr>
          <w:p w14:paraId="0BBD0263" w14:textId="77777777" w:rsidR="007518E4" w:rsidRPr="00DC1379" w:rsidRDefault="007518E4" w:rsidP="00374990">
            <w:pPr>
              <w:spacing w:before="0"/>
              <w:ind w:left="48"/>
              <w:jc w:val="center"/>
              <w:rPr>
                <w:b/>
                <w:sz w:val="20"/>
                <w:szCs w:val="20"/>
              </w:rPr>
            </w:pPr>
            <w:r w:rsidRPr="00DC1379">
              <w:rPr>
                <w:b/>
                <w:sz w:val="20"/>
                <w:szCs w:val="20"/>
              </w:rPr>
              <w:t>Effective date (based on ministries and MoF feedback)</w:t>
            </w:r>
          </w:p>
        </w:tc>
      </w:tr>
      <w:tr w:rsidR="007518E4" w:rsidRPr="00930334" w14:paraId="19189AD6" w14:textId="77777777" w:rsidTr="00374990">
        <w:tc>
          <w:tcPr>
            <w:tcW w:w="1403" w:type="dxa"/>
          </w:tcPr>
          <w:p w14:paraId="4C0FC3CE" w14:textId="77777777" w:rsidR="007518E4" w:rsidRPr="00DC1379" w:rsidRDefault="007518E4" w:rsidP="00423BC8">
            <w:pPr>
              <w:spacing w:before="0"/>
              <w:ind w:left="0"/>
              <w:jc w:val="center"/>
              <w:rPr>
                <w:sz w:val="20"/>
                <w:szCs w:val="20"/>
              </w:rPr>
            </w:pPr>
            <w:r w:rsidRPr="00DC1379">
              <w:rPr>
                <w:b/>
                <w:sz w:val="20"/>
                <w:szCs w:val="20"/>
              </w:rPr>
              <w:t>By March</w:t>
            </w:r>
          </w:p>
        </w:tc>
        <w:tc>
          <w:tcPr>
            <w:tcW w:w="3296" w:type="dxa"/>
          </w:tcPr>
          <w:p w14:paraId="13D7A0C3" w14:textId="77777777" w:rsidR="007518E4" w:rsidRPr="00DC1379" w:rsidRDefault="00374990" w:rsidP="00423BC8">
            <w:pPr>
              <w:spacing w:before="0"/>
              <w:ind w:left="0"/>
              <w:rPr>
                <w:b/>
                <w:sz w:val="20"/>
                <w:szCs w:val="20"/>
              </w:rPr>
            </w:pPr>
            <w:r>
              <w:rPr>
                <w:b/>
                <w:sz w:val="20"/>
                <w:szCs w:val="20"/>
              </w:rPr>
              <w:t>Annual Socio-</w:t>
            </w:r>
            <w:r w:rsidR="007518E4" w:rsidRPr="00DC1379">
              <w:rPr>
                <w:b/>
                <w:sz w:val="20"/>
                <w:szCs w:val="20"/>
              </w:rPr>
              <w:t>Economic Plan:</w:t>
            </w:r>
          </w:p>
          <w:p w14:paraId="523F1408" w14:textId="77777777" w:rsidR="007518E4" w:rsidRPr="00DC1379" w:rsidRDefault="007518E4" w:rsidP="00423BC8">
            <w:pPr>
              <w:spacing w:before="0"/>
              <w:ind w:left="0"/>
              <w:rPr>
                <w:sz w:val="20"/>
                <w:szCs w:val="20"/>
              </w:rPr>
            </w:pPr>
            <w:r w:rsidRPr="00DC1379">
              <w:rPr>
                <w:sz w:val="20"/>
                <w:szCs w:val="20"/>
              </w:rPr>
              <w:t xml:space="preserve">Prime Minister issues an instruction for the drafting of the annual socio-economic development plan and the budget plan by sector. </w:t>
            </w:r>
          </w:p>
        </w:tc>
        <w:tc>
          <w:tcPr>
            <w:tcW w:w="4232" w:type="dxa"/>
          </w:tcPr>
          <w:p w14:paraId="58F063C7" w14:textId="77777777" w:rsidR="007518E4" w:rsidRDefault="007518E4" w:rsidP="00423BC8">
            <w:pPr>
              <w:spacing w:before="0"/>
              <w:ind w:left="0"/>
              <w:jc w:val="left"/>
              <w:rPr>
                <w:sz w:val="20"/>
                <w:szCs w:val="20"/>
              </w:rPr>
            </w:pPr>
            <w:r w:rsidRPr="00DC1379">
              <w:rPr>
                <w:sz w:val="20"/>
                <w:szCs w:val="20"/>
              </w:rPr>
              <w:t>PM Decree is often issued with some delay or sometimes not issued at all</w:t>
            </w:r>
            <w:r>
              <w:rPr>
                <w:sz w:val="20"/>
                <w:szCs w:val="20"/>
              </w:rPr>
              <w:t>.</w:t>
            </w:r>
          </w:p>
          <w:p w14:paraId="1930A036" w14:textId="77777777" w:rsidR="007518E4" w:rsidRPr="00DC1379" w:rsidRDefault="007518E4" w:rsidP="00423BC8">
            <w:pPr>
              <w:spacing w:before="0"/>
              <w:ind w:left="0"/>
              <w:jc w:val="left"/>
              <w:rPr>
                <w:sz w:val="20"/>
                <w:szCs w:val="20"/>
              </w:rPr>
            </w:pPr>
          </w:p>
          <w:p w14:paraId="797F0610" w14:textId="77777777" w:rsidR="007518E4" w:rsidRPr="00DC1379" w:rsidRDefault="007518E4" w:rsidP="00423BC8">
            <w:pPr>
              <w:spacing w:before="0"/>
              <w:ind w:left="0"/>
              <w:jc w:val="left"/>
              <w:rPr>
                <w:sz w:val="20"/>
                <w:szCs w:val="20"/>
              </w:rPr>
            </w:pPr>
            <w:r w:rsidRPr="00DC1379">
              <w:rPr>
                <w:sz w:val="20"/>
                <w:szCs w:val="20"/>
              </w:rPr>
              <w:t>Policy decisions can be made late, e.g. salary increase in are not announced in the beginning of the fiscal year making it difficult to work out the fiscal envelop</w:t>
            </w:r>
          </w:p>
        </w:tc>
      </w:tr>
      <w:tr w:rsidR="007518E4" w:rsidRPr="00930334" w14:paraId="0E2363EF" w14:textId="77777777" w:rsidTr="00374990">
        <w:tc>
          <w:tcPr>
            <w:tcW w:w="1403" w:type="dxa"/>
          </w:tcPr>
          <w:p w14:paraId="5FF8C381" w14:textId="77777777" w:rsidR="007518E4" w:rsidRPr="00DC1379" w:rsidRDefault="007518E4" w:rsidP="00423BC8">
            <w:pPr>
              <w:spacing w:before="0"/>
              <w:ind w:left="0"/>
              <w:jc w:val="center"/>
              <w:rPr>
                <w:b/>
                <w:sz w:val="20"/>
                <w:szCs w:val="20"/>
              </w:rPr>
            </w:pPr>
            <w:r w:rsidRPr="00DC1379">
              <w:rPr>
                <w:b/>
                <w:sz w:val="20"/>
                <w:szCs w:val="20"/>
              </w:rPr>
              <w:t>By May</w:t>
            </w:r>
          </w:p>
        </w:tc>
        <w:tc>
          <w:tcPr>
            <w:tcW w:w="3296" w:type="dxa"/>
          </w:tcPr>
          <w:p w14:paraId="65711BCE" w14:textId="77777777" w:rsidR="007518E4" w:rsidRPr="00DC1379" w:rsidRDefault="007518E4" w:rsidP="00423BC8">
            <w:pPr>
              <w:spacing w:before="0"/>
              <w:ind w:left="0"/>
              <w:rPr>
                <w:b/>
                <w:sz w:val="20"/>
                <w:szCs w:val="20"/>
              </w:rPr>
            </w:pPr>
            <w:r w:rsidRPr="00DC1379">
              <w:rPr>
                <w:b/>
                <w:sz w:val="20"/>
                <w:szCs w:val="20"/>
              </w:rPr>
              <w:t>Aggregate Budget ceilings:</w:t>
            </w:r>
          </w:p>
          <w:p w14:paraId="3F4495E9" w14:textId="77777777" w:rsidR="007518E4" w:rsidRPr="00DC1379" w:rsidRDefault="007518E4" w:rsidP="00423BC8">
            <w:pPr>
              <w:spacing w:before="0"/>
              <w:ind w:left="0"/>
              <w:rPr>
                <w:sz w:val="20"/>
                <w:szCs w:val="20"/>
              </w:rPr>
            </w:pPr>
            <w:r w:rsidRPr="00DC1379">
              <w:rPr>
                <w:sz w:val="20"/>
                <w:szCs w:val="20"/>
              </w:rPr>
              <w:t>MoF estimates aggregate budget ceilings for the following year, MoF indicates to MPI the overall capital investment budget ceiling and the breakdown between central government and the provinces</w:t>
            </w:r>
            <w:r w:rsidRPr="00DC1379">
              <w:rPr>
                <w:rStyle w:val="FootnoteReference"/>
                <w:sz w:val="20"/>
                <w:szCs w:val="20"/>
              </w:rPr>
              <w:footnoteReference w:id="35"/>
            </w:r>
            <w:r w:rsidRPr="00DC1379">
              <w:rPr>
                <w:sz w:val="20"/>
                <w:szCs w:val="20"/>
              </w:rPr>
              <w:t xml:space="preserve">.  </w:t>
            </w:r>
          </w:p>
        </w:tc>
        <w:tc>
          <w:tcPr>
            <w:tcW w:w="4232" w:type="dxa"/>
          </w:tcPr>
          <w:p w14:paraId="4537F0F3" w14:textId="77777777" w:rsidR="007518E4" w:rsidRPr="00DC1379" w:rsidRDefault="007518E4" w:rsidP="00423BC8">
            <w:pPr>
              <w:pStyle w:val="ListParagraph"/>
              <w:spacing w:before="0"/>
              <w:ind w:left="0"/>
              <w:contextualSpacing w:val="0"/>
              <w:jc w:val="left"/>
              <w:rPr>
                <w:sz w:val="20"/>
                <w:szCs w:val="20"/>
              </w:rPr>
            </w:pPr>
          </w:p>
        </w:tc>
      </w:tr>
      <w:tr w:rsidR="007518E4" w:rsidRPr="00930334" w14:paraId="5FD672E0" w14:textId="77777777" w:rsidTr="00374990">
        <w:tc>
          <w:tcPr>
            <w:tcW w:w="1403" w:type="dxa"/>
            <w:vMerge w:val="restart"/>
          </w:tcPr>
          <w:p w14:paraId="7EBD9080" w14:textId="77777777" w:rsidR="007518E4" w:rsidRPr="00DC1379" w:rsidRDefault="007518E4" w:rsidP="00423BC8">
            <w:pPr>
              <w:spacing w:before="0"/>
              <w:ind w:left="0"/>
              <w:jc w:val="center"/>
              <w:rPr>
                <w:b/>
                <w:sz w:val="20"/>
                <w:szCs w:val="20"/>
              </w:rPr>
            </w:pPr>
            <w:r w:rsidRPr="00DC1379">
              <w:rPr>
                <w:b/>
                <w:sz w:val="20"/>
                <w:szCs w:val="20"/>
              </w:rPr>
              <w:t>By 30 June</w:t>
            </w:r>
          </w:p>
        </w:tc>
        <w:tc>
          <w:tcPr>
            <w:tcW w:w="3296" w:type="dxa"/>
          </w:tcPr>
          <w:p w14:paraId="495D860C" w14:textId="77777777" w:rsidR="007518E4" w:rsidRPr="00DC1379" w:rsidRDefault="007518E4" w:rsidP="00423BC8">
            <w:pPr>
              <w:spacing w:before="0"/>
              <w:ind w:left="0"/>
              <w:rPr>
                <w:b/>
                <w:sz w:val="20"/>
                <w:szCs w:val="20"/>
              </w:rPr>
            </w:pPr>
            <w:r w:rsidRPr="00DC1379">
              <w:rPr>
                <w:b/>
                <w:sz w:val="20"/>
                <w:szCs w:val="20"/>
              </w:rPr>
              <w:t>Annual MoF Budget circular:</w:t>
            </w:r>
          </w:p>
          <w:p w14:paraId="23EC4477" w14:textId="77777777" w:rsidR="007518E4" w:rsidRPr="00DC1379" w:rsidRDefault="007518E4" w:rsidP="00423BC8">
            <w:pPr>
              <w:spacing w:before="0"/>
              <w:ind w:left="0"/>
              <w:rPr>
                <w:b/>
                <w:sz w:val="20"/>
                <w:szCs w:val="20"/>
              </w:rPr>
            </w:pPr>
            <w:r w:rsidRPr="00DC1379">
              <w:rPr>
                <w:sz w:val="20"/>
                <w:szCs w:val="20"/>
              </w:rPr>
              <w:t>Minister of Finance issues an instruction, Budget circular on the formulation of the annual State budget plan and indicative aggregate budget ceilings from the 5-year medium-term budget framework based on the medium-term budget framework for the sectors at the central and local levels.</w:t>
            </w:r>
          </w:p>
        </w:tc>
        <w:tc>
          <w:tcPr>
            <w:tcW w:w="4232" w:type="dxa"/>
          </w:tcPr>
          <w:p w14:paraId="3A0B555C" w14:textId="77777777" w:rsidR="007518E4" w:rsidRPr="00DC1379" w:rsidRDefault="007518E4" w:rsidP="00423BC8">
            <w:pPr>
              <w:spacing w:before="0"/>
              <w:ind w:left="0"/>
              <w:jc w:val="left"/>
              <w:rPr>
                <w:sz w:val="20"/>
                <w:szCs w:val="20"/>
              </w:rPr>
            </w:pPr>
            <w:r w:rsidRPr="00DC1379">
              <w:rPr>
                <w:sz w:val="20"/>
                <w:szCs w:val="20"/>
              </w:rPr>
              <w:t>MoF budget circular for FY 18 was issued in June 2017, and for FY19 was issued in May 2018</w:t>
            </w:r>
          </w:p>
        </w:tc>
      </w:tr>
      <w:tr w:rsidR="007518E4" w:rsidRPr="00930334" w14:paraId="6BF30FBD" w14:textId="77777777" w:rsidTr="00374990">
        <w:tc>
          <w:tcPr>
            <w:tcW w:w="1403" w:type="dxa"/>
            <w:vMerge/>
          </w:tcPr>
          <w:p w14:paraId="4101EE04" w14:textId="77777777" w:rsidR="007518E4" w:rsidRPr="00DC1379" w:rsidRDefault="007518E4" w:rsidP="00423BC8">
            <w:pPr>
              <w:spacing w:before="0"/>
              <w:ind w:left="0"/>
              <w:jc w:val="center"/>
              <w:rPr>
                <w:b/>
                <w:sz w:val="20"/>
                <w:szCs w:val="20"/>
              </w:rPr>
            </w:pPr>
          </w:p>
        </w:tc>
        <w:tc>
          <w:tcPr>
            <w:tcW w:w="3296" w:type="dxa"/>
          </w:tcPr>
          <w:p w14:paraId="0214E5D9" w14:textId="77777777" w:rsidR="007518E4" w:rsidRPr="00DC1379" w:rsidRDefault="007518E4" w:rsidP="00423BC8">
            <w:pPr>
              <w:spacing w:before="0"/>
              <w:ind w:left="0"/>
              <w:rPr>
                <w:b/>
                <w:sz w:val="20"/>
                <w:szCs w:val="20"/>
                <w:lang w:bidi="lo-LA"/>
              </w:rPr>
            </w:pPr>
            <w:r w:rsidRPr="00DC1379">
              <w:rPr>
                <w:b/>
                <w:sz w:val="20"/>
                <w:szCs w:val="20"/>
                <w:lang w:bidi="lo-LA"/>
              </w:rPr>
              <w:t>Revenue plans:</w:t>
            </w:r>
          </w:p>
          <w:p w14:paraId="76C279DD" w14:textId="77777777" w:rsidR="007518E4" w:rsidRPr="00DC1379" w:rsidRDefault="007518E4" w:rsidP="00423BC8">
            <w:pPr>
              <w:spacing w:before="0"/>
              <w:ind w:left="0"/>
              <w:rPr>
                <w:sz w:val="20"/>
                <w:szCs w:val="20"/>
                <w:lang w:bidi="lo-LA"/>
              </w:rPr>
            </w:pPr>
            <w:r w:rsidRPr="00DC1379">
              <w:rPr>
                <w:sz w:val="20"/>
                <w:szCs w:val="20"/>
                <w:lang w:bidi="lo-LA"/>
              </w:rPr>
              <w:t>Revenue collecting departments at all levels formulate their own revenue plan detailing each type of income: regular income, technical revenue and income from extra-budgetary fund, ODA. ODA information is submitted to the Ministry of Finance in two parts: (for aid funds and loans through country system) and to the Ministry of Planning and Investment (for aid funds from direct assistance, off budget)</w:t>
            </w:r>
          </w:p>
        </w:tc>
        <w:tc>
          <w:tcPr>
            <w:tcW w:w="4232" w:type="dxa"/>
          </w:tcPr>
          <w:p w14:paraId="1DCA10CB" w14:textId="77777777" w:rsidR="007518E4" w:rsidRPr="00DC1379" w:rsidRDefault="007518E4" w:rsidP="00423BC8">
            <w:pPr>
              <w:spacing w:before="0"/>
              <w:ind w:left="0"/>
              <w:jc w:val="left"/>
              <w:rPr>
                <w:sz w:val="20"/>
                <w:szCs w:val="20"/>
              </w:rPr>
            </w:pPr>
          </w:p>
        </w:tc>
      </w:tr>
      <w:tr w:rsidR="007518E4" w:rsidRPr="00930334" w14:paraId="383B9245" w14:textId="77777777" w:rsidTr="00374990">
        <w:trPr>
          <w:trHeight w:val="1088"/>
        </w:trPr>
        <w:tc>
          <w:tcPr>
            <w:tcW w:w="1403" w:type="dxa"/>
            <w:vMerge/>
          </w:tcPr>
          <w:p w14:paraId="66AFB740" w14:textId="77777777" w:rsidR="007518E4" w:rsidRPr="00DC1379" w:rsidRDefault="007518E4" w:rsidP="00423BC8">
            <w:pPr>
              <w:spacing w:before="0"/>
              <w:ind w:left="0"/>
              <w:jc w:val="center"/>
              <w:rPr>
                <w:b/>
                <w:sz w:val="20"/>
                <w:szCs w:val="20"/>
              </w:rPr>
            </w:pPr>
          </w:p>
        </w:tc>
        <w:tc>
          <w:tcPr>
            <w:tcW w:w="3296" w:type="dxa"/>
          </w:tcPr>
          <w:p w14:paraId="7E15FA2C" w14:textId="77777777" w:rsidR="007518E4" w:rsidRPr="00DC1379" w:rsidRDefault="007518E4" w:rsidP="00423BC8">
            <w:pPr>
              <w:spacing w:before="0"/>
              <w:ind w:left="0"/>
              <w:rPr>
                <w:b/>
                <w:sz w:val="20"/>
                <w:szCs w:val="20"/>
              </w:rPr>
            </w:pPr>
            <w:r w:rsidRPr="00DC1379">
              <w:rPr>
                <w:b/>
                <w:sz w:val="20"/>
                <w:szCs w:val="20"/>
              </w:rPr>
              <w:t>Central ministries budget submission:</w:t>
            </w:r>
          </w:p>
          <w:p w14:paraId="2C2B67B7" w14:textId="77777777" w:rsidR="007518E4" w:rsidRPr="00DC1379" w:rsidRDefault="007518E4" w:rsidP="00423BC8">
            <w:pPr>
              <w:spacing w:before="0"/>
              <w:ind w:left="0"/>
              <w:rPr>
                <w:sz w:val="20"/>
                <w:szCs w:val="20"/>
              </w:rPr>
            </w:pPr>
            <w:r w:rsidRPr="00DC1379">
              <w:rPr>
                <w:sz w:val="20"/>
                <w:szCs w:val="20"/>
              </w:rPr>
              <w:t xml:space="preserve">Government entities at central level formulate their budget proposals in consultation with the National Assembly’s Committees and concerned sectors and send the draft budget proposals to MoF Budget department </w:t>
            </w:r>
          </w:p>
        </w:tc>
        <w:tc>
          <w:tcPr>
            <w:tcW w:w="4232" w:type="dxa"/>
          </w:tcPr>
          <w:p w14:paraId="1836A988" w14:textId="77777777" w:rsidR="007518E4" w:rsidRPr="00DC1379" w:rsidRDefault="007518E4" w:rsidP="00423BC8">
            <w:pPr>
              <w:spacing w:before="0"/>
              <w:ind w:left="0"/>
              <w:rPr>
                <w:sz w:val="20"/>
                <w:szCs w:val="20"/>
              </w:rPr>
            </w:pPr>
            <w:r w:rsidRPr="00DC1379">
              <w:rPr>
                <w:sz w:val="20"/>
                <w:szCs w:val="20"/>
              </w:rPr>
              <w:t>No realistic ceilings are issued for the budgetary (spending) units leading to wish list budget proposals submitted spending units to MoF</w:t>
            </w:r>
          </w:p>
          <w:p w14:paraId="041275EA" w14:textId="77777777" w:rsidR="007518E4" w:rsidRDefault="007518E4" w:rsidP="00423BC8">
            <w:pPr>
              <w:spacing w:before="0"/>
              <w:ind w:left="0"/>
              <w:rPr>
                <w:sz w:val="20"/>
                <w:szCs w:val="20"/>
              </w:rPr>
            </w:pPr>
            <w:r w:rsidRPr="00DC1379">
              <w:rPr>
                <w:sz w:val="20"/>
                <w:szCs w:val="20"/>
              </w:rPr>
              <w:t>Spending units prepare their budget proposal based on current costs and incremental increase (10 to 15%)</w:t>
            </w:r>
            <w:r>
              <w:rPr>
                <w:sz w:val="20"/>
                <w:szCs w:val="20"/>
              </w:rPr>
              <w:t>.</w:t>
            </w:r>
          </w:p>
          <w:p w14:paraId="53424BA0" w14:textId="77777777" w:rsidR="007518E4" w:rsidRPr="00DC1379" w:rsidRDefault="007518E4" w:rsidP="00423BC8">
            <w:pPr>
              <w:spacing w:before="0"/>
              <w:ind w:left="0"/>
              <w:rPr>
                <w:sz w:val="20"/>
                <w:szCs w:val="20"/>
              </w:rPr>
            </w:pPr>
          </w:p>
          <w:p w14:paraId="315C2D1D" w14:textId="77777777" w:rsidR="007518E4" w:rsidRPr="00DC1379" w:rsidRDefault="007518E4" w:rsidP="00423BC8">
            <w:pPr>
              <w:spacing w:before="0"/>
              <w:ind w:left="0"/>
              <w:rPr>
                <w:sz w:val="20"/>
                <w:szCs w:val="20"/>
              </w:rPr>
            </w:pPr>
            <w:r w:rsidRPr="00DC1379">
              <w:rPr>
                <w:sz w:val="20"/>
                <w:szCs w:val="20"/>
              </w:rPr>
              <w:t>Budget plans are mostly submitted at CoA two-digit level.</w:t>
            </w:r>
          </w:p>
        </w:tc>
      </w:tr>
      <w:tr w:rsidR="007518E4" w:rsidRPr="00930334" w14:paraId="607D20F2" w14:textId="77777777" w:rsidTr="00374990">
        <w:tc>
          <w:tcPr>
            <w:tcW w:w="1403" w:type="dxa"/>
            <w:vMerge/>
          </w:tcPr>
          <w:p w14:paraId="606727A6" w14:textId="77777777" w:rsidR="007518E4" w:rsidRPr="00DC1379" w:rsidRDefault="007518E4" w:rsidP="00423BC8">
            <w:pPr>
              <w:spacing w:before="0"/>
              <w:ind w:left="0"/>
              <w:jc w:val="center"/>
              <w:rPr>
                <w:b/>
                <w:sz w:val="20"/>
                <w:szCs w:val="20"/>
              </w:rPr>
            </w:pPr>
          </w:p>
        </w:tc>
        <w:tc>
          <w:tcPr>
            <w:tcW w:w="3296" w:type="dxa"/>
          </w:tcPr>
          <w:p w14:paraId="7068E930" w14:textId="77777777" w:rsidR="007518E4" w:rsidRPr="00DC1379" w:rsidRDefault="007518E4" w:rsidP="00423BC8">
            <w:pPr>
              <w:spacing w:before="0"/>
              <w:ind w:left="0"/>
              <w:rPr>
                <w:b/>
                <w:sz w:val="20"/>
                <w:szCs w:val="20"/>
              </w:rPr>
            </w:pPr>
            <w:r w:rsidRPr="00DC1379">
              <w:rPr>
                <w:b/>
                <w:sz w:val="20"/>
                <w:szCs w:val="20"/>
              </w:rPr>
              <w:t>Provincial budgets submission:</w:t>
            </w:r>
          </w:p>
          <w:p w14:paraId="03C6C722" w14:textId="77777777" w:rsidR="007518E4" w:rsidRPr="00DC1379" w:rsidRDefault="007518E4" w:rsidP="00423BC8">
            <w:pPr>
              <w:spacing w:before="0"/>
              <w:ind w:left="0"/>
              <w:rPr>
                <w:sz w:val="20"/>
                <w:szCs w:val="20"/>
              </w:rPr>
            </w:pPr>
            <w:r w:rsidRPr="00DC1379">
              <w:rPr>
                <w:sz w:val="20"/>
                <w:szCs w:val="20"/>
              </w:rPr>
              <w:t xml:space="preserve">State organizations and concerned sectors at the local level formulate budget proposals and propose them to the provincial governors or Capital city mayor for approval and submission to the Local Assemblies (Provincial People Assemblies).  Approved draft budget proposals are sent to MoF Budget department for consolidation.  </w:t>
            </w:r>
          </w:p>
        </w:tc>
        <w:tc>
          <w:tcPr>
            <w:tcW w:w="4232" w:type="dxa"/>
          </w:tcPr>
          <w:p w14:paraId="7BD21E04" w14:textId="77777777" w:rsidR="007518E4" w:rsidRDefault="007518E4" w:rsidP="00423BC8">
            <w:pPr>
              <w:spacing w:before="0"/>
              <w:ind w:left="0"/>
              <w:rPr>
                <w:sz w:val="20"/>
                <w:szCs w:val="20"/>
              </w:rPr>
            </w:pPr>
            <w:r w:rsidRPr="00DC1379">
              <w:rPr>
                <w:sz w:val="20"/>
                <w:szCs w:val="20"/>
              </w:rPr>
              <w:t xml:space="preserve">No ceilings are issued </w:t>
            </w:r>
          </w:p>
          <w:p w14:paraId="46D68846" w14:textId="77777777" w:rsidR="007518E4" w:rsidRPr="00DC1379" w:rsidRDefault="007518E4" w:rsidP="00423BC8">
            <w:pPr>
              <w:spacing w:before="0"/>
              <w:ind w:left="0"/>
              <w:rPr>
                <w:sz w:val="20"/>
                <w:szCs w:val="20"/>
              </w:rPr>
            </w:pPr>
          </w:p>
          <w:p w14:paraId="2F36B2FB" w14:textId="77777777" w:rsidR="007518E4" w:rsidRPr="00DC1379" w:rsidRDefault="007518E4" w:rsidP="00423BC8">
            <w:pPr>
              <w:spacing w:before="0"/>
              <w:ind w:left="0"/>
              <w:rPr>
                <w:sz w:val="20"/>
                <w:szCs w:val="20"/>
              </w:rPr>
            </w:pPr>
            <w:r w:rsidRPr="00DC1379">
              <w:rPr>
                <w:sz w:val="20"/>
                <w:szCs w:val="20"/>
              </w:rPr>
              <w:t>Budget proposals are consolidated after a bottom up consultation process by sectors</w:t>
            </w:r>
            <w:r>
              <w:rPr>
                <w:sz w:val="20"/>
                <w:szCs w:val="20"/>
              </w:rPr>
              <w:t>.</w:t>
            </w:r>
          </w:p>
        </w:tc>
      </w:tr>
      <w:tr w:rsidR="007518E4" w:rsidRPr="00930334" w14:paraId="37EF217E" w14:textId="77777777" w:rsidTr="00374990">
        <w:tc>
          <w:tcPr>
            <w:tcW w:w="1403" w:type="dxa"/>
          </w:tcPr>
          <w:p w14:paraId="3B65D4FB" w14:textId="77777777" w:rsidR="007518E4" w:rsidRPr="00DC1379" w:rsidRDefault="007518E4" w:rsidP="00423BC8">
            <w:pPr>
              <w:spacing w:before="0"/>
              <w:ind w:left="0"/>
              <w:jc w:val="center"/>
              <w:rPr>
                <w:b/>
                <w:sz w:val="20"/>
                <w:szCs w:val="20"/>
              </w:rPr>
            </w:pPr>
            <w:r w:rsidRPr="00DC1379">
              <w:rPr>
                <w:b/>
                <w:sz w:val="20"/>
                <w:szCs w:val="20"/>
              </w:rPr>
              <w:t>NA First plenary session (April-July)</w:t>
            </w:r>
          </w:p>
        </w:tc>
        <w:tc>
          <w:tcPr>
            <w:tcW w:w="3296" w:type="dxa"/>
          </w:tcPr>
          <w:p w14:paraId="4CA87EB2" w14:textId="77777777" w:rsidR="007518E4" w:rsidRPr="00DC1379" w:rsidRDefault="007518E4" w:rsidP="00423BC8">
            <w:pPr>
              <w:spacing w:before="0"/>
              <w:ind w:left="0"/>
              <w:rPr>
                <w:sz w:val="20"/>
                <w:szCs w:val="20"/>
              </w:rPr>
            </w:pPr>
            <w:r w:rsidRPr="00DC1379">
              <w:rPr>
                <w:sz w:val="20"/>
                <w:szCs w:val="20"/>
              </w:rPr>
              <w:t xml:space="preserve">Aggregate budget plan (expenditure and revenue) is submitted to the National Assembly’s review and approval during the </w:t>
            </w:r>
            <w:r w:rsidRPr="00DC1379">
              <w:rPr>
                <w:b/>
                <w:sz w:val="20"/>
                <w:szCs w:val="20"/>
              </w:rPr>
              <w:t>first</w:t>
            </w:r>
            <w:r w:rsidRPr="00DC1379">
              <w:rPr>
                <w:sz w:val="20"/>
                <w:szCs w:val="20"/>
              </w:rPr>
              <w:t xml:space="preserve"> </w:t>
            </w:r>
            <w:r w:rsidRPr="00DC1379">
              <w:rPr>
                <w:b/>
                <w:sz w:val="20"/>
                <w:szCs w:val="20"/>
              </w:rPr>
              <w:t>plenary session</w:t>
            </w:r>
            <w:r w:rsidRPr="00DC1379">
              <w:rPr>
                <w:sz w:val="20"/>
                <w:szCs w:val="20"/>
              </w:rPr>
              <w:t xml:space="preserve"> (3-4 weeks).</w:t>
            </w:r>
          </w:p>
        </w:tc>
        <w:tc>
          <w:tcPr>
            <w:tcW w:w="4232" w:type="dxa"/>
          </w:tcPr>
          <w:p w14:paraId="77114083" w14:textId="77777777" w:rsidR="007518E4" w:rsidRDefault="007518E4" w:rsidP="00423BC8">
            <w:pPr>
              <w:spacing w:before="0"/>
              <w:ind w:left="0"/>
              <w:rPr>
                <w:sz w:val="20"/>
                <w:szCs w:val="20"/>
              </w:rPr>
            </w:pPr>
            <w:r w:rsidRPr="00DC1379">
              <w:rPr>
                <w:sz w:val="20"/>
                <w:szCs w:val="20"/>
              </w:rPr>
              <w:t xml:space="preserve">The calendar of the NA first plenary session varies and can be </w:t>
            </w:r>
            <w:r>
              <w:rPr>
                <w:sz w:val="20"/>
                <w:szCs w:val="20"/>
              </w:rPr>
              <w:t xml:space="preserve">conducted in April/May, giving </w:t>
            </w:r>
            <w:r w:rsidRPr="00DC1379">
              <w:rPr>
                <w:sz w:val="20"/>
                <w:szCs w:val="20"/>
              </w:rPr>
              <w:t xml:space="preserve">MoF limited lead time to prepare the aggregate budget plan. </w:t>
            </w:r>
          </w:p>
          <w:p w14:paraId="6BE4D73A" w14:textId="77777777" w:rsidR="007518E4" w:rsidRPr="00DC1379" w:rsidRDefault="007518E4" w:rsidP="00423BC8">
            <w:pPr>
              <w:spacing w:before="0"/>
              <w:ind w:left="0"/>
              <w:rPr>
                <w:sz w:val="20"/>
                <w:szCs w:val="20"/>
              </w:rPr>
            </w:pPr>
          </w:p>
          <w:p w14:paraId="4521ACCE" w14:textId="77777777" w:rsidR="007518E4" w:rsidRPr="00DC1379" w:rsidRDefault="007518E4" w:rsidP="00423BC8">
            <w:pPr>
              <w:spacing w:before="0"/>
              <w:ind w:left="0"/>
              <w:rPr>
                <w:sz w:val="20"/>
                <w:szCs w:val="20"/>
              </w:rPr>
            </w:pPr>
            <w:r w:rsidRPr="00DC1379">
              <w:rPr>
                <w:sz w:val="20"/>
                <w:szCs w:val="20"/>
              </w:rPr>
              <w:t>The aggregate budget plan covers CoA chapters 60 – 67 without ceilings or breakdown.</w:t>
            </w:r>
          </w:p>
        </w:tc>
      </w:tr>
      <w:tr w:rsidR="007518E4" w:rsidRPr="00930334" w14:paraId="13184702" w14:textId="77777777" w:rsidTr="00374990">
        <w:tc>
          <w:tcPr>
            <w:tcW w:w="1403" w:type="dxa"/>
            <w:vMerge w:val="restart"/>
          </w:tcPr>
          <w:p w14:paraId="6BE4C3A0" w14:textId="77777777" w:rsidR="007518E4" w:rsidRPr="00DC1379" w:rsidRDefault="007518E4" w:rsidP="00423BC8">
            <w:pPr>
              <w:spacing w:before="0"/>
              <w:ind w:left="0"/>
              <w:jc w:val="center"/>
              <w:rPr>
                <w:b/>
                <w:sz w:val="20"/>
                <w:szCs w:val="20"/>
              </w:rPr>
            </w:pPr>
            <w:r w:rsidRPr="00DC1379">
              <w:rPr>
                <w:b/>
                <w:sz w:val="20"/>
                <w:szCs w:val="20"/>
              </w:rPr>
              <w:t>June- July</w:t>
            </w:r>
          </w:p>
        </w:tc>
        <w:tc>
          <w:tcPr>
            <w:tcW w:w="3296" w:type="dxa"/>
          </w:tcPr>
          <w:p w14:paraId="4231BDB2" w14:textId="77777777" w:rsidR="007518E4" w:rsidRPr="00DC1379" w:rsidRDefault="007518E4" w:rsidP="00423BC8">
            <w:pPr>
              <w:spacing w:before="0"/>
              <w:ind w:left="0"/>
              <w:rPr>
                <w:b/>
                <w:sz w:val="20"/>
                <w:szCs w:val="20"/>
              </w:rPr>
            </w:pPr>
            <w:r w:rsidRPr="00DC1379">
              <w:rPr>
                <w:b/>
                <w:sz w:val="20"/>
                <w:szCs w:val="20"/>
              </w:rPr>
              <w:t xml:space="preserve">Ceilings to spending units and revision of the budget proposal: </w:t>
            </w:r>
          </w:p>
          <w:p w14:paraId="09473726" w14:textId="77777777" w:rsidR="007518E4" w:rsidRPr="00DC1379" w:rsidRDefault="007518E4" w:rsidP="00423BC8">
            <w:pPr>
              <w:spacing w:before="0"/>
              <w:ind w:left="0"/>
              <w:rPr>
                <w:sz w:val="20"/>
                <w:szCs w:val="20"/>
              </w:rPr>
            </w:pPr>
            <w:r w:rsidRPr="00DC1379">
              <w:rPr>
                <w:sz w:val="20"/>
                <w:szCs w:val="20"/>
              </w:rPr>
              <w:t>Once the aggregate budget plan has been approved by the NA, MoF notifies their allocations to the spending units.</w:t>
            </w:r>
          </w:p>
        </w:tc>
        <w:tc>
          <w:tcPr>
            <w:tcW w:w="4232" w:type="dxa"/>
          </w:tcPr>
          <w:p w14:paraId="0C1B6C59" w14:textId="77777777" w:rsidR="007518E4" w:rsidRPr="00DC1379" w:rsidRDefault="007518E4" w:rsidP="00423BC8">
            <w:pPr>
              <w:spacing w:before="0"/>
              <w:ind w:left="0"/>
              <w:rPr>
                <w:sz w:val="20"/>
                <w:szCs w:val="20"/>
              </w:rPr>
            </w:pPr>
            <w:r w:rsidRPr="00DC1379">
              <w:rPr>
                <w:sz w:val="20"/>
                <w:szCs w:val="20"/>
              </w:rPr>
              <w:t>Budget ceilings to the spending units are often not announced immediately after the approved aggregate budget plan and this delays the budget planning of the spending units.</w:t>
            </w:r>
          </w:p>
        </w:tc>
      </w:tr>
      <w:tr w:rsidR="007518E4" w:rsidRPr="00930334" w14:paraId="6EA90B98" w14:textId="77777777" w:rsidTr="00374990">
        <w:tc>
          <w:tcPr>
            <w:tcW w:w="1403" w:type="dxa"/>
            <w:vMerge/>
          </w:tcPr>
          <w:p w14:paraId="2568E5CE" w14:textId="77777777" w:rsidR="007518E4" w:rsidRPr="00DC1379" w:rsidRDefault="007518E4" w:rsidP="00423BC8">
            <w:pPr>
              <w:spacing w:before="0"/>
              <w:ind w:left="0"/>
              <w:jc w:val="center"/>
              <w:rPr>
                <w:b/>
                <w:sz w:val="20"/>
                <w:szCs w:val="20"/>
              </w:rPr>
            </w:pPr>
          </w:p>
        </w:tc>
        <w:tc>
          <w:tcPr>
            <w:tcW w:w="3296" w:type="dxa"/>
          </w:tcPr>
          <w:p w14:paraId="4444CDA7" w14:textId="77777777" w:rsidR="007518E4" w:rsidRPr="00DC1379" w:rsidRDefault="007518E4" w:rsidP="00423BC8">
            <w:pPr>
              <w:spacing w:before="0"/>
              <w:ind w:left="0"/>
              <w:rPr>
                <w:sz w:val="20"/>
                <w:szCs w:val="20"/>
              </w:rPr>
            </w:pPr>
            <w:r w:rsidRPr="00DC1379">
              <w:rPr>
                <w:sz w:val="20"/>
                <w:szCs w:val="20"/>
              </w:rPr>
              <w:t>Spending units revise their budget plans based on the notified allocations and submit their revised budget plan to the GoL/MoF.</w:t>
            </w:r>
          </w:p>
        </w:tc>
        <w:tc>
          <w:tcPr>
            <w:tcW w:w="4232" w:type="dxa"/>
          </w:tcPr>
          <w:p w14:paraId="1E9253E4" w14:textId="77777777" w:rsidR="007518E4" w:rsidRPr="00DC1379" w:rsidRDefault="007518E4" w:rsidP="00423BC8">
            <w:pPr>
              <w:spacing w:before="0"/>
              <w:ind w:left="0"/>
              <w:rPr>
                <w:sz w:val="20"/>
                <w:szCs w:val="20"/>
              </w:rPr>
            </w:pPr>
            <w:r w:rsidRPr="00DC1379">
              <w:rPr>
                <w:sz w:val="20"/>
                <w:szCs w:val="20"/>
              </w:rPr>
              <w:t>In practice the spending units have around two weeks from the confirmation of the budget ceilings to submit their final submission.</w:t>
            </w:r>
          </w:p>
        </w:tc>
      </w:tr>
      <w:tr w:rsidR="007518E4" w:rsidRPr="00930334" w14:paraId="6D61F228" w14:textId="77777777" w:rsidTr="00374990">
        <w:tc>
          <w:tcPr>
            <w:tcW w:w="1403" w:type="dxa"/>
            <w:vMerge/>
          </w:tcPr>
          <w:p w14:paraId="662EC824" w14:textId="77777777" w:rsidR="007518E4" w:rsidRPr="00DC1379" w:rsidRDefault="007518E4" w:rsidP="00423BC8">
            <w:pPr>
              <w:spacing w:before="0"/>
              <w:ind w:left="0"/>
              <w:jc w:val="center"/>
              <w:rPr>
                <w:b/>
                <w:sz w:val="20"/>
                <w:szCs w:val="20"/>
              </w:rPr>
            </w:pPr>
          </w:p>
        </w:tc>
        <w:tc>
          <w:tcPr>
            <w:tcW w:w="3296" w:type="dxa"/>
          </w:tcPr>
          <w:p w14:paraId="2BC10C15" w14:textId="77777777" w:rsidR="007518E4" w:rsidRPr="00DC1379" w:rsidRDefault="007518E4" w:rsidP="00423BC8">
            <w:pPr>
              <w:spacing w:before="0" w:line="259" w:lineRule="auto"/>
              <w:ind w:left="0"/>
              <w:rPr>
                <w:b/>
                <w:sz w:val="20"/>
                <w:szCs w:val="20"/>
              </w:rPr>
            </w:pPr>
            <w:r w:rsidRPr="00DC1379">
              <w:rPr>
                <w:b/>
                <w:sz w:val="20"/>
                <w:szCs w:val="20"/>
              </w:rPr>
              <w:t>Capital budget:</w:t>
            </w:r>
          </w:p>
          <w:p w14:paraId="27F956E6" w14:textId="77777777" w:rsidR="007518E4" w:rsidRPr="00DC1379" w:rsidRDefault="007518E4" w:rsidP="00423BC8">
            <w:pPr>
              <w:spacing w:before="0"/>
              <w:ind w:left="0"/>
              <w:rPr>
                <w:sz w:val="20"/>
                <w:szCs w:val="20"/>
              </w:rPr>
            </w:pPr>
            <w:r w:rsidRPr="00DC1379">
              <w:rPr>
                <w:sz w:val="20"/>
                <w:szCs w:val="20"/>
              </w:rPr>
              <w:t xml:space="preserve">MPI then determines the allocations of the province capital budget ceilings for each of the 18 provinces, which are communicated to provinces as a preliminary indication and loosely based on the criteria indicated in the PIL (population, area, remoteness, and poverty levels), but also in view of different provincial investment plan targets and requirements. </w:t>
            </w:r>
          </w:p>
        </w:tc>
        <w:tc>
          <w:tcPr>
            <w:tcW w:w="4232" w:type="dxa"/>
          </w:tcPr>
          <w:p w14:paraId="23878428" w14:textId="77777777" w:rsidR="007518E4" w:rsidRDefault="007518E4" w:rsidP="00423BC8">
            <w:pPr>
              <w:spacing w:before="0"/>
              <w:ind w:left="0"/>
              <w:rPr>
                <w:sz w:val="20"/>
                <w:szCs w:val="20"/>
              </w:rPr>
            </w:pPr>
            <w:r w:rsidRPr="00DC1379">
              <w:rPr>
                <w:sz w:val="20"/>
                <w:szCs w:val="20"/>
              </w:rPr>
              <w:t xml:space="preserve">There is no specific allocation formula although year-to-year capital allocations to individual provinces appear to be consistent in last three years. </w:t>
            </w:r>
          </w:p>
          <w:p w14:paraId="20E5BAC4" w14:textId="77777777" w:rsidR="007518E4" w:rsidRPr="00DC1379" w:rsidRDefault="007518E4" w:rsidP="00423BC8">
            <w:pPr>
              <w:spacing w:before="0"/>
              <w:ind w:left="0"/>
              <w:rPr>
                <w:sz w:val="20"/>
                <w:szCs w:val="20"/>
              </w:rPr>
            </w:pPr>
          </w:p>
          <w:p w14:paraId="283AA894" w14:textId="77777777" w:rsidR="007518E4" w:rsidRPr="00DC1379" w:rsidRDefault="007518E4" w:rsidP="00423BC8">
            <w:pPr>
              <w:spacing w:before="0"/>
              <w:ind w:left="0"/>
              <w:rPr>
                <w:sz w:val="20"/>
                <w:szCs w:val="20"/>
              </w:rPr>
            </w:pPr>
            <w:r w:rsidRPr="00DC1379">
              <w:rPr>
                <w:sz w:val="20"/>
                <w:szCs w:val="20"/>
              </w:rPr>
              <w:t>PIL stipulates that within each province capital budget allocation, 35 percent is earmarked for type V investments which can be approved at province level; the remaining 65 percent is for larger investments which require approval by MPI and the NA.</w:t>
            </w:r>
          </w:p>
        </w:tc>
      </w:tr>
      <w:tr w:rsidR="007518E4" w:rsidRPr="00930334" w14:paraId="7943D578" w14:textId="77777777" w:rsidTr="00374990">
        <w:trPr>
          <w:trHeight w:val="1583"/>
        </w:trPr>
        <w:tc>
          <w:tcPr>
            <w:tcW w:w="1403" w:type="dxa"/>
          </w:tcPr>
          <w:p w14:paraId="6193D1CE" w14:textId="77777777" w:rsidR="007518E4" w:rsidRPr="00DC1379" w:rsidRDefault="007518E4" w:rsidP="00423BC8">
            <w:pPr>
              <w:spacing w:before="0"/>
              <w:ind w:left="0"/>
              <w:jc w:val="center"/>
              <w:rPr>
                <w:b/>
                <w:sz w:val="20"/>
                <w:szCs w:val="20"/>
              </w:rPr>
            </w:pPr>
            <w:r w:rsidRPr="00DC1379">
              <w:rPr>
                <w:b/>
                <w:sz w:val="20"/>
                <w:szCs w:val="20"/>
              </w:rPr>
              <w:t>July -September</w:t>
            </w:r>
          </w:p>
        </w:tc>
        <w:tc>
          <w:tcPr>
            <w:tcW w:w="3296" w:type="dxa"/>
          </w:tcPr>
          <w:p w14:paraId="7EE4AD9D" w14:textId="77777777" w:rsidR="007518E4" w:rsidRPr="00DC1379" w:rsidRDefault="007518E4" w:rsidP="00423BC8">
            <w:pPr>
              <w:spacing w:before="0"/>
              <w:ind w:left="0"/>
              <w:rPr>
                <w:b/>
                <w:sz w:val="20"/>
                <w:szCs w:val="20"/>
              </w:rPr>
            </w:pPr>
            <w:r w:rsidRPr="00DC1379">
              <w:rPr>
                <w:b/>
                <w:sz w:val="20"/>
                <w:szCs w:val="20"/>
              </w:rPr>
              <w:t>Consolidated State Budget Plan:</w:t>
            </w:r>
          </w:p>
          <w:p w14:paraId="25E561D0" w14:textId="77777777" w:rsidR="007518E4" w:rsidRPr="00DC1379" w:rsidRDefault="007518E4" w:rsidP="00423BC8">
            <w:pPr>
              <w:spacing w:before="0"/>
              <w:ind w:left="0"/>
              <w:rPr>
                <w:sz w:val="20"/>
                <w:szCs w:val="20"/>
              </w:rPr>
            </w:pPr>
            <w:r w:rsidRPr="00DC1379">
              <w:rPr>
                <w:sz w:val="20"/>
                <w:szCs w:val="20"/>
              </w:rPr>
              <w:t>MoF Budget department reviews and consolidates the budget proposals into the State budget plan and submits the draft state budget plan to the government for consideration.</w:t>
            </w:r>
          </w:p>
        </w:tc>
        <w:tc>
          <w:tcPr>
            <w:tcW w:w="4232" w:type="dxa"/>
          </w:tcPr>
          <w:p w14:paraId="6BE6331D" w14:textId="77777777" w:rsidR="007518E4" w:rsidRPr="00DC1379" w:rsidRDefault="007518E4" w:rsidP="00423BC8">
            <w:pPr>
              <w:spacing w:before="0"/>
              <w:ind w:left="0"/>
              <w:rPr>
                <w:sz w:val="20"/>
                <w:szCs w:val="20"/>
              </w:rPr>
            </w:pPr>
            <w:r w:rsidRPr="00DC1379">
              <w:rPr>
                <w:sz w:val="20"/>
                <w:szCs w:val="20"/>
              </w:rPr>
              <w:t>Analytical skills and detailed understanding of the sectors are limited resulting in uninformed budget adjustments or cuts</w:t>
            </w:r>
          </w:p>
        </w:tc>
      </w:tr>
      <w:tr w:rsidR="007518E4" w:rsidRPr="00930334" w14:paraId="5ACB13BC" w14:textId="77777777" w:rsidTr="00374990">
        <w:tc>
          <w:tcPr>
            <w:tcW w:w="1403" w:type="dxa"/>
          </w:tcPr>
          <w:p w14:paraId="3A615933" w14:textId="77777777" w:rsidR="007518E4" w:rsidRPr="00DC1379" w:rsidRDefault="007518E4" w:rsidP="00423BC8">
            <w:pPr>
              <w:spacing w:before="0"/>
              <w:ind w:left="0"/>
              <w:jc w:val="center"/>
              <w:rPr>
                <w:b/>
                <w:sz w:val="20"/>
                <w:szCs w:val="20"/>
              </w:rPr>
            </w:pPr>
            <w:r w:rsidRPr="00DC1379">
              <w:rPr>
                <w:b/>
                <w:sz w:val="20"/>
                <w:szCs w:val="20"/>
              </w:rPr>
              <w:t xml:space="preserve">By October </w:t>
            </w:r>
          </w:p>
        </w:tc>
        <w:tc>
          <w:tcPr>
            <w:tcW w:w="3296" w:type="dxa"/>
          </w:tcPr>
          <w:p w14:paraId="43A7D610" w14:textId="77777777" w:rsidR="007518E4" w:rsidRPr="00DC1379" w:rsidRDefault="007518E4" w:rsidP="00423BC8">
            <w:pPr>
              <w:spacing w:before="0"/>
              <w:ind w:left="0"/>
              <w:rPr>
                <w:b/>
                <w:sz w:val="20"/>
                <w:szCs w:val="20"/>
              </w:rPr>
            </w:pPr>
            <w:r w:rsidRPr="00DC1379">
              <w:rPr>
                <w:b/>
                <w:sz w:val="20"/>
                <w:szCs w:val="20"/>
              </w:rPr>
              <w:t>PIP submission:</w:t>
            </w:r>
          </w:p>
          <w:p w14:paraId="18CC0A2B" w14:textId="77777777" w:rsidR="007518E4" w:rsidRPr="00DC1379" w:rsidRDefault="007518E4" w:rsidP="00423BC8">
            <w:pPr>
              <w:spacing w:before="0"/>
              <w:ind w:left="0"/>
              <w:rPr>
                <w:sz w:val="20"/>
                <w:szCs w:val="20"/>
              </w:rPr>
            </w:pPr>
            <w:r w:rsidRPr="00DC1379">
              <w:rPr>
                <w:sz w:val="20"/>
                <w:szCs w:val="20"/>
              </w:rPr>
              <w:t>MPI submits the proposed PIP allocations into the overall State Budget proposal to the NA.</w:t>
            </w:r>
          </w:p>
        </w:tc>
        <w:tc>
          <w:tcPr>
            <w:tcW w:w="4232" w:type="dxa"/>
          </w:tcPr>
          <w:p w14:paraId="66AECBBE" w14:textId="77777777" w:rsidR="007518E4" w:rsidRPr="00DC1379" w:rsidRDefault="007518E4" w:rsidP="00423BC8">
            <w:pPr>
              <w:spacing w:before="0"/>
              <w:ind w:left="0"/>
              <w:rPr>
                <w:sz w:val="20"/>
                <w:szCs w:val="20"/>
              </w:rPr>
            </w:pPr>
          </w:p>
        </w:tc>
      </w:tr>
      <w:tr w:rsidR="007518E4" w:rsidRPr="00930334" w14:paraId="5FAF3322" w14:textId="77777777" w:rsidTr="00374990">
        <w:tc>
          <w:tcPr>
            <w:tcW w:w="1403" w:type="dxa"/>
            <w:vMerge w:val="restart"/>
          </w:tcPr>
          <w:p w14:paraId="3BC0F9B9" w14:textId="77777777" w:rsidR="007518E4" w:rsidRPr="00DC1379" w:rsidRDefault="007518E4" w:rsidP="00423BC8">
            <w:pPr>
              <w:spacing w:before="0"/>
              <w:ind w:left="0"/>
              <w:jc w:val="center"/>
              <w:rPr>
                <w:b/>
                <w:sz w:val="20"/>
                <w:szCs w:val="20"/>
              </w:rPr>
            </w:pPr>
            <w:r w:rsidRPr="00DC1379">
              <w:rPr>
                <w:b/>
                <w:sz w:val="20"/>
                <w:szCs w:val="20"/>
              </w:rPr>
              <w:lastRenderedPageBreak/>
              <w:t xml:space="preserve">November -December </w:t>
            </w:r>
          </w:p>
        </w:tc>
        <w:tc>
          <w:tcPr>
            <w:tcW w:w="3296" w:type="dxa"/>
          </w:tcPr>
          <w:p w14:paraId="753913A8" w14:textId="77777777" w:rsidR="007518E4" w:rsidRPr="00DC1379" w:rsidRDefault="007518E4" w:rsidP="00423BC8">
            <w:pPr>
              <w:spacing w:before="0"/>
              <w:ind w:left="0"/>
              <w:rPr>
                <w:b/>
                <w:sz w:val="20"/>
                <w:szCs w:val="20"/>
              </w:rPr>
            </w:pPr>
            <w:r w:rsidRPr="00DC1379">
              <w:rPr>
                <w:b/>
                <w:sz w:val="20"/>
                <w:szCs w:val="20"/>
              </w:rPr>
              <w:t>State Budget Approval:</w:t>
            </w:r>
          </w:p>
          <w:p w14:paraId="29B411FD" w14:textId="77777777" w:rsidR="007518E4" w:rsidRPr="00DC1379" w:rsidRDefault="007518E4" w:rsidP="00423BC8">
            <w:pPr>
              <w:spacing w:before="0"/>
              <w:ind w:left="0"/>
              <w:rPr>
                <w:sz w:val="20"/>
                <w:szCs w:val="20"/>
              </w:rPr>
            </w:pPr>
            <w:r w:rsidRPr="00DC1379">
              <w:rPr>
                <w:sz w:val="20"/>
                <w:szCs w:val="20"/>
              </w:rPr>
              <w:t xml:space="preserve">The Government reviews and officially submits the draft State budget plan to the National Assembly for consideration and approval, twenty to fifteen days prior to the </w:t>
            </w:r>
            <w:r w:rsidRPr="00DC1379">
              <w:rPr>
                <w:b/>
                <w:sz w:val="20"/>
                <w:szCs w:val="20"/>
              </w:rPr>
              <w:t>second plenary session</w:t>
            </w:r>
            <w:r w:rsidRPr="00DC1379">
              <w:rPr>
                <w:sz w:val="20"/>
                <w:szCs w:val="20"/>
              </w:rPr>
              <w:t xml:space="preserve"> of the National Assembly (3-4 weeks).</w:t>
            </w:r>
          </w:p>
        </w:tc>
        <w:tc>
          <w:tcPr>
            <w:tcW w:w="4232" w:type="dxa"/>
          </w:tcPr>
          <w:p w14:paraId="7C22D76C" w14:textId="77777777" w:rsidR="007518E4" w:rsidRPr="00DC1379" w:rsidRDefault="007518E4" w:rsidP="00423BC8">
            <w:pPr>
              <w:spacing w:before="0"/>
              <w:ind w:left="0"/>
              <w:rPr>
                <w:sz w:val="20"/>
                <w:szCs w:val="20"/>
              </w:rPr>
            </w:pPr>
            <w:r w:rsidRPr="00DC1379">
              <w:rPr>
                <w:sz w:val="20"/>
                <w:szCs w:val="20"/>
              </w:rPr>
              <w:t>The budget submission is very aggregate and includes no details of the district, department budgets and no comparison with previous years or projections.</w:t>
            </w:r>
          </w:p>
        </w:tc>
      </w:tr>
      <w:tr w:rsidR="007518E4" w:rsidRPr="00930334" w14:paraId="3DFD8061" w14:textId="77777777" w:rsidTr="00374990">
        <w:tc>
          <w:tcPr>
            <w:tcW w:w="1403" w:type="dxa"/>
            <w:vMerge/>
          </w:tcPr>
          <w:p w14:paraId="5F498494" w14:textId="77777777" w:rsidR="007518E4" w:rsidRPr="00DC1379" w:rsidRDefault="007518E4" w:rsidP="00423BC8">
            <w:pPr>
              <w:spacing w:before="0"/>
              <w:ind w:left="0"/>
              <w:jc w:val="center"/>
              <w:rPr>
                <w:b/>
                <w:sz w:val="20"/>
                <w:szCs w:val="20"/>
              </w:rPr>
            </w:pPr>
          </w:p>
        </w:tc>
        <w:tc>
          <w:tcPr>
            <w:tcW w:w="3296" w:type="dxa"/>
          </w:tcPr>
          <w:p w14:paraId="22700AD1" w14:textId="77777777" w:rsidR="007518E4" w:rsidRPr="00DC1379" w:rsidRDefault="007518E4" w:rsidP="00423BC8">
            <w:pPr>
              <w:spacing w:before="0"/>
              <w:ind w:left="0"/>
              <w:rPr>
                <w:sz w:val="20"/>
                <w:szCs w:val="20"/>
              </w:rPr>
            </w:pPr>
            <w:r w:rsidRPr="00DC1379">
              <w:rPr>
                <w:sz w:val="20"/>
                <w:szCs w:val="20"/>
              </w:rPr>
              <w:t>The Minister of Finance notifies the localities the budget ceilings within fifteen days after the National Assembly’s approval.</w:t>
            </w:r>
          </w:p>
        </w:tc>
        <w:tc>
          <w:tcPr>
            <w:tcW w:w="4232" w:type="dxa"/>
          </w:tcPr>
          <w:p w14:paraId="3F5BC0BA" w14:textId="77777777" w:rsidR="007518E4" w:rsidRPr="00DC1379" w:rsidRDefault="007518E4" w:rsidP="00423BC8">
            <w:pPr>
              <w:spacing w:before="0"/>
              <w:ind w:left="0"/>
              <w:rPr>
                <w:sz w:val="20"/>
                <w:szCs w:val="20"/>
              </w:rPr>
            </w:pPr>
          </w:p>
        </w:tc>
      </w:tr>
      <w:tr w:rsidR="007518E4" w:rsidRPr="00930334" w14:paraId="5A2BE9BC" w14:textId="77777777" w:rsidTr="00374990">
        <w:tc>
          <w:tcPr>
            <w:tcW w:w="1403" w:type="dxa"/>
            <w:vMerge/>
          </w:tcPr>
          <w:p w14:paraId="4132D6CA" w14:textId="77777777" w:rsidR="007518E4" w:rsidRPr="00DC1379" w:rsidRDefault="007518E4" w:rsidP="00423BC8">
            <w:pPr>
              <w:spacing w:before="0"/>
              <w:ind w:left="0"/>
              <w:jc w:val="center"/>
              <w:rPr>
                <w:b/>
                <w:sz w:val="20"/>
                <w:szCs w:val="20"/>
              </w:rPr>
            </w:pPr>
          </w:p>
        </w:tc>
        <w:tc>
          <w:tcPr>
            <w:tcW w:w="3296" w:type="dxa"/>
          </w:tcPr>
          <w:p w14:paraId="5666DD25" w14:textId="77777777" w:rsidR="007518E4" w:rsidRPr="00DC1379" w:rsidRDefault="007518E4" w:rsidP="00374990">
            <w:pPr>
              <w:spacing w:before="0"/>
              <w:ind w:left="0"/>
              <w:jc w:val="left"/>
              <w:rPr>
                <w:sz w:val="20"/>
                <w:szCs w:val="20"/>
              </w:rPr>
            </w:pPr>
            <w:r w:rsidRPr="00DC1379">
              <w:rPr>
                <w:sz w:val="20"/>
                <w:szCs w:val="20"/>
              </w:rPr>
              <w:t xml:space="preserve">After NA approval, MPI communicates the approved investment budget ceiling to the provinces.  </w:t>
            </w:r>
          </w:p>
        </w:tc>
        <w:tc>
          <w:tcPr>
            <w:tcW w:w="4232" w:type="dxa"/>
          </w:tcPr>
          <w:p w14:paraId="433EC582" w14:textId="77777777" w:rsidR="007518E4" w:rsidRPr="00DC1379" w:rsidRDefault="007518E4" w:rsidP="00423BC8">
            <w:pPr>
              <w:spacing w:before="0"/>
              <w:ind w:left="0"/>
              <w:rPr>
                <w:sz w:val="20"/>
                <w:szCs w:val="20"/>
              </w:rPr>
            </w:pPr>
          </w:p>
        </w:tc>
      </w:tr>
      <w:tr w:rsidR="007518E4" w:rsidRPr="00930334" w14:paraId="0F2532A9" w14:textId="77777777" w:rsidTr="00374990">
        <w:tc>
          <w:tcPr>
            <w:tcW w:w="1403" w:type="dxa"/>
            <w:vMerge/>
          </w:tcPr>
          <w:p w14:paraId="61B2C582" w14:textId="77777777" w:rsidR="007518E4" w:rsidRPr="00DC1379" w:rsidRDefault="007518E4" w:rsidP="00423BC8">
            <w:pPr>
              <w:spacing w:before="0"/>
              <w:ind w:left="0"/>
              <w:jc w:val="center"/>
              <w:rPr>
                <w:b/>
                <w:sz w:val="20"/>
                <w:szCs w:val="20"/>
              </w:rPr>
            </w:pPr>
          </w:p>
        </w:tc>
        <w:tc>
          <w:tcPr>
            <w:tcW w:w="3296" w:type="dxa"/>
          </w:tcPr>
          <w:p w14:paraId="225001DE" w14:textId="77777777" w:rsidR="007518E4" w:rsidRPr="00DC1379" w:rsidRDefault="007518E4" w:rsidP="00423BC8">
            <w:pPr>
              <w:spacing w:before="0"/>
              <w:ind w:left="0"/>
              <w:rPr>
                <w:sz w:val="20"/>
                <w:szCs w:val="20"/>
              </w:rPr>
            </w:pPr>
            <w:r w:rsidRPr="00DC1379">
              <w:rPr>
                <w:sz w:val="20"/>
                <w:szCs w:val="20"/>
              </w:rPr>
              <w:t>State and other concerned organizations at the local level in collaboration with concerned sectors make detailed allocations and propose them to the provincial governors or Capital city mayor for further submission to the Local Assemblies’ consideration and approval and then to the ministry of finance for consolidation.</w:t>
            </w:r>
          </w:p>
        </w:tc>
        <w:tc>
          <w:tcPr>
            <w:tcW w:w="4232" w:type="dxa"/>
          </w:tcPr>
          <w:p w14:paraId="72645BDD" w14:textId="77777777" w:rsidR="007518E4" w:rsidRPr="00DC1379" w:rsidRDefault="007518E4" w:rsidP="00423BC8">
            <w:pPr>
              <w:spacing w:before="0"/>
              <w:ind w:left="0"/>
              <w:jc w:val="left"/>
              <w:rPr>
                <w:sz w:val="20"/>
                <w:szCs w:val="20"/>
              </w:rPr>
            </w:pPr>
            <w:r w:rsidRPr="00DC1379">
              <w:rPr>
                <w:sz w:val="20"/>
                <w:szCs w:val="20"/>
              </w:rPr>
              <w:t>The Local Assemblies’ session is often conducted after the start of the new fiscal year resulting in delay in consolidating detailed provincial budget plan (including district and functional department budgets).</w:t>
            </w:r>
          </w:p>
        </w:tc>
      </w:tr>
      <w:tr w:rsidR="007518E4" w:rsidRPr="00930334" w14:paraId="6275C935" w14:textId="77777777" w:rsidTr="00374990">
        <w:tc>
          <w:tcPr>
            <w:tcW w:w="1403" w:type="dxa"/>
          </w:tcPr>
          <w:p w14:paraId="21153D29" w14:textId="77777777" w:rsidR="007518E4" w:rsidRPr="00DC1379" w:rsidRDefault="007518E4" w:rsidP="00423BC8">
            <w:pPr>
              <w:spacing w:before="0"/>
              <w:ind w:left="0"/>
              <w:jc w:val="center"/>
              <w:rPr>
                <w:b/>
                <w:sz w:val="20"/>
                <w:szCs w:val="20"/>
              </w:rPr>
            </w:pPr>
            <w:r w:rsidRPr="00DC1379">
              <w:rPr>
                <w:b/>
                <w:sz w:val="20"/>
                <w:szCs w:val="20"/>
              </w:rPr>
              <w:t>December onward</w:t>
            </w:r>
          </w:p>
        </w:tc>
        <w:tc>
          <w:tcPr>
            <w:tcW w:w="3296" w:type="dxa"/>
          </w:tcPr>
          <w:p w14:paraId="46D81779" w14:textId="77777777" w:rsidR="007518E4" w:rsidRPr="00DC1379" w:rsidRDefault="007518E4" w:rsidP="00423BC8">
            <w:pPr>
              <w:spacing w:before="0"/>
              <w:ind w:left="0"/>
              <w:rPr>
                <w:sz w:val="20"/>
                <w:szCs w:val="20"/>
              </w:rPr>
            </w:pPr>
            <w:r w:rsidRPr="00DC1379">
              <w:rPr>
                <w:sz w:val="20"/>
                <w:szCs w:val="20"/>
              </w:rPr>
              <w:t>Finally, the Ministry of Finance consolidates and reports the State budget plan to the Government.</w:t>
            </w:r>
          </w:p>
        </w:tc>
        <w:tc>
          <w:tcPr>
            <w:tcW w:w="4232" w:type="dxa"/>
          </w:tcPr>
          <w:p w14:paraId="6B096508" w14:textId="77777777" w:rsidR="007518E4" w:rsidRPr="00DC1379" w:rsidRDefault="007518E4" w:rsidP="00423BC8">
            <w:pPr>
              <w:spacing w:before="0"/>
              <w:ind w:left="0"/>
              <w:rPr>
                <w:sz w:val="20"/>
                <w:szCs w:val="20"/>
              </w:rPr>
            </w:pPr>
            <w:r w:rsidRPr="00DC1379">
              <w:rPr>
                <w:sz w:val="20"/>
                <w:szCs w:val="20"/>
              </w:rPr>
              <w:t>The consolidated budget plan with detailed allocation at sectoral level can only be produced and circulated several months after the start of the fiscal year (FY18 Budget Plan was published in August 2018).</w:t>
            </w:r>
          </w:p>
        </w:tc>
      </w:tr>
    </w:tbl>
    <w:p w14:paraId="5BB4E645" w14:textId="77777777" w:rsidR="007518E4" w:rsidRPr="00DC1379" w:rsidRDefault="007518E4" w:rsidP="00AB3A56">
      <w:pPr>
        <w:pStyle w:val="ListParagraph"/>
        <w:autoSpaceDE w:val="0"/>
        <w:autoSpaceDN w:val="0"/>
        <w:adjustRightInd w:val="0"/>
        <w:spacing w:before="0" w:after="240"/>
        <w:ind w:left="0"/>
        <w:contextualSpacing w:val="0"/>
        <w:rPr>
          <w:rFonts w:ascii="Times New Roman" w:hAnsi="Times New Roman"/>
          <w:sz w:val="20"/>
          <w:szCs w:val="20"/>
        </w:rPr>
      </w:pPr>
      <w:r w:rsidRPr="00DC1379">
        <w:rPr>
          <w:rFonts w:ascii="Times New Roman" w:hAnsi="Times New Roman"/>
          <w:sz w:val="20"/>
          <w:szCs w:val="20"/>
        </w:rPr>
        <w:t xml:space="preserve">Source: SBL, Budget Department, 2018 State Budget circular 2168/17 dated 27 June 2017, interviews with </w:t>
      </w:r>
      <w:proofErr w:type="spellStart"/>
      <w:r w:rsidRPr="00DC1379">
        <w:rPr>
          <w:rFonts w:ascii="Times New Roman" w:hAnsi="Times New Roman"/>
          <w:sz w:val="20"/>
          <w:szCs w:val="20"/>
        </w:rPr>
        <w:t>MoE</w:t>
      </w:r>
      <w:proofErr w:type="spellEnd"/>
      <w:r w:rsidRPr="00DC1379">
        <w:rPr>
          <w:rFonts w:ascii="Times New Roman" w:hAnsi="Times New Roman"/>
          <w:sz w:val="20"/>
          <w:szCs w:val="20"/>
        </w:rPr>
        <w:t xml:space="preserve">, </w:t>
      </w:r>
      <w:proofErr w:type="spellStart"/>
      <w:r w:rsidRPr="00DC1379">
        <w:rPr>
          <w:rFonts w:ascii="Times New Roman" w:hAnsi="Times New Roman"/>
          <w:sz w:val="20"/>
          <w:szCs w:val="20"/>
        </w:rPr>
        <w:t>MoH</w:t>
      </w:r>
      <w:proofErr w:type="spellEnd"/>
      <w:r w:rsidRPr="00DC1379">
        <w:rPr>
          <w:rFonts w:ascii="Times New Roman" w:hAnsi="Times New Roman"/>
          <w:sz w:val="20"/>
          <w:szCs w:val="20"/>
        </w:rPr>
        <w:t xml:space="preserve"> and </w:t>
      </w:r>
      <w:proofErr w:type="spellStart"/>
      <w:r w:rsidRPr="00DC1379">
        <w:rPr>
          <w:rFonts w:ascii="Times New Roman" w:hAnsi="Times New Roman"/>
          <w:sz w:val="20"/>
          <w:szCs w:val="20"/>
        </w:rPr>
        <w:t>MoPW</w:t>
      </w:r>
      <w:proofErr w:type="spellEnd"/>
      <w:r w:rsidRPr="00DC1379">
        <w:rPr>
          <w:rFonts w:ascii="Times New Roman" w:hAnsi="Times New Roman"/>
          <w:sz w:val="20"/>
          <w:szCs w:val="20"/>
        </w:rPr>
        <w:t xml:space="preserve"> Finance departments.</w:t>
      </w:r>
    </w:p>
    <w:p w14:paraId="45F2D41C" w14:textId="77777777" w:rsidR="007518E4" w:rsidRPr="00F425EC" w:rsidRDefault="007518E4" w:rsidP="008037D9">
      <w:pPr>
        <w:pStyle w:val="ListParagraph"/>
        <w:numPr>
          <w:ilvl w:val="0"/>
          <w:numId w:val="58"/>
        </w:numPr>
        <w:spacing w:after="240"/>
        <w:rPr>
          <w:rFonts w:ascii="Times New Roman" w:eastAsia="ヒラギノ角ゴ Pro W3" w:hAnsi="Times New Roman"/>
          <w:color w:val="000000"/>
          <w:sz w:val="24"/>
          <w:lang w:eastAsia="en-IN"/>
        </w:rPr>
      </w:pPr>
      <w:r w:rsidRPr="00AB3A56">
        <w:rPr>
          <w:rFonts w:ascii="Times New Roman" w:eastAsia="ヒラギノ角ゴ Pro W3" w:hAnsi="Times New Roman"/>
          <w:b/>
          <w:color w:val="000000"/>
          <w:sz w:val="24"/>
          <w:lang w:eastAsia="en-IN"/>
        </w:rPr>
        <w:t>The SBL established a broad budget calendar with steps that are generally adhered to</w:t>
      </w:r>
      <w:r w:rsidRPr="00F425EC">
        <w:rPr>
          <w:rFonts w:ascii="Times New Roman" w:eastAsia="ヒラギノ角ゴ Pro W3" w:hAnsi="Times New Roman"/>
          <w:color w:val="000000"/>
          <w:sz w:val="24"/>
          <w:lang w:eastAsia="en-IN"/>
        </w:rPr>
        <w:t>. However</w:t>
      </w:r>
      <w:r w:rsidR="00921730">
        <w:rPr>
          <w:rFonts w:ascii="Times New Roman" w:eastAsia="ヒラギノ角ゴ Pro W3" w:hAnsi="Times New Roman"/>
          <w:color w:val="000000"/>
          <w:sz w:val="24"/>
          <w:lang w:eastAsia="en-IN"/>
        </w:rPr>
        <w:t>,</w:t>
      </w:r>
      <w:r w:rsidRPr="00F425EC">
        <w:rPr>
          <w:rFonts w:ascii="Times New Roman" w:eastAsia="ヒラギノ角ゴ Pro W3" w:hAnsi="Times New Roman"/>
          <w:color w:val="000000"/>
          <w:sz w:val="24"/>
          <w:lang w:eastAsia="en-IN"/>
        </w:rPr>
        <w:t xml:space="preserve"> in practice spending units have around two weeks to prepare their budget proposals and estimates after receipt of the budget instructions and respective ceilings: Score C.</w:t>
      </w:r>
    </w:p>
    <w:p w14:paraId="0FC0175B" w14:textId="77777777" w:rsidR="007518E4" w:rsidRPr="00FE6ED4" w:rsidRDefault="007518E4" w:rsidP="00AB3A56">
      <w:pPr>
        <w:spacing w:after="240"/>
        <w:ind w:left="0"/>
        <w:rPr>
          <w:rFonts w:ascii="Times New Roman" w:eastAsia="Calibri" w:hAnsi="Times New Roman"/>
          <w:b/>
          <w:bCs/>
          <w:color w:val="F06322"/>
          <w:spacing w:val="-1"/>
          <w:sz w:val="24"/>
        </w:rPr>
      </w:pPr>
      <w:r w:rsidRPr="00FE6ED4">
        <w:rPr>
          <w:rFonts w:ascii="Times New Roman" w:eastAsia="Calibri" w:hAnsi="Times New Roman"/>
          <w:b/>
          <w:bCs/>
          <w:color w:val="F06322"/>
          <w:spacing w:val="-1"/>
          <w:sz w:val="24"/>
        </w:rPr>
        <w:t xml:space="preserve">17.2. Guidance on </w:t>
      </w:r>
      <w:r>
        <w:rPr>
          <w:rFonts w:ascii="Times New Roman" w:eastAsia="Calibri" w:hAnsi="Times New Roman"/>
          <w:b/>
          <w:bCs/>
          <w:color w:val="F06322"/>
          <w:spacing w:val="-1"/>
          <w:sz w:val="24"/>
        </w:rPr>
        <w:t>b</w:t>
      </w:r>
      <w:r w:rsidRPr="00FE6ED4">
        <w:rPr>
          <w:rFonts w:ascii="Times New Roman" w:eastAsia="Calibri" w:hAnsi="Times New Roman"/>
          <w:b/>
          <w:bCs/>
          <w:color w:val="F06322"/>
          <w:spacing w:val="-1"/>
          <w:sz w:val="24"/>
        </w:rPr>
        <w:t xml:space="preserve">udget </w:t>
      </w:r>
      <w:r>
        <w:rPr>
          <w:rFonts w:ascii="Times New Roman" w:eastAsia="Calibri" w:hAnsi="Times New Roman"/>
          <w:b/>
          <w:bCs/>
          <w:color w:val="F06322"/>
          <w:spacing w:val="-1"/>
          <w:sz w:val="24"/>
        </w:rPr>
        <w:t>p</w:t>
      </w:r>
      <w:r w:rsidRPr="00FE6ED4">
        <w:rPr>
          <w:rFonts w:ascii="Times New Roman" w:eastAsia="Calibri" w:hAnsi="Times New Roman"/>
          <w:b/>
          <w:bCs/>
          <w:color w:val="F06322"/>
          <w:spacing w:val="-1"/>
          <w:sz w:val="24"/>
        </w:rPr>
        <w:t xml:space="preserve">reparation </w:t>
      </w:r>
    </w:p>
    <w:p w14:paraId="574CC816" w14:textId="77777777" w:rsidR="007518E4" w:rsidRPr="00A67E0E" w:rsidRDefault="007518E4" w:rsidP="008037D9">
      <w:pPr>
        <w:pStyle w:val="ListParagraph"/>
        <w:numPr>
          <w:ilvl w:val="0"/>
          <w:numId w:val="58"/>
        </w:numPr>
        <w:autoSpaceDE w:val="0"/>
        <w:autoSpaceDN w:val="0"/>
        <w:adjustRightInd w:val="0"/>
        <w:spacing w:after="240"/>
        <w:contextualSpacing w:val="0"/>
        <w:rPr>
          <w:rFonts w:ascii="Times New Roman" w:hAnsi="Times New Roman"/>
          <w:sz w:val="24"/>
        </w:rPr>
      </w:pPr>
      <w:r w:rsidRPr="00AB3A56">
        <w:rPr>
          <w:rFonts w:ascii="Times New Roman" w:hAnsi="Times New Roman"/>
          <w:b/>
          <w:sz w:val="24"/>
        </w:rPr>
        <w:t>The Budget circular for the 2018 State Budget was circulated to all government entities and provided a clear framework for the budget preparation.</w:t>
      </w:r>
      <w:r w:rsidR="00374990">
        <w:rPr>
          <w:rFonts w:ascii="Times New Roman" w:hAnsi="Times New Roman"/>
          <w:sz w:val="24"/>
        </w:rPr>
        <w:t xml:space="preserve"> </w:t>
      </w:r>
      <w:r>
        <w:rPr>
          <w:rFonts w:ascii="Times New Roman" w:hAnsi="Times New Roman"/>
          <w:sz w:val="24"/>
        </w:rPr>
        <w:t xml:space="preserve">However, there were </w:t>
      </w:r>
      <w:r w:rsidRPr="00A67E0E">
        <w:rPr>
          <w:rFonts w:ascii="Times New Roman" w:hAnsi="Times New Roman"/>
          <w:sz w:val="24"/>
        </w:rPr>
        <w:t xml:space="preserve">no quantitative targets or ceilings below the aggregate budget ceilings approved by the NA. There is a general description of the macro-economic context underlying the GDP growth target but no specific assumptions for the individual budget calculations.  The circular provides specific instructions or each expenditure category and for revenue collection for all relevant spending units at central and local level. Subsequently, </w:t>
      </w:r>
      <w:r w:rsidRPr="00A67E0E">
        <w:rPr>
          <w:rFonts w:ascii="Times New Roman" w:eastAsia="ヒラギノ角ゴ Pro W3" w:hAnsi="Times New Roman"/>
          <w:color w:val="000000"/>
          <w:sz w:val="24"/>
          <w:lang w:eastAsia="en-IN"/>
        </w:rPr>
        <w:t>only after the initial budget submission to NA has been approved</w:t>
      </w:r>
      <w:r>
        <w:rPr>
          <w:rFonts w:ascii="Times New Roman" w:eastAsia="ヒラギノ角ゴ Pro W3" w:hAnsi="Times New Roman"/>
          <w:color w:val="000000"/>
          <w:sz w:val="24"/>
          <w:lang w:eastAsia="en-IN"/>
        </w:rPr>
        <w:t xml:space="preserve"> </w:t>
      </w:r>
      <w:r w:rsidRPr="00A67E0E">
        <w:rPr>
          <w:rFonts w:ascii="Times New Roman" w:eastAsia="ヒラギノ角ゴ Pro W3" w:hAnsi="Times New Roman"/>
          <w:color w:val="000000"/>
          <w:sz w:val="24"/>
          <w:lang w:eastAsia="en-IN"/>
        </w:rPr>
        <w:t xml:space="preserve">with proposed aggregate expenditure and revenue plans, </w:t>
      </w:r>
      <w:r w:rsidRPr="00A67E0E">
        <w:rPr>
          <w:rFonts w:ascii="Times New Roman" w:hAnsi="Times New Roman"/>
          <w:sz w:val="24"/>
        </w:rPr>
        <w:t>each ministry receives an individual no</w:t>
      </w:r>
      <w:r>
        <w:rPr>
          <w:rFonts w:ascii="Times New Roman" w:hAnsi="Times New Roman"/>
          <w:sz w:val="24"/>
        </w:rPr>
        <w:t>tification from the MoF Budget D</w:t>
      </w:r>
      <w:r w:rsidRPr="00A67E0E">
        <w:rPr>
          <w:rFonts w:ascii="Times New Roman" w:hAnsi="Times New Roman"/>
          <w:sz w:val="24"/>
        </w:rPr>
        <w:t xml:space="preserve">epartment and MPI with indicative ceilings to guide completion of budget proposals. The ceilings are specified by main economic categories for current expenditure and by project categories for capital expenditure. </w:t>
      </w:r>
    </w:p>
    <w:p w14:paraId="37A4DF84" w14:textId="77777777" w:rsidR="007518E4" w:rsidRPr="00A67E0E" w:rsidRDefault="007518E4" w:rsidP="008037D9">
      <w:pPr>
        <w:pStyle w:val="ListParagraph"/>
        <w:numPr>
          <w:ilvl w:val="0"/>
          <w:numId w:val="58"/>
        </w:numPr>
        <w:spacing w:after="240"/>
        <w:contextualSpacing w:val="0"/>
        <w:rPr>
          <w:rFonts w:ascii="Times New Roman" w:hAnsi="Times New Roman"/>
          <w:sz w:val="24"/>
        </w:rPr>
      </w:pPr>
      <w:r w:rsidRPr="00AB3A56">
        <w:rPr>
          <w:rFonts w:ascii="Times New Roman" w:hAnsi="Times New Roman"/>
          <w:b/>
          <w:sz w:val="24"/>
        </w:rPr>
        <w:t>The Budget circular sent to spending units after the approval of the aggregate ceilings by NA does not contain information specific to any sector</w:t>
      </w:r>
      <w:r w:rsidR="00374990">
        <w:rPr>
          <w:rFonts w:ascii="Times New Roman" w:hAnsi="Times New Roman"/>
          <w:sz w:val="24"/>
        </w:rPr>
        <w:t>.</w:t>
      </w:r>
      <w:r w:rsidR="00AB3A56">
        <w:rPr>
          <w:rFonts w:ascii="Times New Roman" w:hAnsi="Times New Roman"/>
          <w:sz w:val="24"/>
        </w:rPr>
        <w:t xml:space="preserve"> It also</w:t>
      </w:r>
      <w:r>
        <w:rPr>
          <w:rFonts w:ascii="Times New Roman" w:hAnsi="Times New Roman"/>
          <w:sz w:val="24"/>
        </w:rPr>
        <w:t xml:space="preserve"> </w:t>
      </w:r>
      <w:r w:rsidRPr="00A67E0E">
        <w:rPr>
          <w:rFonts w:ascii="Times New Roman" w:hAnsi="Times New Roman"/>
          <w:sz w:val="24"/>
        </w:rPr>
        <w:t xml:space="preserve">does not include </w:t>
      </w:r>
      <w:r w:rsidRPr="00A67E0E">
        <w:rPr>
          <w:rFonts w:ascii="Times New Roman" w:hAnsi="Times New Roman"/>
          <w:sz w:val="24"/>
        </w:rPr>
        <w:lastRenderedPageBreak/>
        <w:t xml:space="preserve">individual detailed ceilings and </w:t>
      </w:r>
      <w:r w:rsidR="00AB3A56">
        <w:rPr>
          <w:rFonts w:ascii="Times New Roman" w:hAnsi="Times New Roman"/>
          <w:sz w:val="24"/>
        </w:rPr>
        <w:t xml:space="preserve">only </w:t>
      </w:r>
      <w:r w:rsidRPr="00A67E0E">
        <w:rPr>
          <w:rFonts w:ascii="Times New Roman" w:hAnsi="Times New Roman"/>
          <w:sz w:val="24"/>
        </w:rPr>
        <w:t>provides</w:t>
      </w:r>
      <w:r w:rsidRPr="00A67E0E">
        <w:rPr>
          <w:b/>
        </w:rPr>
        <w:t xml:space="preserve"> </w:t>
      </w:r>
      <w:r w:rsidRPr="00A67E0E">
        <w:rPr>
          <w:rFonts w:ascii="Times New Roman" w:hAnsi="Times New Roman"/>
          <w:sz w:val="24"/>
        </w:rPr>
        <w:t>general instructions for the budget preparation by expenditure categories. Score D.</w:t>
      </w:r>
    </w:p>
    <w:p w14:paraId="4B1F9788" w14:textId="77777777" w:rsidR="007518E4" w:rsidRPr="00FE6ED4" w:rsidRDefault="007518E4" w:rsidP="00AB3A56">
      <w:pPr>
        <w:spacing w:after="240"/>
        <w:ind w:left="0"/>
        <w:rPr>
          <w:rFonts w:ascii="Times New Roman" w:eastAsia="Calibri" w:hAnsi="Times New Roman"/>
          <w:b/>
          <w:bCs/>
          <w:color w:val="F06322"/>
          <w:spacing w:val="-1"/>
          <w:sz w:val="24"/>
        </w:rPr>
      </w:pPr>
      <w:r w:rsidRPr="00FE6ED4">
        <w:rPr>
          <w:rFonts w:ascii="Times New Roman" w:eastAsia="Calibri" w:hAnsi="Times New Roman"/>
          <w:b/>
          <w:bCs/>
          <w:color w:val="F06322"/>
          <w:spacing w:val="-1"/>
          <w:sz w:val="24"/>
        </w:rPr>
        <w:t xml:space="preserve">17.3. Budget </w:t>
      </w:r>
      <w:r>
        <w:rPr>
          <w:rFonts w:ascii="Times New Roman" w:eastAsia="Calibri" w:hAnsi="Times New Roman"/>
          <w:b/>
          <w:bCs/>
          <w:color w:val="F06322"/>
          <w:spacing w:val="-1"/>
          <w:sz w:val="24"/>
        </w:rPr>
        <w:t>s</w:t>
      </w:r>
      <w:r w:rsidRPr="00FE6ED4">
        <w:rPr>
          <w:rFonts w:ascii="Times New Roman" w:eastAsia="Calibri" w:hAnsi="Times New Roman"/>
          <w:b/>
          <w:bCs/>
          <w:color w:val="F06322"/>
          <w:spacing w:val="-1"/>
          <w:sz w:val="24"/>
        </w:rPr>
        <w:t xml:space="preserve">ubmission to the </w:t>
      </w:r>
      <w:r>
        <w:rPr>
          <w:rFonts w:ascii="Times New Roman" w:eastAsia="Calibri" w:hAnsi="Times New Roman"/>
          <w:b/>
          <w:bCs/>
          <w:color w:val="F06322"/>
          <w:spacing w:val="-1"/>
          <w:sz w:val="24"/>
        </w:rPr>
        <w:t>l</w:t>
      </w:r>
      <w:r w:rsidRPr="00FE6ED4">
        <w:rPr>
          <w:rFonts w:ascii="Times New Roman" w:eastAsia="Calibri" w:hAnsi="Times New Roman"/>
          <w:b/>
          <w:bCs/>
          <w:color w:val="F06322"/>
          <w:spacing w:val="-1"/>
          <w:sz w:val="24"/>
        </w:rPr>
        <w:t>egislature</w:t>
      </w:r>
    </w:p>
    <w:p w14:paraId="16050850" w14:textId="77777777" w:rsidR="007518E4" w:rsidRDefault="007518E4" w:rsidP="008037D9">
      <w:pPr>
        <w:pStyle w:val="ListParagraph"/>
        <w:numPr>
          <w:ilvl w:val="0"/>
          <w:numId w:val="58"/>
        </w:numPr>
        <w:spacing w:after="240"/>
        <w:contextualSpacing w:val="0"/>
        <w:rPr>
          <w:rFonts w:ascii="Times New Roman" w:hAnsi="Times New Roman"/>
          <w:sz w:val="24"/>
        </w:rPr>
      </w:pPr>
      <w:r w:rsidRPr="00AB3A56">
        <w:rPr>
          <w:rFonts w:ascii="Times New Roman" w:hAnsi="Times New Roman"/>
          <w:b/>
          <w:sz w:val="24"/>
        </w:rPr>
        <w:t>The budget proposal is the result of multiple discussions and consultations between the government and the NA prior to the final endorsement and resolution</w:t>
      </w:r>
      <w:r w:rsidRPr="004A377F">
        <w:rPr>
          <w:rFonts w:ascii="Times New Roman" w:hAnsi="Times New Roman"/>
          <w:sz w:val="24"/>
        </w:rPr>
        <w:t>. The exact dates of the submission of the budget</w:t>
      </w:r>
      <w:r>
        <w:rPr>
          <w:rFonts w:ascii="Times New Roman" w:hAnsi="Times New Roman"/>
          <w:sz w:val="24"/>
        </w:rPr>
        <w:t xml:space="preserve"> proposals are shown in table 17.3</w:t>
      </w:r>
      <w:r w:rsidRPr="004A377F">
        <w:rPr>
          <w:rFonts w:ascii="Times New Roman" w:hAnsi="Times New Roman"/>
          <w:sz w:val="24"/>
        </w:rPr>
        <w:t xml:space="preserve"> below.</w:t>
      </w:r>
      <w:r w:rsidR="00AB3A56">
        <w:rPr>
          <w:rFonts w:ascii="Times New Roman" w:hAnsi="Times New Roman"/>
          <w:sz w:val="24"/>
        </w:rPr>
        <w:t xml:space="preserve"> </w:t>
      </w:r>
      <w:r w:rsidRPr="004A377F">
        <w:rPr>
          <w:rFonts w:ascii="Times New Roman" w:hAnsi="Times New Roman"/>
          <w:sz w:val="24"/>
        </w:rPr>
        <w:t xml:space="preserve"> As the fiscal cycle changed in 2016, the submission and approval dates have shifted from the first NA session to the second session of the calendar year.</w:t>
      </w:r>
    </w:p>
    <w:p w14:paraId="5A1C989D" w14:textId="77777777" w:rsidR="007518E4" w:rsidRPr="0086296B" w:rsidRDefault="007518E4" w:rsidP="007518E4">
      <w:pPr>
        <w:pStyle w:val="ListParagraph"/>
        <w:ind w:left="0"/>
        <w:contextualSpacing w:val="0"/>
        <w:rPr>
          <w:rFonts w:ascii="Times New Roman" w:hAnsi="Times New Roman"/>
          <w:sz w:val="24"/>
        </w:rPr>
      </w:pPr>
      <w:r w:rsidRPr="0086296B">
        <w:rPr>
          <w:rFonts w:ascii="Times New Roman" w:hAnsi="Times New Roman"/>
          <w:b/>
          <w:bCs/>
          <w:iCs/>
        </w:rPr>
        <w:t xml:space="preserve">Table 17.3 -Timeline for government budget submission to and approval by National Assembly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374"/>
        <w:gridCol w:w="2618"/>
        <w:gridCol w:w="2088"/>
      </w:tblGrid>
      <w:tr w:rsidR="007518E4" w:rsidRPr="004A377F" w14:paraId="6754CDF3" w14:textId="77777777" w:rsidTr="00374990">
        <w:tc>
          <w:tcPr>
            <w:tcW w:w="1847" w:type="dxa"/>
            <w:shd w:val="clear" w:color="auto" w:fill="D9D9D9" w:themeFill="background1" w:themeFillShade="D9"/>
          </w:tcPr>
          <w:p w14:paraId="161797AE" w14:textId="77777777" w:rsidR="007518E4" w:rsidRPr="004A377F" w:rsidRDefault="007518E4" w:rsidP="00AB3A56">
            <w:pPr>
              <w:spacing w:before="0"/>
              <w:ind w:left="0"/>
              <w:jc w:val="center"/>
              <w:rPr>
                <w:rFonts w:ascii="Times New Roman" w:hAnsi="Times New Roman"/>
              </w:rPr>
            </w:pPr>
            <w:r w:rsidRPr="004A377F">
              <w:rPr>
                <w:rFonts w:ascii="Times New Roman" w:hAnsi="Times New Roman"/>
              </w:rPr>
              <w:t>Budget Year</w:t>
            </w:r>
          </w:p>
        </w:tc>
        <w:tc>
          <w:tcPr>
            <w:tcW w:w="2399" w:type="dxa"/>
            <w:shd w:val="clear" w:color="auto" w:fill="D9D9D9" w:themeFill="background1" w:themeFillShade="D9"/>
          </w:tcPr>
          <w:p w14:paraId="22229D1E" w14:textId="77777777" w:rsidR="007518E4" w:rsidRPr="004A377F" w:rsidRDefault="007518E4" w:rsidP="00AB3A56">
            <w:pPr>
              <w:spacing w:before="0"/>
              <w:ind w:left="0"/>
              <w:jc w:val="center"/>
              <w:rPr>
                <w:rFonts w:ascii="Times New Roman" w:hAnsi="Times New Roman"/>
              </w:rPr>
            </w:pPr>
            <w:r w:rsidRPr="004A377F">
              <w:rPr>
                <w:rFonts w:ascii="Times New Roman" w:hAnsi="Times New Roman"/>
              </w:rPr>
              <w:t>Timeliness</w:t>
            </w:r>
          </w:p>
          <w:p w14:paraId="24F25680" w14:textId="77777777" w:rsidR="007518E4" w:rsidRPr="004A377F" w:rsidRDefault="007518E4" w:rsidP="00AB3A56">
            <w:pPr>
              <w:spacing w:before="0"/>
              <w:ind w:left="0"/>
              <w:jc w:val="center"/>
              <w:rPr>
                <w:rFonts w:ascii="Times New Roman" w:hAnsi="Times New Roman"/>
              </w:rPr>
            </w:pPr>
            <w:r w:rsidRPr="004A377F">
              <w:rPr>
                <w:rFonts w:ascii="Times New Roman" w:hAnsi="Times New Roman"/>
              </w:rPr>
              <w:t>(time before start of new FY)</w:t>
            </w:r>
          </w:p>
        </w:tc>
        <w:tc>
          <w:tcPr>
            <w:tcW w:w="2647" w:type="dxa"/>
            <w:shd w:val="clear" w:color="auto" w:fill="D9D9D9" w:themeFill="background1" w:themeFillShade="D9"/>
          </w:tcPr>
          <w:p w14:paraId="7FED34BA" w14:textId="77777777" w:rsidR="007518E4" w:rsidRPr="004A377F" w:rsidRDefault="007518E4" w:rsidP="00AB3A56">
            <w:pPr>
              <w:spacing w:before="0"/>
              <w:ind w:left="0"/>
              <w:jc w:val="center"/>
              <w:rPr>
                <w:rFonts w:ascii="Times New Roman" w:hAnsi="Times New Roman"/>
              </w:rPr>
            </w:pPr>
            <w:r w:rsidRPr="004A377F">
              <w:rPr>
                <w:rFonts w:ascii="Times New Roman" w:hAnsi="Times New Roman"/>
              </w:rPr>
              <w:t>Budget Submission to Parliament</w:t>
            </w:r>
          </w:p>
        </w:tc>
        <w:tc>
          <w:tcPr>
            <w:tcW w:w="2107" w:type="dxa"/>
            <w:shd w:val="clear" w:color="auto" w:fill="D9D9D9" w:themeFill="background1" w:themeFillShade="D9"/>
          </w:tcPr>
          <w:p w14:paraId="4A0CC7AB" w14:textId="77777777" w:rsidR="007518E4" w:rsidRPr="004A377F" w:rsidRDefault="007518E4" w:rsidP="00AB3A56">
            <w:pPr>
              <w:spacing w:before="0"/>
              <w:ind w:left="0"/>
              <w:jc w:val="center"/>
              <w:rPr>
                <w:rFonts w:ascii="Times New Roman" w:hAnsi="Times New Roman"/>
              </w:rPr>
            </w:pPr>
            <w:r w:rsidRPr="004A377F">
              <w:rPr>
                <w:rFonts w:ascii="Times New Roman" w:hAnsi="Times New Roman"/>
              </w:rPr>
              <w:t>Resolution issued by the National Assembly</w:t>
            </w:r>
          </w:p>
        </w:tc>
      </w:tr>
      <w:tr w:rsidR="007518E4" w:rsidRPr="004A377F" w14:paraId="0C9E5199" w14:textId="77777777" w:rsidTr="00374990">
        <w:tc>
          <w:tcPr>
            <w:tcW w:w="1847" w:type="dxa"/>
          </w:tcPr>
          <w:p w14:paraId="3B6DD385"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2013/14</w:t>
            </w:r>
          </w:p>
        </w:tc>
        <w:tc>
          <w:tcPr>
            <w:tcW w:w="2399" w:type="dxa"/>
          </w:tcPr>
          <w:p w14:paraId="7F5872E6"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2.5 months</w:t>
            </w:r>
          </w:p>
        </w:tc>
        <w:tc>
          <w:tcPr>
            <w:tcW w:w="2647" w:type="dxa"/>
          </w:tcPr>
          <w:p w14:paraId="7F3CDCBC"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1</w:t>
            </w:r>
            <w:r w:rsidRPr="004A377F">
              <w:rPr>
                <w:rFonts w:ascii="Times New Roman" w:hAnsi="Times New Roman"/>
                <w:vertAlign w:val="superscript"/>
              </w:rPr>
              <w:t>st</w:t>
            </w:r>
            <w:r w:rsidRPr="004A377F">
              <w:rPr>
                <w:rFonts w:ascii="Times New Roman" w:hAnsi="Times New Roman"/>
              </w:rPr>
              <w:t xml:space="preserve"> week of June 2013</w:t>
            </w:r>
          </w:p>
        </w:tc>
        <w:tc>
          <w:tcPr>
            <w:tcW w:w="2107" w:type="dxa"/>
          </w:tcPr>
          <w:p w14:paraId="5CED09D0"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13</w:t>
            </w:r>
            <w:r w:rsidRPr="004A377F">
              <w:rPr>
                <w:rFonts w:ascii="Times New Roman" w:hAnsi="Times New Roman"/>
                <w:vertAlign w:val="superscript"/>
              </w:rPr>
              <w:t>th</w:t>
            </w:r>
            <w:r w:rsidRPr="004A377F">
              <w:rPr>
                <w:rFonts w:ascii="Times New Roman" w:hAnsi="Times New Roman"/>
              </w:rPr>
              <w:t xml:space="preserve"> July 2013</w:t>
            </w:r>
          </w:p>
        </w:tc>
      </w:tr>
      <w:tr w:rsidR="007518E4" w:rsidRPr="004A377F" w14:paraId="29E59161" w14:textId="77777777" w:rsidTr="00374990">
        <w:tc>
          <w:tcPr>
            <w:tcW w:w="1847" w:type="dxa"/>
          </w:tcPr>
          <w:p w14:paraId="30AD16AD"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2014/15</w:t>
            </w:r>
          </w:p>
        </w:tc>
        <w:tc>
          <w:tcPr>
            <w:tcW w:w="2399" w:type="dxa"/>
          </w:tcPr>
          <w:p w14:paraId="7B4BB83F"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 months</w:t>
            </w:r>
          </w:p>
        </w:tc>
        <w:tc>
          <w:tcPr>
            <w:tcW w:w="2647" w:type="dxa"/>
          </w:tcPr>
          <w:p w14:paraId="22E83B14"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4</w:t>
            </w:r>
            <w:r w:rsidRPr="004A377F">
              <w:rPr>
                <w:rFonts w:ascii="Times New Roman" w:hAnsi="Times New Roman"/>
                <w:vertAlign w:val="superscript"/>
              </w:rPr>
              <w:t>th</w:t>
            </w:r>
            <w:r w:rsidRPr="004A377F">
              <w:rPr>
                <w:rFonts w:ascii="Times New Roman" w:hAnsi="Times New Roman"/>
              </w:rPr>
              <w:t xml:space="preserve"> week of June 2014</w:t>
            </w:r>
          </w:p>
        </w:tc>
        <w:tc>
          <w:tcPr>
            <w:tcW w:w="2107" w:type="dxa"/>
          </w:tcPr>
          <w:p w14:paraId="422F4136"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29</w:t>
            </w:r>
            <w:r w:rsidRPr="004A377F">
              <w:rPr>
                <w:rFonts w:ascii="Times New Roman" w:hAnsi="Times New Roman"/>
                <w:vertAlign w:val="superscript"/>
              </w:rPr>
              <w:t>th</w:t>
            </w:r>
            <w:r w:rsidRPr="004A377F">
              <w:rPr>
                <w:rFonts w:ascii="Times New Roman" w:hAnsi="Times New Roman"/>
              </w:rPr>
              <w:t xml:space="preserve"> July 2014</w:t>
            </w:r>
          </w:p>
        </w:tc>
      </w:tr>
      <w:tr w:rsidR="007518E4" w:rsidRPr="004A377F" w14:paraId="4B98F4AC" w14:textId="77777777" w:rsidTr="00374990">
        <w:tc>
          <w:tcPr>
            <w:tcW w:w="1847" w:type="dxa"/>
          </w:tcPr>
          <w:p w14:paraId="67070B21"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2015/16</w:t>
            </w:r>
          </w:p>
        </w:tc>
        <w:tc>
          <w:tcPr>
            <w:tcW w:w="2399" w:type="dxa"/>
          </w:tcPr>
          <w:p w14:paraId="1442E97A"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 months 1 week</w:t>
            </w:r>
          </w:p>
        </w:tc>
        <w:tc>
          <w:tcPr>
            <w:tcW w:w="2647" w:type="dxa"/>
          </w:tcPr>
          <w:p w14:paraId="6603A3CB"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4</w:t>
            </w:r>
            <w:r w:rsidRPr="004A377F">
              <w:rPr>
                <w:rFonts w:ascii="Times New Roman" w:hAnsi="Times New Roman"/>
                <w:vertAlign w:val="superscript"/>
              </w:rPr>
              <w:t>th</w:t>
            </w:r>
            <w:r w:rsidRPr="004A377F">
              <w:rPr>
                <w:rFonts w:ascii="Times New Roman" w:hAnsi="Times New Roman"/>
              </w:rPr>
              <w:t xml:space="preserve"> week of June 2015</w:t>
            </w:r>
          </w:p>
        </w:tc>
        <w:tc>
          <w:tcPr>
            <w:tcW w:w="2107" w:type="dxa"/>
          </w:tcPr>
          <w:p w14:paraId="34AF7E9C"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25</w:t>
            </w:r>
            <w:r w:rsidRPr="004A377F">
              <w:rPr>
                <w:rFonts w:ascii="Times New Roman" w:hAnsi="Times New Roman"/>
                <w:vertAlign w:val="superscript"/>
              </w:rPr>
              <w:t>th</w:t>
            </w:r>
            <w:r w:rsidRPr="004A377F">
              <w:rPr>
                <w:rFonts w:ascii="Times New Roman" w:hAnsi="Times New Roman"/>
              </w:rPr>
              <w:t xml:space="preserve"> July 2015</w:t>
            </w:r>
          </w:p>
        </w:tc>
      </w:tr>
      <w:tr w:rsidR="007518E4" w:rsidRPr="004A377F" w14:paraId="234E5711" w14:textId="77777777" w:rsidTr="00374990">
        <w:tc>
          <w:tcPr>
            <w:tcW w:w="1847" w:type="dxa"/>
          </w:tcPr>
          <w:p w14:paraId="45EF47B2"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3 months 2016</w:t>
            </w:r>
          </w:p>
        </w:tc>
        <w:tc>
          <w:tcPr>
            <w:tcW w:w="2399" w:type="dxa"/>
          </w:tcPr>
          <w:p w14:paraId="079E5002"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6 months</w:t>
            </w:r>
          </w:p>
        </w:tc>
        <w:tc>
          <w:tcPr>
            <w:tcW w:w="2647" w:type="dxa"/>
          </w:tcPr>
          <w:p w14:paraId="5F70161F"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w:t>
            </w:r>
            <w:r w:rsidRPr="004A377F">
              <w:rPr>
                <w:rFonts w:ascii="Times New Roman" w:hAnsi="Times New Roman"/>
                <w:vertAlign w:val="superscript"/>
              </w:rPr>
              <w:t>nd</w:t>
            </w:r>
            <w:r w:rsidRPr="004A377F">
              <w:rPr>
                <w:rFonts w:ascii="Times New Roman" w:hAnsi="Times New Roman"/>
              </w:rPr>
              <w:t xml:space="preserve"> week of April 2016</w:t>
            </w:r>
          </w:p>
        </w:tc>
        <w:tc>
          <w:tcPr>
            <w:tcW w:w="2107" w:type="dxa"/>
          </w:tcPr>
          <w:p w14:paraId="6A0D8258"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22</w:t>
            </w:r>
            <w:r w:rsidRPr="004A377F">
              <w:rPr>
                <w:rFonts w:ascii="Times New Roman" w:hAnsi="Times New Roman"/>
                <w:vertAlign w:val="superscript"/>
              </w:rPr>
              <w:t>nd</w:t>
            </w:r>
            <w:r w:rsidRPr="004A377F">
              <w:rPr>
                <w:rFonts w:ascii="Times New Roman" w:hAnsi="Times New Roman"/>
              </w:rPr>
              <w:t xml:space="preserve"> April 2016</w:t>
            </w:r>
          </w:p>
        </w:tc>
      </w:tr>
      <w:tr w:rsidR="007518E4" w:rsidRPr="004A377F" w14:paraId="5AF7EA98" w14:textId="77777777" w:rsidTr="00374990">
        <w:tc>
          <w:tcPr>
            <w:tcW w:w="1847" w:type="dxa"/>
          </w:tcPr>
          <w:p w14:paraId="0F6EECA3"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2017</w:t>
            </w:r>
          </w:p>
        </w:tc>
        <w:tc>
          <w:tcPr>
            <w:tcW w:w="2399" w:type="dxa"/>
          </w:tcPr>
          <w:p w14:paraId="2D78EB4E"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 months 1 week</w:t>
            </w:r>
          </w:p>
        </w:tc>
        <w:tc>
          <w:tcPr>
            <w:tcW w:w="2647" w:type="dxa"/>
          </w:tcPr>
          <w:p w14:paraId="12E7CAC2"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3</w:t>
            </w:r>
            <w:r w:rsidRPr="004A377F">
              <w:rPr>
                <w:rFonts w:ascii="Times New Roman" w:hAnsi="Times New Roman"/>
                <w:vertAlign w:val="superscript"/>
              </w:rPr>
              <w:t>rd</w:t>
            </w:r>
            <w:r w:rsidRPr="004A377F">
              <w:rPr>
                <w:rFonts w:ascii="Times New Roman" w:hAnsi="Times New Roman"/>
              </w:rPr>
              <w:t xml:space="preserve"> week of October 2016</w:t>
            </w:r>
          </w:p>
        </w:tc>
        <w:tc>
          <w:tcPr>
            <w:tcW w:w="2107" w:type="dxa"/>
          </w:tcPr>
          <w:p w14:paraId="615A2986"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18</w:t>
            </w:r>
            <w:r w:rsidRPr="004A377F">
              <w:rPr>
                <w:rFonts w:ascii="Times New Roman" w:hAnsi="Times New Roman"/>
                <w:vertAlign w:val="superscript"/>
              </w:rPr>
              <w:t>th</w:t>
            </w:r>
            <w:r w:rsidRPr="004A377F">
              <w:rPr>
                <w:rFonts w:ascii="Times New Roman" w:hAnsi="Times New Roman"/>
              </w:rPr>
              <w:t xml:space="preserve"> November 2016</w:t>
            </w:r>
          </w:p>
        </w:tc>
      </w:tr>
      <w:tr w:rsidR="007518E4" w:rsidRPr="004A377F" w14:paraId="26D55C36" w14:textId="77777777" w:rsidTr="00374990">
        <w:tc>
          <w:tcPr>
            <w:tcW w:w="1847" w:type="dxa"/>
          </w:tcPr>
          <w:p w14:paraId="73EFBF27"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2018</w:t>
            </w:r>
          </w:p>
        </w:tc>
        <w:tc>
          <w:tcPr>
            <w:tcW w:w="2399" w:type="dxa"/>
          </w:tcPr>
          <w:p w14:paraId="4F8537A0"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2 months</w:t>
            </w:r>
          </w:p>
        </w:tc>
        <w:tc>
          <w:tcPr>
            <w:tcW w:w="2647" w:type="dxa"/>
          </w:tcPr>
          <w:p w14:paraId="44B3C3BA"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1</w:t>
            </w:r>
            <w:r w:rsidRPr="004A377F">
              <w:rPr>
                <w:rFonts w:ascii="Times New Roman" w:hAnsi="Times New Roman"/>
                <w:vertAlign w:val="superscript"/>
              </w:rPr>
              <w:t>st</w:t>
            </w:r>
            <w:r w:rsidRPr="004A377F">
              <w:rPr>
                <w:rFonts w:ascii="Times New Roman" w:hAnsi="Times New Roman"/>
              </w:rPr>
              <w:t xml:space="preserve"> week of October 2017</w:t>
            </w:r>
          </w:p>
        </w:tc>
        <w:tc>
          <w:tcPr>
            <w:tcW w:w="2107" w:type="dxa"/>
          </w:tcPr>
          <w:p w14:paraId="3F687ECD" w14:textId="77777777" w:rsidR="007518E4" w:rsidRPr="004A377F" w:rsidRDefault="007518E4" w:rsidP="00AB3A56">
            <w:pPr>
              <w:spacing w:before="0"/>
              <w:ind w:left="0"/>
              <w:jc w:val="left"/>
              <w:rPr>
                <w:rFonts w:ascii="Times New Roman" w:hAnsi="Times New Roman"/>
              </w:rPr>
            </w:pPr>
            <w:r w:rsidRPr="004A377F">
              <w:rPr>
                <w:rFonts w:ascii="Times New Roman" w:hAnsi="Times New Roman"/>
              </w:rPr>
              <w:t>17</w:t>
            </w:r>
            <w:r w:rsidRPr="004A377F">
              <w:rPr>
                <w:rFonts w:ascii="Times New Roman" w:hAnsi="Times New Roman"/>
                <w:vertAlign w:val="superscript"/>
              </w:rPr>
              <w:t>th</w:t>
            </w:r>
            <w:r w:rsidRPr="004A377F">
              <w:rPr>
                <w:rFonts w:ascii="Times New Roman" w:hAnsi="Times New Roman"/>
              </w:rPr>
              <w:t xml:space="preserve"> November 2017</w:t>
            </w:r>
          </w:p>
        </w:tc>
      </w:tr>
    </w:tbl>
    <w:p w14:paraId="623F4002" w14:textId="77777777" w:rsidR="007518E4" w:rsidRPr="00AB3A56" w:rsidRDefault="007518E4" w:rsidP="007518E4">
      <w:pPr>
        <w:pStyle w:val="ListParagraph"/>
        <w:tabs>
          <w:tab w:val="left" w:pos="0"/>
        </w:tabs>
        <w:autoSpaceDE w:val="0"/>
        <w:autoSpaceDN w:val="0"/>
        <w:adjustRightInd w:val="0"/>
        <w:spacing w:before="0"/>
        <w:ind w:left="0"/>
        <w:contextualSpacing w:val="0"/>
        <w:rPr>
          <w:rFonts w:ascii="Times New Roman" w:hAnsi="Times New Roman"/>
          <w:bCs/>
          <w:iCs/>
          <w:sz w:val="20"/>
          <w:szCs w:val="20"/>
        </w:rPr>
      </w:pPr>
      <w:r w:rsidRPr="00AB3A56">
        <w:rPr>
          <w:rFonts w:ascii="Times New Roman" w:hAnsi="Times New Roman"/>
          <w:bCs/>
          <w:iCs/>
          <w:sz w:val="20"/>
          <w:szCs w:val="20"/>
        </w:rPr>
        <w:t>Source: Budget Statements by the Minister of Finance and dates of the annual resolutions on budget approval of the National Assembly.</w:t>
      </w:r>
    </w:p>
    <w:p w14:paraId="2F877601" w14:textId="77777777" w:rsidR="007518E4" w:rsidRPr="004A377F" w:rsidRDefault="007518E4" w:rsidP="008037D9">
      <w:pPr>
        <w:pStyle w:val="ListParagraph"/>
        <w:numPr>
          <w:ilvl w:val="0"/>
          <w:numId w:val="58"/>
        </w:numPr>
        <w:spacing w:after="240"/>
        <w:contextualSpacing w:val="0"/>
        <w:rPr>
          <w:rFonts w:ascii="Times New Roman" w:hAnsi="Times New Roman"/>
          <w:sz w:val="24"/>
        </w:rPr>
      </w:pPr>
      <w:r w:rsidRPr="00AB3A56">
        <w:rPr>
          <w:rFonts w:ascii="Times New Roman" w:hAnsi="Times New Roman"/>
          <w:b/>
          <w:sz w:val="24"/>
        </w:rPr>
        <w:t xml:space="preserve">The Minister of Finance has presented - in each of the last three years - the annual budget proposals to the National Assembly at least 8 weeks before the start of the fiscal year: </w:t>
      </w:r>
      <w:r w:rsidRPr="004A377F">
        <w:rPr>
          <w:rFonts w:ascii="Times New Roman" w:hAnsi="Times New Roman"/>
          <w:sz w:val="24"/>
        </w:rPr>
        <w:t>Score A.</w:t>
      </w:r>
    </w:p>
    <w:p w14:paraId="7AC6BFB4" w14:textId="77777777" w:rsidR="007518E4" w:rsidRDefault="007518E4" w:rsidP="00AB3A56">
      <w:pPr>
        <w:pStyle w:val="Heading3"/>
        <w:keepNext w:val="0"/>
        <w:spacing w:after="240"/>
        <w:ind w:left="0"/>
        <w:rPr>
          <w:rFonts w:ascii="Times New Roman" w:eastAsia="Calibri" w:hAnsi="Times New Roman"/>
          <w:b w:val="0"/>
          <w:bCs w:val="0"/>
          <w:color w:val="F06322"/>
          <w:spacing w:val="-1"/>
          <w:szCs w:val="28"/>
        </w:rPr>
      </w:pPr>
      <w:bookmarkStart w:id="77" w:name="_Toc518901802"/>
      <w:bookmarkStart w:id="78" w:name="_Toc4148997"/>
      <w:r w:rsidRPr="00FE6ED4">
        <w:rPr>
          <w:rFonts w:ascii="Times New Roman" w:eastAsia="Calibri" w:hAnsi="Times New Roman"/>
          <w:color w:val="F06322"/>
          <w:spacing w:val="-1"/>
          <w:szCs w:val="28"/>
        </w:rPr>
        <w:t xml:space="preserve">PI-18. Legislative </w:t>
      </w:r>
      <w:r>
        <w:rPr>
          <w:rFonts w:ascii="Times New Roman" w:eastAsia="Calibri" w:hAnsi="Times New Roman"/>
          <w:color w:val="F06322"/>
          <w:spacing w:val="-1"/>
          <w:szCs w:val="28"/>
        </w:rPr>
        <w:t>s</w:t>
      </w:r>
      <w:r w:rsidRPr="00FE6ED4">
        <w:rPr>
          <w:rFonts w:ascii="Times New Roman" w:eastAsia="Calibri" w:hAnsi="Times New Roman"/>
          <w:color w:val="F06322"/>
          <w:spacing w:val="-1"/>
          <w:szCs w:val="28"/>
        </w:rPr>
        <w:t xml:space="preserve">crutiny of </w:t>
      </w:r>
      <w:r>
        <w:rPr>
          <w:rFonts w:ascii="Times New Roman" w:eastAsia="Calibri" w:hAnsi="Times New Roman"/>
          <w:color w:val="F06322"/>
          <w:spacing w:val="-1"/>
          <w:szCs w:val="28"/>
        </w:rPr>
        <w:t>b</w:t>
      </w:r>
      <w:r w:rsidRPr="00FE6ED4">
        <w:rPr>
          <w:rFonts w:ascii="Times New Roman" w:eastAsia="Calibri" w:hAnsi="Times New Roman"/>
          <w:color w:val="F06322"/>
          <w:spacing w:val="-1"/>
          <w:szCs w:val="28"/>
        </w:rPr>
        <w:t>udgets</w:t>
      </w:r>
      <w:bookmarkEnd w:id="77"/>
      <w:bookmarkEnd w:id="78"/>
    </w:p>
    <w:p w14:paraId="35B55733" w14:textId="77777777" w:rsidR="007518E4" w:rsidRDefault="007518E4" w:rsidP="008037D9">
      <w:pPr>
        <w:pStyle w:val="ListParagraph"/>
        <w:numPr>
          <w:ilvl w:val="0"/>
          <w:numId w:val="58"/>
        </w:numPr>
        <w:spacing w:after="240"/>
        <w:contextualSpacing w:val="0"/>
        <w:rPr>
          <w:rFonts w:ascii="Times New Roman" w:hAnsi="Times New Roman"/>
          <w:sz w:val="24"/>
        </w:rPr>
      </w:pPr>
      <w:r w:rsidRPr="00AB3A56">
        <w:rPr>
          <w:rFonts w:ascii="Times New Roman" w:hAnsi="Times New Roman"/>
          <w:b/>
          <w:sz w:val="24"/>
        </w:rPr>
        <w:t>This indicator assesses the nature and extent of legislative scrutiny of the annual budget.</w:t>
      </w:r>
      <w:r w:rsidRPr="00C35591">
        <w:rPr>
          <w:rFonts w:ascii="Times New Roman" w:hAnsi="Times New Roman"/>
          <w:sz w:val="24"/>
        </w:rPr>
        <w:t xml:space="preserve"> It considers the extent to which the legislature scrutinizes, debates, and approves the annual budget, including the extent to which the legislature’s procedures for scrutiny are well established and adhered to.  </w:t>
      </w:r>
      <w:proofErr w:type="gramStart"/>
      <w:r w:rsidRPr="00C35591">
        <w:rPr>
          <w:rFonts w:ascii="Times New Roman" w:hAnsi="Times New Roman"/>
          <w:sz w:val="24"/>
        </w:rPr>
        <w:t>Time period</w:t>
      </w:r>
      <w:proofErr w:type="gramEnd"/>
      <w:r w:rsidRPr="00C35591">
        <w:rPr>
          <w:rFonts w:ascii="Times New Roman" w:hAnsi="Times New Roman"/>
          <w:sz w:val="24"/>
        </w:rPr>
        <w:t>: Last completed fiscal year (</w:t>
      </w:r>
      <w:r>
        <w:rPr>
          <w:rFonts w:ascii="Times New Roman" w:hAnsi="Times New Roman"/>
          <w:sz w:val="24"/>
        </w:rPr>
        <w:t>2016/17</w:t>
      </w:r>
      <w:r w:rsidRPr="00C35591">
        <w:rPr>
          <w:rFonts w:ascii="Times New Roman" w:hAnsi="Times New Roman"/>
          <w:sz w:val="24"/>
        </w:rPr>
        <w:t>) for 18.1, 18.2 and 18.4.  For 18.3 last three completed fiscal years (</w:t>
      </w:r>
      <w:r>
        <w:rPr>
          <w:rFonts w:ascii="Times New Roman" w:hAnsi="Times New Roman"/>
          <w:sz w:val="24"/>
        </w:rPr>
        <w:t>2014/15</w:t>
      </w:r>
      <w:r w:rsidRPr="00C35591">
        <w:rPr>
          <w:rFonts w:ascii="Times New Roman" w:hAnsi="Times New Roman"/>
          <w:sz w:val="24"/>
        </w:rPr>
        <w:t xml:space="preserve">, </w:t>
      </w:r>
      <w:r>
        <w:rPr>
          <w:rFonts w:ascii="Times New Roman" w:hAnsi="Times New Roman"/>
          <w:sz w:val="24"/>
        </w:rPr>
        <w:t>2015/16</w:t>
      </w:r>
      <w:r w:rsidRPr="00C35591">
        <w:rPr>
          <w:rFonts w:ascii="Times New Roman" w:hAnsi="Times New Roman"/>
          <w:sz w:val="24"/>
        </w:rPr>
        <w:t xml:space="preserve"> and </w:t>
      </w:r>
      <w:r>
        <w:rPr>
          <w:rFonts w:ascii="Times New Roman" w:hAnsi="Times New Roman"/>
          <w:sz w:val="24"/>
        </w:rPr>
        <w:t>2016/17</w:t>
      </w:r>
      <w:r w:rsidRPr="00C35591">
        <w:rPr>
          <w:rFonts w:ascii="Times New Roman" w:hAnsi="Times New Roman"/>
          <w:sz w:val="24"/>
        </w:rPr>
        <w:t xml:space="preserve">) Coverage: Budgetary Central Government. </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1186"/>
        <w:gridCol w:w="5016"/>
      </w:tblGrid>
      <w:tr w:rsidR="007518E4" w:rsidRPr="00930334" w14:paraId="36B5CC81" w14:textId="77777777" w:rsidTr="00374990">
        <w:trPr>
          <w:trHeight w:val="397"/>
          <w:jc w:val="center"/>
        </w:trPr>
        <w:tc>
          <w:tcPr>
            <w:tcW w:w="1450" w:type="pct"/>
            <w:shd w:val="clear" w:color="auto" w:fill="D9D9D9"/>
            <w:vAlign w:val="center"/>
          </w:tcPr>
          <w:p w14:paraId="08DF0E48" w14:textId="77777777" w:rsidR="007518E4" w:rsidRPr="0086296B" w:rsidRDefault="007518E4" w:rsidP="00374990">
            <w:pPr>
              <w:spacing w:before="0"/>
              <w:ind w:hanging="593"/>
              <w:jc w:val="center"/>
              <w:rPr>
                <w:rFonts w:ascii="Times New Roman" w:hAnsi="Times New Roman"/>
                <w:sz w:val="20"/>
                <w:szCs w:val="20"/>
              </w:rPr>
            </w:pPr>
            <w:r w:rsidRPr="0086296B">
              <w:rPr>
                <w:rFonts w:ascii="Times New Roman" w:hAnsi="Times New Roman"/>
                <w:sz w:val="20"/>
                <w:szCs w:val="20"/>
              </w:rPr>
              <w:t xml:space="preserve">Indicator/Dimension </w:t>
            </w:r>
          </w:p>
        </w:tc>
        <w:tc>
          <w:tcPr>
            <w:tcW w:w="679" w:type="pct"/>
            <w:shd w:val="clear" w:color="auto" w:fill="D9D9D9"/>
            <w:vAlign w:val="center"/>
          </w:tcPr>
          <w:p w14:paraId="70338FF5" w14:textId="77777777" w:rsidR="007518E4" w:rsidRPr="0086296B" w:rsidRDefault="007518E4" w:rsidP="00AB3A56">
            <w:pPr>
              <w:spacing w:before="0"/>
              <w:ind w:left="0"/>
              <w:jc w:val="center"/>
              <w:rPr>
                <w:rFonts w:ascii="Times New Roman" w:hAnsi="Times New Roman"/>
                <w:sz w:val="20"/>
                <w:szCs w:val="20"/>
              </w:rPr>
            </w:pPr>
            <w:r w:rsidRPr="0086296B">
              <w:rPr>
                <w:rFonts w:ascii="Times New Roman" w:hAnsi="Times New Roman"/>
                <w:sz w:val="20"/>
                <w:szCs w:val="20"/>
              </w:rPr>
              <w:t>Score</w:t>
            </w:r>
          </w:p>
        </w:tc>
        <w:tc>
          <w:tcPr>
            <w:tcW w:w="2871" w:type="pct"/>
            <w:shd w:val="clear" w:color="auto" w:fill="D9D9D9"/>
            <w:vAlign w:val="center"/>
          </w:tcPr>
          <w:p w14:paraId="0526A5DD" w14:textId="77777777" w:rsidR="007518E4" w:rsidRPr="0086296B" w:rsidRDefault="007518E4" w:rsidP="00374990">
            <w:pPr>
              <w:spacing w:before="0"/>
              <w:ind w:hanging="539"/>
              <w:jc w:val="center"/>
              <w:rPr>
                <w:rFonts w:ascii="Times New Roman" w:hAnsi="Times New Roman"/>
                <w:sz w:val="20"/>
                <w:szCs w:val="20"/>
              </w:rPr>
            </w:pPr>
            <w:r w:rsidRPr="0086296B">
              <w:rPr>
                <w:rFonts w:ascii="Times New Roman" w:hAnsi="Times New Roman"/>
                <w:sz w:val="20"/>
                <w:szCs w:val="20"/>
              </w:rPr>
              <w:t>Brief Explanation</w:t>
            </w:r>
          </w:p>
        </w:tc>
      </w:tr>
      <w:tr w:rsidR="007518E4" w:rsidRPr="00930334" w14:paraId="4BA502BD" w14:textId="77777777" w:rsidTr="00374990">
        <w:trPr>
          <w:trHeight w:val="647"/>
          <w:jc w:val="center"/>
        </w:trPr>
        <w:tc>
          <w:tcPr>
            <w:tcW w:w="1450" w:type="pct"/>
            <w:vAlign w:val="center"/>
          </w:tcPr>
          <w:p w14:paraId="777333B2" w14:textId="77777777" w:rsidR="007518E4" w:rsidRPr="0086296B" w:rsidRDefault="007518E4" w:rsidP="00AB3A56">
            <w:pPr>
              <w:spacing w:before="0"/>
              <w:ind w:left="0"/>
              <w:jc w:val="left"/>
              <w:rPr>
                <w:rFonts w:ascii="Times New Roman" w:eastAsia="Calibri" w:hAnsi="Times New Roman"/>
                <w:sz w:val="20"/>
              </w:rPr>
            </w:pPr>
            <w:r w:rsidRPr="0086296B">
              <w:rPr>
                <w:rFonts w:ascii="Times New Roman" w:eastAsia="Calibri" w:hAnsi="Times New Roman"/>
                <w:bCs/>
                <w:sz w:val="20"/>
              </w:rPr>
              <w:t>PI-18 Legislative scrutiny of budgets</w:t>
            </w:r>
          </w:p>
        </w:tc>
        <w:tc>
          <w:tcPr>
            <w:tcW w:w="679" w:type="pct"/>
            <w:vAlign w:val="center"/>
          </w:tcPr>
          <w:p w14:paraId="199334C5" w14:textId="77777777" w:rsidR="007518E4" w:rsidRPr="0086296B" w:rsidRDefault="005263CA" w:rsidP="00AB3A56">
            <w:pPr>
              <w:spacing w:before="0"/>
              <w:ind w:left="0"/>
              <w:jc w:val="center"/>
              <w:rPr>
                <w:rFonts w:ascii="Times New Roman" w:hAnsi="Times New Roman"/>
                <w:sz w:val="20"/>
                <w:szCs w:val="20"/>
              </w:rPr>
            </w:pPr>
            <w:r>
              <w:rPr>
                <w:rFonts w:ascii="Times New Roman" w:hAnsi="Times New Roman"/>
                <w:sz w:val="20"/>
                <w:szCs w:val="20"/>
              </w:rPr>
              <w:t>D</w:t>
            </w:r>
            <w:r w:rsidR="007518E4" w:rsidRPr="0086296B">
              <w:rPr>
                <w:rFonts w:ascii="Times New Roman" w:hAnsi="Times New Roman"/>
                <w:sz w:val="20"/>
                <w:szCs w:val="20"/>
              </w:rPr>
              <w:t>+</w:t>
            </w:r>
          </w:p>
        </w:tc>
        <w:tc>
          <w:tcPr>
            <w:tcW w:w="2871" w:type="pct"/>
            <w:vAlign w:val="center"/>
          </w:tcPr>
          <w:p w14:paraId="3F5C1BD8" w14:textId="77777777" w:rsidR="007518E4" w:rsidRPr="0086296B" w:rsidRDefault="007518E4" w:rsidP="00AB3A56">
            <w:pPr>
              <w:spacing w:before="0"/>
              <w:ind w:left="0"/>
              <w:rPr>
                <w:rFonts w:ascii="Times New Roman" w:hAnsi="Times New Roman"/>
                <w:sz w:val="20"/>
                <w:szCs w:val="20"/>
              </w:rPr>
            </w:pPr>
            <w:r w:rsidRPr="0086296B">
              <w:rPr>
                <w:rFonts w:ascii="Times New Roman" w:hAnsi="Times New Roman"/>
                <w:sz w:val="20"/>
                <w:szCs w:val="20"/>
              </w:rPr>
              <w:t>Dimensions combined by Method M1 (weakest link)</w:t>
            </w:r>
          </w:p>
        </w:tc>
      </w:tr>
      <w:tr w:rsidR="007518E4" w:rsidRPr="00930334" w14:paraId="2D0CBDB0" w14:textId="77777777" w:rsidTr="00374990">
        <w:trPr>
          <w:trHeight w:val="323"/>
          <w:jc w:val="center"/>
        </w:trPr>
        <w:tc>
          <w:tcPr>
            <w:tcW w:w="1450" w:type="pct"/>
            <w:vAlign w:val="center"/>
          </w:tcPr>
          <w:p w14:paraId="1466DB43" w14:textId="77777777" w:rsidR="007518E4" w:rsidRPr="000D2976" w:rsidRDefault="007518E4" w:rsidP="00AB3A56">
            <w:pPr>
              <w:spacing w:before="0"/>
              <w:ind w:left="0"/>
              <w:jc w:val="left"/>
              <w:rPr>
                <w:rFonts w:ascii="Times New Roman" w:eastAsia="ヒラギノ角ゴ Pro W3" w:hAnsi="Times New Roman"/>
                <w:color w:val="000000"/>
                <w:sz w:val="20"/>
                <w:lang w:eastAsia="en-IN"/>
              </w:rPr>
            </w:pPr>
            <w:r w:rsidRPr="000D2976">
              <w:rPr>
                <w:rFonts w:ascii="Times New Roman" w:eastAsia="ヒラギノ角ゴ Pro W3" w:hAnsi="Times New Roman"/>
                <w:color w:val="000000"/>
                <w:sz w:val="20"/>
                <w:lang w:eastAsia="en-IN"/>
              </w:rPr>
              <w:t>18.1 Scope of budget scrutiny</w:t>
            </w:r>
          </w:p>
        </w:tc>
        <w:tc>
          <w:tcPr>
            <w:tcW w:w="679" w:type="pct"/>
            <w:vAlign w:val="center"/>
          </w:tcPr>
          <w:p w14:paraId="48F66192" w14:textId="77777777" w:rsidR="007518E4" w:rsidRPr="000D2976" w:rsidRDefault="007518E4" w:rsidP="00AB3A56">
            <w:pPr>
              <w:spacing w:before="0"/>
              <w:ind w:left="0"/>
              <w:jc w:val="center"/>
              <w:rPr>
                <w:rFonts w:ascii="Times New Roman" w:hAnsi="Times New Roman"/>
                <w:sz w:val="20"/>
                <w:szCs w:val="20"/>
              </w:rPr>
            </w:pPr>
            <w:r w:rsidRPr="000D2976">
              <w:rPr>
                <w:rFonts w:ascii="Times New Roman" w:hAnsi="Times New Roman"/>
                <w:sz w:val="20"/>
                <w:szCs w:val="20"/>
              </w:rPr>
              <w:t>D</w:t>
            </w:r>
          </w:p>
        </w:tc>
        <w:tc>
          <w:tcPr>
            <w:tcW w:w="2871" w:type="pct"/>
            <w:vAlign w:val="center"/>
          </w:tcPr>
          <w:p w14:paraId="2F09FBC7" w14:textId="77777777" w:rsidR="007518E4" w:rsidRPr="000D2976" w:rsidRDefault="007518E4" w:rsidP="00AB3A56">
            <w:pPr>
              <w:spacing w:before="0"/>
              <w:ind w:left="0"/>
              <w:rPr>
                <w:rFonts w:ascii="Times New Roman" w:hAnsi="Times New Roman"/>
                <w:sz w:val="20"/>
                <w:szCs w:val="20"/>
                <w:lang w:eastAsia="en-IN"/>
              </w:rPr>
            </w:pPr>
            <w:r w:rsidRPr="000D2976">
              <w:rPr>
                <w:rFonts w:ascii="Times New Roman" w:hAnsi="Times New Roman"/>
                <w:sz w:val="20"/>
                <w:szCs w:val="20"/>
                <w:lang w:eastAsia="en-IN"/>
              </w:rPr>
              <w:t>The National Assembly reviews fiscal policies and aggregate fiscal forecasts but not the details of revenue and expenditure plans.</w:t>
            </w:r>
          </w:p>
        </w:tc>
      </w:tr>
      <w:tr w:rsidR="007518E4" w:rsidRPr="00930334" w14:paraId="0C534372" w14:textId="77777777" w:rsidTr="00374990">
        <w:trPr>
          <w:trHeight w:val="548"/>
          <w:jc w:val="center"/>
        </w:trPr>
        <w:tc>
          <w:tcPr>
            <w:tcW w:w="1450" w:type="pct"/>
            <w:vAlign w:val="center"/>
          </w:tcPr>
          <w:p w14:paraId="5CD5CBD9" w14:textId="77777777" w:rsidR="007518E4" w:rsidRPr="000D2976" w:rsidRDefault="007518E4" w:rsidP="00AB3A56">
            <w:pPr>
              <w:spacing w:before="0"/>
              <w:ind w:left="0"/>
              <w:jc w:val="left"/>
              <w:rPr>
                <w:rFonts w:ascii="Times New Roman" w:eastAsia="ヒラギノ角ゴ Pro W3" w:hAnsi="Times New Roman"/>
                <w:color w:val="000000"/>
                <w:sz w:val="20"/>
                <w:lang w:eastAsia="en-IN"/>
              </w:rPr>
            </w:pPr>
            <w:r w:rsidRPr="000D2976">
              <w:rPr>
                <w:rFonts w:ascii="Times New Roman" w:eastAsia="ヒラギノ角ゴ Pro W3" w:hAnsi="Times New Roman"/>
                <w:color w:val="000000"/>
                <w:sz w:val="20"/>
                <w:lang w:eastAsia="en-IN"/>
              </w:rPr>
              <w:t>18.2 Legislative procedures for budget scrutiny</w:t>
            </w:r>
          </w:p>
        </w:tc>
        <w:tc>
          <w:tcPr>
            <w:tcW w:w="679" w:type="pct"/>
            <w:vAlign w:val="center"/>
          </w:tcPr>
          <w:p w14:paraId="10FA258B" w14:textId="77777777" w:rsidR="007518E4" w:rsidRPr="000D2976" w:rsidRDefault="005263CA" w:rsidP="00AB3A56">
            <w:pPr>
              <w:spacing w:before="0"/>
              <w:ind w:left="0"/>
              <w:jc w:val="center"/>
              <w:rPr>
                <w:rFonts w:ascii="Times New Roman" w:hAnsi="Times New Roman"/>
                <w:sz w:val="20"/>
                <w:szCs w:val="20"/>
              </w:rPr>
            </w:pPr>
            <w:r>
              <w:rPr>
                <w:rFonts w:ascii="Times New Roman" w:hAnsi="Times New Roman"/>
                <w:sz w:val="20"/>
                <w:szCs w:val="20"/>
              </w:rPr>
              <w:t>B</w:t>
            </w:r>
          </w:p>
        </w:tc>
        <w:tc>
          <w:tcPr>
            <w:tcW w:w="2871" w:type="pct"/>
            <w:vAlign w:val="center"/>
          </w:tcPr>
          <w:p w14:paraId="677EF393" w14:textId="77777777" w:rsidR="007518E4" w:rsidRPr="000D2976" w:rsidRDefault="007518E4" w:rsidP="00AB3A56">
            <w:pPr>
              <w:spacing w:before="0"/>
              <w:ind w:left="0"/>
              <w:rPr>
                <w:rFonts w:ascii="Times New Roman" w:hAnsi="Times New Roman"/>
                <w:sz w:val="20"/>
                <w:szCs w:val="20"/>
                <w:lang w:eastAsia="en-IN"/>
              </w:rPr>
            </w:pPr>
            <w:r w:rsidRPr="000D2976">
              <w:rPr>
                <w:rFonts w:ascii="Times New Roman" w:hAnsi="Times New Roman"/>
                <w:sz w:val="20"/>
                <w:szCs w:val="20"/>
                <w:lang w:eastAsia="en-IN"/>
              </w:rPr>
              <w:t>The National Assembly has well established procedures for scrutiny of the budget, which are adhered to. The procedures include negotiation procedures, technical support to committees, consultations with civil society and access for the media to attend consultations.</w:t>
            </w:r>
          </w:p>
        </w:tc>
      </w:tr>
      <w:tr w:rsidR="007518E4" w:rsidRPr="00930334" w14:paraId="023A7E44" w14:textId="77777777" w:rsidTr="00374990">
        <w:trPr>
          <w:trHeight w:val="287"/>
          <w:jc w:val="center"/>
        </w:trPr>
        <w:tc>
          <w:tcPr>
            <w:tcW w:w="1450" w:type="pct"/>
            <w:vAlign w:val="center"/>
          </w:tcPr>
          <w:p w14:paraId="714F153F" w14:textId="77777777" w:rsidR="007518E4" w:rsidRPr="000D2976" w:rsidRDefault="007518E4" w:rsidP="00AB3A56">
            <w:pPr>
              <w:spacing w:before="0"/>
              <w:ind w:left="0"/>
              <w:jc w:val="left"/>
              <w:rPr>
                <w:rFonts w:ascii="Times New Roman" w:eastAsia="ヒラギノ角ゴ Pro W3" w:hAnsi="Times New Roman"/>
                <w:color w:val="000000"/>
                <w:sz w:val="20"/>
                <w:lang w:eastAsia="en-IN"/>
              </w:rPr>
            </w:pPr>
            <w:r w:rsidRPr="000D2976">
              <w:rPr>
                <w:rFonts w:ascii="Times New Roman" w:eastAsia="ヒラギノ角ゴ Pro W3" w:hAnsi="Times New Roman"/>
                <w:color w:val="000000"/>
                <w:sz w:val="20"/>
                <w:lang w:eastAsia="en-IN"/>
              </w:rPr>
              <w:t>18.3 Timing of budget approval</w:t>
            </w:r>
          </w:p>
        </w:tc>
        <w:tc>
          <w:tcPr>
            <w:tcW w:w="679" w:type="pct"/>
            <w:vAlign w:val="center"/>
          </w:tcPr>
          <w:p w14:paraId="01EF11DE" w14:textId="77777777" w:rsidR="007518E4" w:rsidRPr="000D2976" w:rsidRDefault="007518E4" w:rsidP="00AB3A56">
            <w:pPr>
              <w:spacing w:before="0"/>
              <w:ind w:left="0"/>
              <w:jc w:val="center"/>
              <w:rPr>
                <w:rFonts w:ascii="Times New Roman" w:hAnsi="Times New Roman"/>
                <w:sz w:val="20"/>
                <w:szCs w:val="20"/>
              </w:rPr>
            </w:pPr>
            <w:r w:rsidRPr="000D2976">
              <w:rPr>
                <w:rFonts w:ascii="Times New Roman" w:hAnsi="Times New Roman"/>
                <w:sz w:val="20"/>
                <w:szCs w:val="20"/>
              </w:rPr>
              <w:t>A</w:t>
            </w:r>
          </w:p>
        </w:tc>
        <w:tc>
          <w:tcPr>
            <w:tcW w:w="2871" w:type="pct"/>
            <w:vAlign w:val="center"/>
          </w:tcPr>
          <w:p w14:paraId="4B8D2E6A" w14:textId="77777777" w:rsidR="007518E4" w:rsidRPr="000D2976" w:rsidRDefault="007518E4" w:rsidP="00AB3A56">
            <w:pPr>
              <w:spacing w:before="0"/>
              <w:ind w:left="0"/>
              <w:rPr>
                <w:rFonts w:ascii="Times New Roman" w:eastAsia="ヒラギノ角ゴ Pro W3" w:hAnsi="Times New Roman"/>
                <w:color w:val="000000"/>
                <w:sz w:val="20"/>
                <w:szCs w:val="20"/>
                <w:lang w:eastAsia="en-IN"/>
              </w:rPr>
            </w:pPr>
            <w:r w:rsidRPr="000D2976">
              <w:rPr>
                <w:rFonts w:ascii="Times New Roman" w:eastAsia="ヒラギノ角ゴ Pro W3" w:hAnsi="Times New Roman"/>
                <w:color w:val="000000"/>
                <w:sz w:val="20"/>
                <w:szCs w:val="20"/>
                <w:lang w:eastAsia="en-IN"/>
              </w:rPr>
              <w:t>The National Assembly has – in each of the last three years - approved the annual budget before the start of the fiscal year</w:t>
            </w:r>
          </w:p>
        </w:tc>
      </w:tr>
      <w:tr w:rsidR="007518E4" w:rsidRPr="00930334" w14:paraId="5B89E293" w14:textId="77777777" w:rsidTr="00374990">
        <w:trPr>
          <w:trHeight w:val="530"/>
          <w:jc w:val="center"/>
        </w:trPr>
        <w:tc>
          <w:tcPr>
            <w:tcW w:w="1450" w:type="pct"/>
            <w:vAlign w:val="center"/>
          </w:tcPr>
          <w:p w14:paraId="190AB472" w14:textId="77777777" w:rsidR="007518E4" w:rsidRPr="000D2976" w:rsidRDefault="007518E4" w:rsidP="00AB3A56">
            <w:pPr>
              <w:spacing w:before="0"/>
              <w:ind w:left="0"/>
              <w:jc w:val="left"/>
              <w:rPr>
                <w:rFonts w:ascii="Times New Roman" w:eastAsia="ヒラギノ角ゴ Pro W3" w:hAnsi="Times New Roman"/>
                <w:color w:val="000000"/>
                <w:sz w:val="20"/>
                <w:lang w:eastAsia="en-IN"/>
              </w:rPr>
            </w:pPr>
            <w:r w:rsidRPr="000D2976">
              <w:rPr>
                <w:rFonts w:ascii="Times New Roman" w:eastAsia="ヒラギノ角ゴ Pro W3" w:hAnsi="Times New Roman"/>
                <w:color w:val="000000"/>
                <w:sz w:val="20"/>
                <w:lang w:eastAsia="en-IN"/>
              </w:rPr>
              <w:lastRenderedPageBreak/>
              <w:t>18.4 Rules for budget adjustments by the executive</w:t>
            </w:r>
          </w:p>
        </w:tc>
        <w:tc>
          <w:tcPr>
            <w:tcW w:w="679" w:type="pct"/>
            <w:vAlign w:val="center"/>
          </w:tcPr>
          <w:p w14:paraId="4AB946AB" w14:textId="77777777" w:rsidR="007518E4" w:rsidRPr="000D2976" w:rsidRDefault="007518E4" w:rsidP="00AB3A56">
            <w:pPr>
              <w:spacing w:before="0"/>
              <w:ind w:left="0"/>
              <w:jc w:val="center"/>
              <w:rPr>
                <w:rFonts w:ascii="Times New Roman" w:hAnsi="Times New Roman"/>
                <w:sz w:val="20"/>
                <w:szCs w:val="20"/>
              </w:rPr>
            </w:pPr>
            <w:r w:rsidRPr="000D2976">
              <w:rPr>
                <w:rFonts w:ascii="Times New Roman" w:hAnsi="Times New Roman"/>
                <w:sz w:val="20"/>
                <w:szCs w:val="20"/>
              </w:rPr>
              <w:t>B</w:t>
            </w:r>
          </w:p>
        </w:tc>
        <w:tc>
          <w:tcPr>
            <w:tcW w:w="2871" w:type="pct"/>
            <w:vAlign w:val="center"/>
          </w:tcPr>
          <w:p w14:paraId="40D8E304" w14:textId="77777777" w:rsidR="007518E4" w:rsidRPr="000D2976" w:rsidRDefault="007518E4" w:rsidP="00AB3A56">
            <w:pPr>
              <w:spacing w:before="0"/>
              <w:ind w:left="0"/>
              <w:rPr>
                <w:rFonts w:ascii="Times New Roman" w:eastAsia="ヒラギノ角ゴ Pro W3" w:hAnsi="Times New Roman"/>
                <w:color w:val="000000"/>
                <w:sz w:val="20"/>
                <w:szCs w:val="20"/>
                <w:lang w:eastAsia="en-IN"/>
              </w:rPr>
            </w:pPr>
            <w:r w:rsidRPr="000D2976">
              <w:rPr>
                <w:rFonts w:ascii="Times New Roman" w:eastAsia="ヒラギノ角ゴ Pro W3" w:hAnsi="Times New Roman"/>
                <w:color w:val="000000"/>
                <w:sz w:val="20"/>
                <w:szCs w:val="20"/>
                <w:lang w:eastAsia="en-IN"/>
              </w:rPr>
              <w:t>Clear rules for in-year budget reallocations by the executive are set out in the State Budget Law and mostly adhered to.  A revised budget is presented to the NA during the first session of the year and the SBL grants the executive with substantial powers of reallocation within the overall aggregate of original and adjusted appropriations.</w:t>
            </w:r>
          </w:p>
        </w:tc>
      </w:tr>
    </w:tbl>
    <w:p w14:paraId="53C5FE3D" w14:textId="77777777" w:rsidR="007518E4" w:rsidRPr="00FE6ED4" w:rsidRDefault="007518E4" w:rsidP="00AB3A56">
      <w:pPr>
        <w:spacing w:after="240"/>
        <w:ind w:left="0"/>
        <w:rPr>
          <w:rFonts w:ascii="Times New Roman" w:eastAsia="Calibri" w:hAnsi="Times New Roman"/>
          <w:b/>
          <w:bCs/>
          <w:color w:val="F06322"/>
          <w:spacing w:val="-1"/>
          <w:sz w:val="24"/>
        </w:rPr>
      </w:pPr>
      <w:r w:rsidRPr="00FE6ED4">
        <w:rPr>
          <w:rFonts w:ascii="Times New Roman" w:eastAsia="Calibri" w:hAnsi="Times New Roman"/>
          <w:b/>
          <w:bCs/>
          <w:color w:val="F06322"/>
          <w:spacing w:val="-1"/>
          <w:sz w:val="24"/>
        </w:rPr>
        <w:t xml:space="preserve">18.1. Scope of </w:t>
      </w:r>
      <w:r>
        <w:rPr>
          <w:rFonts w:ascii="Times New Roman" w:eastAsia="Calibri" w:hAnsi="Times New Roman"/>
          <w:b/>
          <w:bCs/>
          <w:color w:val="F06322"/>
          <w:spacing w:val="-1"/>
          <w:sz w:val="24"/>
        </w:rPr>
        <w:t>b</w:t>
      </w:r>
      <w:r w:rsidRPr="00FE6ED4">
        <w:rPr>
          <w:rFonts w:ascii="Times New Roman" w:eastAsia="Calibri" w:hAnsi="Times New Roman"/>
          <w:b/>
          <w:bCs/>
          <w:color w:val="F06322"/>
          <w:spacing w:val="-1"/>
          <w:sz w:val="24"/>
        </w:rPr>
        <w:t xml:space="preserve">udget </w:t>
      </w:r>
      <w:r>
        <w:rPr>
          <w:rFonts w:ascii="Times New Roman" w:eastAsia="Calibri" w:hAnsi="Times New Roman"/>
          <w:b/>
          <w:bCs/>
          <w:color w:val="F06322"/>
          <w:spacing w:val="-1"/>
          <w:sz w:val="24"/>
        </w:rPr>
        <w:t>s</w:t>
      </w:r>
      <w:r w:rsidRPr="00FE6ED4">
        <w:rPr>
          <w:rFonts w:ascii="Times New Roman" w:eastAsia="Calibri" w:hAnsi="Times New Roman"/>
          <w:b/>
          <w:bCs/>
          <w:color w:val="F06322"/>
          <w:spacing w:val="-1"/>
          <w:sz w:val="24"/>
        </w:rPr>
        <w:t xml:space="preserve">crutiny  </w:t>
      </w:r>
    </w:p>
    <w:p w14:paraId="6DB74605" w14:textId="77777777" w:rsidR="007518E4" w:rsidRPr="000D2976" w:rsidRDefault="007518E4" w:rsidP="00374990">
      <w:pPr>
        <w:pStyle w:val="ListParagraph"/>
        <w:numPr>
          <w:ilvl w:val="0"/>
          <w:numId w:val="58"/>
        </w:numPr>
        <w:spacing w:after="240"/>
        <w:contextualSpacing w:val="0"/>
        <w:rPr>
          <w:rFonts w:ascii="Times New Roman" w:hAnsi="Times New Roman"/>
          <w:sz w:val="24"/>
          <w:lang w:eastAsia="en-IN"/>
        </w:rPr>
      </w:pPr>
      <w:r w:rsidRPr="00AB3A56">
        <w:rPr>
          <w:rFonts w:ascii="Times New Roman" w:hAnsi="Times New Roman"/>
          <w:b/>
          <w:sz w:val="24"/>
          <w:lang w:eastAsia="en-IN"/>
        </w:rPr>
        <w:t>The role of the National Assembly vis-à-vis the budget process is mandated under Article 53 of the Constitution of Lao PDR</w:t>
      </w:r>
      <w:r w:rsidR="00AB3A56">
        <w:rPr>
          <w:rFonts w:ascii="Times New Roman" w:hAnsi="Times New Roman"/>
          <w:sz w:val="24"/>
          <w:lang w:eastAsia="en-IN"/>
        </w:rPr>
        <w:t>.  This role is</w:t>
      </w:r>
      <w:r w:rsidRPr="000D2976">
        <w:rPr>
          <w:rFonts w:ascii="Times New Roman" w:hAnsi="Times New Roman"/>
          <w:sz w:val="24"/>
          <w:lang w:eastAsia="en-IN"/>
        </w:rPr>
        <w:t xml:space="preserve"> reiterated in the 2016 SBL, </w:t>
      </w:r>
      <w:r w:rsidR="00AB3A56">
        <w:rPr>
          <w:rFonts w:ascii="Times New Roman" w:hAnsi="Times New Roman"/>
          <w:sz w:val="24"/>
          <w:lang w:eastAsia="en-IN"/>
        </w:rPr>
        <w:t xml:space="preserve">and </w:t>
      </w:r>
      <w:r w:rsidRPr="000D2976">
        <w:rPr>
          <w:rFonts w:ascii="Times New Roman" w:hAnsi="Times New Roman"/>
          <w:sz w:val="24"/>
          <w:lang w:eastAsia="en-IN"/>
        </w:rPr>
        <w:t>the 2015 National Assembly Law</w:t>
      </w:r>
      <w:r>
        <w:rPr>
          <w:rFonts w:ascii="Times New Roman" w:hAnsi="Times New Roman"/>
          <w:sz w:val="24"/>
          <w:lang w:eastAsia="en-IN"/>
        </w:rPr>
        <w:t>.  These laws</w:t>
      </w:r>
      <w:r w:rsidRPr="000D2976">
        <w:rPr>
          <w:rFonts w:ascii="Times New Roman" w:hAnsi="Times New Roman"/>
          <w:sz w:val="24"/>
          <w:lang w:eastAsia="en-IN"/>
        </w:rPr>
        <w:t xml:space="preserve"> grant the NA the following rights and duties:</w:t>
      </w:r>
    </w:p>
    <w:p w14:paraId="2B06222F" w14:textId="77777777" w:rsidR="007518E4" w:rsidRPr="000D2976" w:rsidRDefault="007518E4" w:rsidP="00374990">
      <w:pPr>
        <w:pStyle w:val="ListParagraph"/>
        <w:numPr>
          <w:ilvl w:val="0"/>
          <w:numId w:val="59"/>
        </w:numPr>
        <w:spacing w:after="120"/>
        <w:contextualSpacing w:val="0"/>
        <w:rPr>
          <w:rFonts w:ascii="Times New Roman" w:hAnsi="Times New Roman"/>
          <w:sz w:val="24"/>
          <w:lang w:val="en-MY"/>
        </w:rPr>
      </w:pPr>
      <w:r w:rsidRPr="000D2976">
        <w:rPr>
          <w:rFonts w:ascii="Times New Roman" w:hAnsi="Times New Roman"/>
          <w:sz w:val="24"/>
          <w:lang w:eastAsia="en-IN"/>
        </w:rPr>
        <w:t xml:space="preserve">to </w:t>
      </w:r>
      <w:r w:rsidRPr="000D2976">
        <w:rPr>
          <w:rFonts w:ascii="Times New Roman" w:hAnsi="Times New Roman"/>
          <w:sz w:val="24"/>
          <w:lang w:val="en-MY"/>
        </w:rPr>
        <w:t>consider and adopt strategic plans, socio-economic development plans, State budget plans and amendment procedure;</w:t>
      </w:r>
    </w:p>
    <w:p w14:paraId="255A1C00" w14:textId="77777777" w:rsidR="007518E4" w:rsidRPr="000D2976" w:rsidRDefault="007518E4" w:rsidP="00374990">
      <w:pPr>
        <w:pStyle w:val="ListParagraph"/>
        <w:numPr>
          <w:ilvl w:val="0"/>
          <w:numId w:val="59"/>
        </w:numPr>
        <w:spacing w:after="120"/>
        <w:contextualSpacing w:val="0"/>
        <w:rPr>
          <w:rFonts w:ascii="Times New Roman" w:hAnsi="Times New Roman"/>
          <w:sz w:val="24"/>
          <w:lang w:val="en-MY"/>
        </w:rPr>
      </w:pPr>
      <w:r w:rsidRPr="000D2976">
        <w:rPr>
          <w:rFonts w:ascii="Times New Roman" w:hAnsi="Times New Roman"/>
          <w:sz w:val="24"/>
          <w:lang w:val="en-MY"/>
        </w:rPr>
        <w:t>to consider and adopt fundamental financial policy, monetary, budget deficit percentage, national debts percentage, and public debts percentage;</w:t>
      </w:r>
    </w:p>
    <w:p w14:paraId="0CF0E4F3" w14:textId="77777777" w:rsidR="007518E4" w:rsidRPr="000D2976" w:rsidRDefault="007518E4" w:rsidP="00374990">
      <w:pPr>
        <w:pStyle w:val="ListParagraph"/>
        <w:numPr>
          <w:ilvl w:val="0"/>
          <w:numId w:val="59"/>
        </w:numPr>
        <w:spacing w:before="0" w:after="120"/>
        <w:ind w:left="714" w:hanging="357"/>
        <w:contextualSpacing w:val="0"/>
        <w:rPr>
          <w:rFonts w:ascii="Times New Roman" w:hAnsi="Times New Roman"/>
          <w:sz w:val="24"/>
          <w:lang w:val="en-MY"/>
        </w:rPr>
      </w:pPr>
      <w:r>
        <w:rPr>
          <w:rFonts w:ascii="Times New Roman" w:hAnsi="Times New Roman"/>
          <w:sz w:val="24"/>
          <w:lang w:val="en-MY"/>
        </w:rPr>
        <w:t>t</w:t>
      </w:r>
      <w:r w:rsidRPr="000D2976">
        <w:rPr>
          <w:rFonts w:ascii="Times New Roman" w:hAnsi="Times New Roman"/>
          <w:sz w:val="24"/>
          <w:lang w:val="en-MY"/>
        </w:rPr>
        <w:t>o consider and adopt the determination, amendment or abrogation of taxes and duties.</w:t>
      </w:r>
    </w:p>
    <w:p w14:paraId="108BF38E" w14:textId="77777777" w:rsidR="007518E4" w:rsidRDefault="007518E4" w:rsidP="008037D9">
      <w:pPr>
        <w:pStyle w:val="ListParagraph"/>
        <w:numPr>
          <w:ilvl w:val="0"/>
          <w:numId w:val="58"/>
        </w:numPr>
        <w:spacing w:after="240"/>
        <w:contextualSpacing w:val="0"/>
        <w:rPr>
          <w:rFonts w:ascii="Times New Roman" w:hAnsi="Times New Roman"/>
          <w:sz w:val="24"/>
          <w:lang w:eastAsia="en-IN"/>
        </w:rPr>
      </w:pPr>
      <w:r w:rsidRPr="00AB3A56">
        <w:rPr>
          <w:rFonts w:ascii="Times New Roman" w:hAnsi="Times New Roman"/>
          <w:b/>
          <w:sz w:val="24"/>
          <w:lang w:eastAsia="en-IN"/>
        </w:rPr>
        <w:t>The package received and endorsed by the NA through the NA resolution on the annual State Budget plan includes the report on the execution and revised estimates for the current budget and macroeconomic and fiscal targets for the submitted budget plans</w:t>
      </w:r>
      <w:r w:rsidR="00374990">
        <w:rPr>
          <w:rFonts w:ascii="Times New Roman" w:hAnsi="Times New Roman"/>
          <w:sz w:val="24"/>
          <w:lang w:eastAsia="en-IN"/>
        </w:rPr>
        <w:t xml:space="preserve">. </w:t>
      </w:r>
      <w:r w:rsidR="00AB3A56">
        <w:rPr>
          <w:rFonts w:ascii="Times New Roman" w:hAnsi="Times New Roman"/>
          <w:sz w:val="24"/>
          <w:lang w:eastAsia="en-IN"/>
        </w:rPr>
        <w:t>This includes</w:t>
      </w:r>
      <w:r w:rsidRPr="000D2976">
        <w:rPr>
          <w:rFonts w:ascii="Times New Roman" w:hAnsi="Times New Roman"/>
          <w:sz w:val="24"/>
          <w:lang w:eastAsia="en-IN"/>
        </w:rPr>
        <w:t xml:space="preserve"> GDP forecasts, aggregate fiscal forecasts, medium-term budget framework and general orientations for revenue mobilization, but no detailed estimates. As an example, the debate in the Assembly in 2017 focused mainly on the fiscal policy measures proposed by the government to tighten the fiscal discipline such as consolidating all technical revenues or financing the capital expenditures projects and stock of arrears. Debates on expenditure policy cover priority allocation for education and health sectors, or wage bill increase. After the deliberations, the NA adopts the resolution on the State Budget Plan with general recommendations to the government in the same session and the budget is passed. </w:t>
      </w:r>
    </w:p>
    <w:p w14:paraId="640B47AE" w14:textId="77777777" w:rsidR="007518E4" w:rsidRDefault="007518E4" w:rsidP="008037D9">
      <w:pPr>
        <w:pStyle w:val="ListParagraph"/>
        <w:numPr>
          <w:ilvl w:val="0"/>
          <w:numId w:val="58"/>
        </w:numPr>
        <w:spacing w:after="240"/>
        <w:rPr>
          <w:rFonts w:ascii="Times New Roman" w:hAnsi="Times New Roman"/>
          <w:sz w:val="24"/>
          <w:lang w:eastAsia="en-IN"/>
        </w:rPr>
      </w:pPr>
      <w:r w:rsidRPr="00AB3A56">
        <w:rPr>
          <w:rFonts w:ascii="Times New Roman" w:hAnsi="Times New Roman"/>
          <w:b/>
          <w:sz w:val="24"/>
          <w:lang w:eastAsia="en-IN"/>
        </w:rPr>
        <w:t>The National Assembly reviews and endorses the fiscal policies and aggregate fiscal forecasts presented by MoF but not the specific details of the revenue and expenditure estimates</w:t>
      </w:r>
      <w:r w:rsidRPr="000D2976">
        <w:rPr>
          <w:rFonts w:ascii="Times New Roman" w:hAnsi="Times New Roman"/>
          <w:sz w:val="24"/>
          <w:lang w:eastAsia="en-IN"/>
        </w:rPr>
        <w:t>: Score D.</w:t>
      </w:r>
    </w:p>
    <w:p w14:paraId="1FC9C7CA" w14:textId="77777777" w:rsidR="007518E4" w:rsidRPr="00B70B2B" w:rsidRDefault="007518E4" w:rsidP="00AB3A56">
      <w:pPr>
        <w:spacing w:after="240"/>
        <w:ind w:left="0"/>
        <w:rPr>
          <w:rFonts w:ascii="Times New Roman" w:eastAsia="Calibri" w:hAnsi="Times New Roman"/>
          <w:b/>
          <w:bCs/>
          <w:color w:val="F06322"/>
          <w:spacing w:val="-1"/>
          <w:sz w:val="24"/>
        </w:rPr>
      </w:pPr>
      <w:r w:rsidRPr="00FE6ED4">
        <w:rPr>
          <w:rFonts w:ascii="Times New Roman" w:eastAsia="Calibri" w:hAnsi="Times New Roman"/>
          <w:b/>
          <w:bCs/>
          <w:color w:val="F06322"/>
          <w:spacing w:val="-1"/>
          <w:sz w:val="24"/>
        </w:rPr>
        <w:t xml:space="preserve">18.2. Legislative </w:t>
      </w:r>
      <w:r>
        <w:rPr>
          <w:rFonts w:ascii="Times New Roman" w:eastAsia="Calibri" w:hAnsi="Times New Roman"/>
          <w:b/>
          <w:bCs/>
          <w:color w:val="F06322"/>
          <w:spacing w:val="-1"/>
          <w:sz w:val="24"/>
        </w:rPr>
        <w:t>p</w:t>
      </w:r>
      <w:r w:rsidRPr="00FE6ED4">
        <w:rPr>
          <w:rFonts w:ascii="Times New Roman" w:eastAsia="Calibri" w:hAnsi="Times New Roman"/>
          <w:b/>
          <w:bCs/>
          <w:color w:val="F06322"/>
          <w:spacing w:val="-1"/>
          <w:sz w:val="24"/>
        </w:rPr>
        <w:t xml:space="preserve">rocedures for </w:t>
      </w:r>
      <w:r>
        <w:rPr>
          <w:rFonts w:ascii="Times New Roman" w:eastAsia="Calibri" w:hAnsi="Times New Roman"/>
          <w:b/>
          <w:bCs/>
          <w:color w:val="F06322"/>
          <w:spacing w:val="-1"/>
          <w:sz w:val="24"/>
        </w:rPr>
        <w:t>b</w:t>
      </w:r>
      <w:r w:rsidRPr="00FE6ED4">
        <w:rPr>
          <w:rFonts w:ascii="Times New Roman" w:eastAsia="Calibri" w:hAnsi="Times New Roman"/>
          <w:b/>
          <w:bCs/>
          <w:color w:val="F06322"/>
          <w:spacing w:val="-1"/>
          <w:sz w:val="24"/>
        </w:rPr>
        <w:t xml:space="preserve">udget </w:t>
      </w:r>
      <w:r>
        <w:rPr>
          <w:rFonts w:ascii="Times New Roman" w:eastAsia="Calibri" w:hAnsi="Times New Roman"/>
          <w:b/>
          <w:bCs/>
          <w:color w:val="F06322"/>
          <w:spacing w:val="-1"/>
          <w:sz w:val="24"/>
        </w:rPr>
        <w:t>s</w:t>
      </w:r>
      <w:r w:rsidRPr="00FE6ED4">
        <w:rPr>
          <w:rFonts w:ascii="Times New Roman" w:eastAsia="Calibri" w:hAnsi="Times New Roman"/>
          <w:b/>
          <w:bCs/>
          <w:color w:val="F06322"/>
          <w:spacing w:val="-1"/>
          <w:sz w:val="24"/>
        </w:rPr>
        <w:t>crutiny</w:t>
      </w:r>
    </w:p>
    <w:p w14:paraId="1B02413D" w14:textId="77777777" w:rsidR="007518E4" w:rsidRDefault="007518E4" w:rsidP="008037D9">
      <w:pPr>
        <w:pStyle w:val="ListParagraph"/>
        <w:numPr>
          <w:ilvl w:val="0"/>
          <w:numId w:val="58"/>
        </w:numPr>
        <w:spacing w:after="240"/>
        <w:contextualSpacing w:val="0"/>
        <w:rPr>
          <w:rFonts w:ascii="Times New Roman" w:hAnsi="Times New Roman"/>
          <w:sz w:val="24"/>
          <w:lang w:eastAsia="en-IN"/>
        </w:rPr>
      </w:pPr>
      <w:r w:rsidRPr="00AB3A56">
        <w:rPr>
          <w:rFonts w:ascii="Times New Roman" w:hAnsi="Times New Roman"/>
          <w:b/>
          <w:sz w:val="24"/>
          <w:lang w:eastAsia="en-IN"/>
        </w:rPr>
        <w:t>The NA has well established procedures for the budget scrutiny process, set out in the Constitution and the 2015 National Assembly Law, which are adhered to</w:t>
      </w:r>
      <w:r w:rsidRPr="000D2976">
        <w:rPr>
          <w:rFonts w:ascii="Times New Roman" w:hAnsi="Times New Roman"/>
          <w:sz w:val="24"/>
          <w:lang w:eastAsia="en-IN"/>
        </w:rPr>
        <w:t>. The Planning, Finance and Audit Committee (PFAC) of the NA is the committee i</w:t>
      </w:r>
      <w:r w:rsidR="00395F9A">
        <w:rPr>
          <w:rFonts w:ascii="Times New Roman" w:hAnsi="Times New Roman"/>
          <w:sz w:val="24"/>
          <w:lang w:eastAsia="en-IN"/>
        </w:rPr>
        <w:t>n</w:t>
      </w:r>
      <w:r w:rsidRPr="000D2976">
        <w:rPr>
          <w:rFonts w:ascii="Times New Roman" w:hAnsi="Times New Roman"/>
          <w:sz w:val="24"/>
          <w:lang w:eastAsia="en-IN"/>
        </w:rPr>
        <w:t xml:space="preserve"> charge of overseeing the planning and budget proposals submitted by the government and the financial and compliance audit report submitted by the SAO. Its </w:t>
      </w:r>
      <w:proofErr w:type="spellStart"/>
      <w:r w:rsidRPr="000D2976">
        <w:rPr>
          <w:rFonts w:ascii="Times New Roman" w:hAnsi="Times New Roman"/>
          <w:sz w:val="24"/>
          <w:lang w:eastAsia="en-IN"/>
        </w:rPr>
        <w:t>ToRs</w:t>
      </w:r>
      <w:proofErr w:type="spellEnd"/>
      <w:r w:rsidRPr="000D2976">
        <w:rPr>
          <w:rFonts w:ascii="Times New Roman" w:hAnsi="Times New Roman"/>
          <w:sz w:val="24"/>
          <w:lang w:eastAsia="en-IN"/>
        </w:rPr>
        <w:t xml:space="preserve"> </w:t>
      </w:r>
      <w:r w:rsidR="005263CA">
        <w:rPr>
          <w:rFonts w:ascii="Times New Roman" w:hAnsi="Times New Roman"/>
          <w:sz w:val="24"/>
          <w:lang w:eastAsia="en-IN"/>
        </w:rPr>
        <w:t xml:space="preserve">are approved by the NA and </w:t>
      </w:r>
      <w:r w:rsidRPr="000D2976">
        <w:rPr>
          <w:rFonts w:ascii="Times New Roman" w:hAnsi="Times New Roman"/>
          <w:sz w:val="24"/>
          <w:lang w:eastAsia="en-IN"/>
        </w:rPr>
        <w:t>include the preparatory discussions with all relevan</w:t>
      </w:r>
      <w:r>
        <w:rPr>
          <w:rFonts w:ascii="Times New Roman" w:hAnsi="Times New Roman"/>
          <w:sz w:val="24"/>
          <w:lang w:eastAsia="en-IN"/>
        </w:rPr>
        <w:t>t parties to provide comments on</w:t>
      </w:r>
      <w:r w:rsidRPr="000D2976">
        <w:rPr>
          <w:rFonts w:ascii="Times New Roman" w:hAnsi="Times New Roman"/>
          <w:sz w:val="24"/>
          <w:lang w:eastAsia="en-IN"/>
        </w:rPr>
        <w:t xml:space="preserve"> </w:t>
      </w:r>
      <w:r>
        <w:rPr>
          <w:rFonts w:ascii="Times New Roman" w:hAnsi="Times New Roman"/>
          <w:sz w:val="24"/>
          <w:lang w:eastAsia="en-IN"/>
        </w:rPr>
        <w:t>overall vision</w:t>
      </w:r>
      <w:r w:rsidRPr="000D2976">
        <w:rPr>
          <w:rFonts w:ascii="Times New Roman" w:hAnsi="Times New Roman"/>
          <w:sz w:val="24"/>
          <w:lang w:eastAsia="en-IN"/>
        </w:rPr>
        <w:t>, strategies, social-economic plans, state budget plans, P</w:t>
      </w:r>
      <w:r>
        <w:rPr>
          <w:rFonts w:ascii="Times New Roman" w:hAnsi="Times New Roman"/>
          <w:sz w:val="24"/>
          <w:lang w:eastAsia="en-IN"/>
        </w:rPr>
        <w:t>IP and other documents that are to</w:t>
      </w:r>
      <w:r w:rsidRPr="000D2976">
        <w:rPr>
          <w:rFonts w:ascii="Times New Roman" w:hAnsi="Times New Roman"/>
          <w:sz w:val="24"/>
          <w:lang w:eastAsia="en-IN"/>
        </w:rPr>
        <w:t xml:space="preserve"> be discussed during the formal NA sessions. </w:t>
      </w:r>
      <w:r>
        <w:rPr>
          <w:rFonts w:ascii="Times New Roman" w:hAnsi="Times New Roman"/>
          <w:sz w:val="24"/>
          <w:lang w:eastAsia="en-IN"/>
        </w:rPr>
        <w:t xml:space="preserve"> </w:t>
      </w:r>
      <w:r w:rsidRPr="000D2976">
        <w:rPr>
          <w:rFonts w:ascii="Times New Roman" w:hAnsi="Times New Roman"/>
          <w:sz w:val="24"/>
          <w:lang w:eastAsia="en-IN"/>
        </w:rPr>
        <w:t xml:space="preserve">It is </w:t>
      </w:r>
      <w:r w:rsidR="00F82DB5">
        <w:rPr>
          <w:rFonts w:ascii="Times New Roman" w:hAnsi="Times New Roman"/>
          <w:sz w:val="24"/>
          <w:lang w:eastAsia="en-IN"/>
        </w:rPr>
        <w:t xml:space="preserve">one </w:t>
      </w:r>
      <w:r w:rsidRPr="000D2976">
        <w:rPr>
          <w:rFonts w:ascii="Times New Roman" w:hAnsi="Times New Roman"/>
          <w:sz w:val="24"/>
          <w:lang w:eastAsia="en-IN"/>
        </w:rPr>
        <w:t>of the largest committees composed of 5 divisions with 28 assembly members sup</w:t>
      </w:r>
      <w:r>
        <w:rPr>
          <w:rFonts w:ascii="Times New Roman" w:hAnsi="Times New Roman"/>
          <w:sz w:val="24"/>
          <w:lang w:eastAsia="en-IN"/>
        </w:rPr>
        <w:t xml:space="preserve">ported by 19 technical staff. </w:t>
      </w:r>
    </w:p>
    <w:p w14:paraId="408D851F" w14:textId="77777777" w:rsidR="007518E4" w:rsidRDefault="007518E4" w:rsidP="008037D9">
      <w:pPr>
        <w:pStyle w:val="ListParagraph"/>
        <w:numPr>
          <w:ilvl w:val="0"/>
          <w:numId w:val="58"/>
        </w:numPr>
        <w:spacing w:after="240"/>
        <w:contextualSpacing w:val="0"/>
        <w:rPr>
          <w:rFonts w:ascii="Times New Roman" w:hAnsi="Times New Roman"/>
          <w:sz w:val="24"/>
          <w:lang w:eastAsia="en-IN"/>
        </w:rPr>
      </w:pPr>
      <w:r w:rsidRPr="00AB3A56">
        <w:rPr>
          <w:rFonts w:ascii="Times New Roman" w:hAnsi="Times New Roman"/>
          <w:b/>
          <w:sz w:val="24"/>
          <w:lang w:eastAsia="en-IN"/>
        </w:rPr>
        <w:t>The PFAC usually holds consultations with MoF and relevant ministries prior to the formal budget proposal hearings</w:t>
      </w:r>
      <w:r w:rsidR="00374990">
        <w:rPr>
          <w:rFonts w:ascii="Times New Roman" w:hAnsi="Times New Roman"/>
          <w:sz w:val="24"/>
          <w:lang w:eastAsia="en-IN"/>
        </w:rPr>
        <w:t xml:space="preserve">. </w:t>
      </w:r>
      <w:r w:rsidR="00AB3A56">
        <w:rPr>
          <w:rFonts w:ascii="Times New Roman" w:hAnsi="Times New Roman"/>
          <w:sz w:val="24"/>
          <w:lang w:eastAsia="en-IN"/>
        </w:rPr>
        <w:t>It also</w:t>
      </w:r>
      <w:r w:rsidRPr="003D3102">
        <w:rPr>
          <w:rFonts w:ascii="Times New Roman" w:hAnsi="Times New Roman"/>
          <w:sz w:val="24"/>
          <w:lang w:eastAsia="en-IN"/>
        </w:rPr>
        <w:t xml:space="preserve"> coordinates the pre-consultation and consolidates the final reporting on the sectoral budget plans with other specialized committees </w:t>
      </w:r>
      <w:r w:rsidRPr="003D3102">
        <w:rPr>
          <w:rFonts w:ascii="Times New Roman" w:hAnsi="Times New Roman"/>
          <w:sz w:val="24"/>
          <w:lang w:eastAsia="en-IN"/>
        </w:rPr>
        <w:lastRenderedPageBreak/>
        <w:t>such as the Committees for Culture, Social Affairs or Technology and Science to secure a consensus before the NA receives the complete package of budget documents from MoF (PI-5, elements1-5) 2 weeks to 10 days before the annual NA session for scrutiny, debate and 6-month revised estimates.</w:t>
      </w:r>
    </w:p>
    <w:p w14:paraId="1038C670" w14:textId="77777777" w:rsidR="007518E4" w:rsidRDefault="007518E4" w:rsidP="008037D9">
      <w:pPr>
        <w:pStyle w:val="ListParagraph"/>
        <w:numPr>
          <w:ilvl w:val="0"/>
          <w:numId w:val="58"/>
        </w:numPr>
        <w:spacing w:after="240"/>
        <w:contextualSpacing w:val="0"/>
        <w:rPr>
          <w:rFonts w:ascii="Times New Roman" w:hAnsi="Times New Roman"/>
          <w:sz w:val="24"/>
          <w:lang w:eastAsia="en-IN"/>
        </w:rPr>
      </w:pPr>
      <w:r w:rsidRPr="00AB3A56">
        <w:rPr>
          <w:rFonts w:ascii="Times New Roman" w:hAnsi="Times New Roman"/>
          <w:b/>
          <w:sz w:val="24"/>
          <w:lang w:eastAsia="en-IN"/>
        </w:rPr>
        <w:t>The MoF defends its budget proposal with the Planning, Finance and Audit Committee</w:t>
      </w:r>
      <w:r w:rsidR="00AB3A56">
        <w:rPr>
          <w:rFonts w:ascii="Times New Roman" w:hAnsi="Times New Roman"/>
          <w:sz w:val="24"/>
          <w:lang w:eastAsia="en-IN"/>
        </w:rPr>
        <w:t>.  S</w:t>
      </w:r>
      <w:r w:rsidRPr="003D3102">
        <w:rPr>
          <w:rFonts w:ascii="Times New Roman" w:hAnsi="Times New Roman"/>
          <w:sz w:val="24"/>
          <w:lang w:eastAsia="en-IN"/>
        </w:rPr>
        <w:t>ector ministries defend their budgets in f</w:t>
      </w:r>
      <w:r w:rsidR="00374990">
        <w:rPr>
          <w:rFonts w:ascii="Times New Roman" w:hAnsi="Times New Roman"/>
          <w:sz w:val="24"/>
          <w:lang w:eastAsia="en-IN"/>
        </w:rPr>
        <w:t xml:space="preserve">ront of the sector committees. </w:t>
      </w:r>
      <w:r w:rsidRPr="003D3102">
        <w:rPr>
          <w:rFonts w:ascii="Times New Roman" w:hAnsi="Times New Roman"/>
          <w:sz w:val="24"/>
          <w:lang w:eastAsia="en-IN"/>
        </w:rPr>
        <w:t>These then report their findings and proposals to the PFAC, which consolidate</w:t>
      </w:r>
      <w:r w:rsidR="00374990">
        <w:rPr>
          <w:rFonts w:ascii="Times New Roman" w:hAnsi="Times New Roman"/>
          <w:sz w:val="24"/>
          <w:lang w:eastAsia="en-IN"/>
        </w:rPr>
        <w:t xml:space="preserve">s the reports into one report. </w:t>
      </w:r>
      <w:r w:rsidRPr="003D3102">
        <w:rPr>
          <w:rFonts w:ascii="Times New Roman" w:hAnsi="Times New Roman"/>
          <w:sz w:val="24"/>
          <w:lang w:eastAsia="en-IN"/>
        </w:rPr>
        <w:t xml:space="preserve">This report is sent to the plenary NA for final discussion and approval. </w:t>
      </w:r>
    </w:p>
    <w:p w14:paraId="6D2177CC" w14:textId="77777777" w:rsidR="007518E4" w:rsidRDefault="007518E4" w:rsidP="008037D9">
      <w:pPr>
        <w:pStyle w:val="ListParagraph"/>
        <w:numPr>
          <w:ilvl w:val="0"/>
          <w:numId w:val="58"/>
        </w:numPr>
        <w:spacing w:after="240"/>
        <w:contextualSpacing w:val="0"/>
        <w:rPr>
          <w:rFonts w:ascii="Times New Roman" w:hAnsi="Times New Roman"/>
          <w:sz w:val="24"/>
          <w:lang w:eastAsia="en-IN"/>
        </w:rPr>
      </w:pPr>
      <w:r w:rsidRPr="00AB3A56">
        <w:rPr>
          <w:rFonts w:ascii="Times New Roman" w:hAnsi="Times New Roman"/>
          <w:b/>
          <w:sz w:val="24"/>
          <w:lang w:eastAsia="en-IN"/>
        </w:rPr>
        <w:t>Negotiation procedures can take place which, in principle, give powers to the Assembly to approve or refuse the government proposal.</w:t>
      </w:r>
      <w:r w:rsidRPr="003D3102">
        <w:rPr>
          <w:rFonts w:ascii="Times New Roman" w:hAnsi="Times New Roman"/>
          <w:sz w:val="24"/>
          <w:lang w:eastAsia="en-IN"/>
        </w:rPr>
        <w:t xml:space="preserve">  However</w:t>
      </w:r>
      <w:proofErr w:type="gramStart"/>
      <w:r w:rsidRPr="003D3102">
        <w:rPr>
          <w:rFonts w:ascii="Times New Roman" w:hAnsi="Times New Roman"/>
          <w:sz w:val="24"/>
          <w:lang w:eastAsia="en-IN"/>
        </w:rPr>
        <w:t>, in reality, the</w:t>
      </w:r>
      <w:proofErr w:type="gramEnd"/>
      <w:r w:rsidRPr="003D3102">
        <w:rPr>
          <w:rFonts w:ascii="Times New Roman" w:hAnsi="Times New Roman"/>
          <w:sz w:val="24"/>
          <w:lang w:eastAsia="en-IN"/>
        </w:rPr>
        <w:t xml:space="preserve"> NA cannot impose any changes to the submitted revenue or expenditure estimates at this late stage of the budget formulation cycle and after the budget framework and revenue targets have been agreed. The NA does not review the detailed breakdown of the State Budget Plan subsequently to the NA resolution on the aggregate figures.</w:t>
      </w:r>
    </w:p>
    <w:p w14:paraId="37FDC765" w14:textId="77777777" w:rsidR="007518E4" w:rsidRDefault="007518E4" w:rsidP="008037D9">
      <w:pPr>
        <w:pStyle w:val="ListParagraph"/>
        <w:numPr>
          <w:ilvl w:val="0"/>
          <w:numId w:val="58"/>
        </w:numPr>
        <w:spacing w:after="240"/>
        <w:contextualSpacing w:val="0"/>
        <w:rPr>
          <w:rFonts w:ascii="Times New Roman" w:hAnsi="Times New Roman"/>
          <w:sz w:val="24"/>
        </w:rPr>
      </w:pPr>
      <w:r w:rsidRPr="00AB3A56">
        <w:rPr>
          <w:rFonts w:ascii="Times New Roman" w:hAnsi="Times New Roman"/>
          <w:b/>
          <w:sz w:val="24"/>
          <w:lang w:eastAsia="en-IN"/>
        </w:rPr>
        <w:t>The participation of civil society in the review of budget proposals is limited to possible consultations of representatives of various sector specific civil society organizations during the planning process</w:t>
      </w:r>
      <w:r w:rsidRPr="003D3102">
        <w:rPr>
          <w:rFonts w:ascii="Times New Roman" w:hAnsi="Times New Roman"/>
          <w:sz w:val="24"/>
          <w:lang w:eastAsia="en-IN"/>
        </w:rPr>
        <w:t xml:space="preserve">. All other meetings and discussion are held without the media or the public and minutes of the meetings are kept internally by the NA Secretariat. </w:t>
      </w:r>
    </w:p>
    <w:p w14:paraId="1DD731F4" w14:textId="77777777" w:rsidR="007518E4" w:rsidRPr="003D3102" w:rsidRDefault="007518E4" w:rsidP="008037D9">
      <w:pPr>
        <w:pStyle w:val="ListParagraph"/>
        <w:numPr>
          <w:ilvl w:val="0"/>
          <w:numId w:val="58"/>
        </w:numPr>
        <w:spacing w:after="240"/>
        <w:contextualSpacing w:val="0"/>
        <w:rPr>
          <w:rFonts w:ascii="Times New Roman" w:hAnsi="Times New Roman"/>
          <w:sz w:val="24"/>
        </w:rPr>
      </w:pPr>
      <w:r w:rsidRPr="00AB3A56">
        <w:rPr>
          <w:rFonts w:ascii="Times New Roman" w:hAnsi="Times New Roman"/>
          <w:b/>
          <w:sz w:val="24"/>
          <w:lang w:eastAsia="en-IN"/>
        </w:rPr>
        <w:t>The National Assembly has well established procedures for scrutiny of the budget, which are adhered to</w:t>
      </w:r>
      <w:r w:rsidRPr="003D3102">
        <w:rPr>
          <w:rFonts w:ascii="Times New Roman" w:hAnsi="Times New Roman"/>
          <w:sz w:val="24"/>
          <w:lang w:eastAsia="en-IN"/>
        </w:rPr>
        <w:t xml:space="preserve">. The procedures include negotiation procedures prior to the NA session, technical support to committees in charge of the prior review, consultations with relevant stakeholders including the ministries, but specific and formal rules for the review committees and negotiations procedures </w:t>
      </w:r>
      <w:r w:rsidR="00107AF7">
        <w:rPr>
          <w:rFonts w:ascii="Times New Roman" w:hAnsi="Times New Roman"/>
          <w:sz w:val="24"/>
          <w:lang w:eastAsia="en-IN"/>
        </w:rPr>
        <w:t xml:space="preserve">are included in </w:t>
      </w:r>
      <w:r w:rsidRPr="003D3102">
        <w:rPr>
          <w:rFonts w:ascii="Times New Roman" w:hAnsi="Times New Roman"/>
          <w:sz w:val="24"/>
          <w:lang w:eastAsia="en-IN"/>
        </w:rPr>
        <w:t xml:space="preserve">the </w:t>
      </w:r>
      <w:proofErr w:type="spellStart"/>
      <w:r w:rsidRPr="003D3102">
        <w:rPr>
          <w:rFonts w:ascii="Times New Roman" w:hAnsi="Times New Roman"/>
          <w:sz w:val="24"/>
          <w:lang w:eastAsia="en-IN"/>
        </w:rPr>
        <w:t>ToRs</w:t>
      </w:r>
      <w:proofErr w:type="spellEnd"/>
      <w:r w:rsidRPr="003D3102">
        <w:rPr>
          <w:rFonts w:ascii="Times New Roman" w:hAnsi="Times New Roman"/>
          <w:sz w:val="24"/>
          <w:lang w:eastAsia="en-IN"/>
        </w:rPr>
        <w:t xml:space="preserve"> – and there are no public consultation arrangements. Score </w:t>
      </w:r>
      <w:r w:rsidR="005263CA">
        <w:rPr>
          <w:rFonts w:ascii="Times New Roman" w:hAnsi="Times New Roman"/>
          <w:sz w:val="24"/>
          <w:lang w:eastAsia="en-IN"/>
        </w:rPr>
        <w:t>B</w:t>
      </w:r>
    </w:p>
    <w:p w14:paraId="63A42352" w14:textId="77777777" w:rsidR="007518E4" w:rsidRPr="00FE6ED4" w:rsidRDefault="007518E4" w:rsidP="00473AF2">
      <w:pPr>
        <w:spacing w:after="240"/>
        <w:ind w:left="0"/>
        <w:rPr>
          <w:rFonts w:ascii="Times New Roman" w:eastAsia="Calibri" w:hAnsi="Times New Roman"/>
          <w:b/>
          <w:bCs/>
          <w:color w:val="F06322"/>
          <w:spacing w:val="-1"/>
          <w:sz w:val="24"/>
        </w:rPr>
      </w:pPr>
      <w:r w:rsidRPr="00FE6ED4">
        <w:rPr>
          <w:rFonts w:ascii="Times New Roman" w:eastAsia="Calibri" w:hAnsi="Times New Roman"/>
          <w:b/>
          <w:bCs/>
          <w:color w:val="F06322"/>
          <w:spacing w:val="-1"/>
          <w:sz w:val="24"/>
        </w:rPr>
        <w:t xml:space="preserve">18.3. Timing of </w:t>
      </w:r>
      <w:r>
        <w:rPr>
          <w:rFonts w:ascii="Times New Roman" w:eastAsia="Calibri" w:hAnsi="Times New Roman"/>
          <w:b/>
          <w:bCs/>
          <w:color w:val="F06322"/>
          <w:spacing w:val="-1"/>
          <w:sz w:val="24"/>
        </w:rPr>
        <w:t>b</w:t>
      </w:r>
      <w:r w:rsidRPr="00FE6ED4">
        <w:rPr>
          <w:rFonts w:ascii="Times New Roman" w:eastAsia="Calibri" w:hAnsi="Times New Roman"/>
          <w:b/>
          <w:bCs/>
          <w:color w:val="F06322"/>
          <w:spacing w:val="-1"/>
          <w:sz w:val="24"/>
        </w:rPr>
        <w:t xml:space="preserve">udget </w:t>
      </w:r>
      <w:r>
        <w:rPr>
          <w:rFonts w:ascii="Times New Roman" w:eastAsia="Calibri" w:hAnsi="Times New Roman"/>
          <w:b/>
          <w:bCs/>
          <w:color w:val="F06322"/>
          <w:spacing w:val="-1"/>
          <w:sz w:val="24"/>
        </w:rPr>
        <w:t>a</w:t>
      </w:r>
      <w:r w:rsidRPr="00FE6ED4">
        <w:rPr>
          <w:rFonts w:ascii="Times New Roman" w:eastAsia="Calibri" w:hAnsi="Times New Roman"/>
          <w:b/>
          <w:bCs/>
          <w:color w:val="F06322"/>
          <w:spacing w:val="-1"/>
          <w:sz w:val="24"/>
        </w:rPr>
        <w:t>pproval</w:t>
      </w:r>
    </w:p>
    <w:p w14:paraId="2AEBFE25" w14:textId="77777777" w:rsidR="007518E4" w:rsidRPr="00473AF2" w:rsidRDefault="007518E4" w:rsidP="008037D9">
      <w:pPr>
        <w:pStyle w:val="ListParagraph"/>
        <w:numPr>
          <w:ilvl w:val="0"/>
          <w:numId w:val="58"/>
        </w:numPr>
        <w:spacing w:after="240"/>
        <w:contextualSpacing w:val="0"/>
        <w:rPr>
          <w:rFonts w:ascii="Times New Roman" w:eastAsia="ヒラギノ角ゴ Pro W3" w:hAnsi="Times New Roman"/>
          <w:color w:val="000000"/>
          <w:sz w:val="24"/>
          <w:lang w:eastAsia="en-IN"/>
        </w:rPr>
      </w:pPr>
      <w:r w:rsidRPr="00473AF2">
        <w:rPr>
          <w:rFonts w:ascii="Times New Roman" w:eastAsia="ヒラギノ角ゴ Pro W3" w:hAnsi="Times New Roman"/>
          <w:b/>
          <w:color w:val="000000"/>
          <w:sz w:val="24"/>
          <w:lang w:eastAsia="en-IN"/>
        </w:rPr>
        <w:t>The NA has adopted the resolution on the State Budget plan systematically before the start of the new fiscal year for the last three fiscal years, as shown in the table 17.3 above</w:t>
      </w:r>
      <w:r w:rsidRPr="00473AF2">
        <w:rPr>
          <w:rFonts w:ascii="Times New Roman" w:eastAsia="ヒラギノ角ゴ Pro W3" w:hAnsi="Times New Roman"/>
          <w:color w:val="000000"/>
          <w:sz w:val="24"/>
          <w:lang w:eastAsia="en-IN"/>
        </w:rPr>
        <w:t xml:space="preserve">: Score A. </w:t>
      </w:r>
    </w:p>
    <w:p w14:paraId="3A81A6DC" w14:textId="77777777" w:rsidR="007518E4" w:rsidRPr="003533D6" w:rsidRDefault="007518E4" w:rsidP="00473AF2">
      <w:pPr>
        <w:spacing w:after="240"/>
        <w:ind w:left="0"/>
        <w:rPr>
          <w:rFonts w:ascii="Times New Roman Bold" w:eastAsia="Calibri" w:hAnsi="Times New Roman Bold"/>
          <w:b/>
          <w:bCs/>
          <w:color w:val="F06322"/>
          <w:spacing w:val="-1"/>
          <w:sz w:val="24"/>
        </w:rPr>
      </w:pPr>
      <w:r w:rsidRPr="003533D6">
        <w:rPr>
          <w:rFonts w:ascii="Times New Roman Bold" w:eastAsia="Calibri" w:hAnsi="Times New Roman Bold"/>
          <w:b/>
          <w:bCs/>
          <w:color w:val="F06322"/>
          <w:spacing w:val="-1"/>
          <w:sz w:val="24"/>
        </w:rPr>
        <w:t xml:space="preserve">18.4. Rules for budget </w:t>
      </w:r>
      <w:r>
        <w:rPr>
          <w:rFonts w:ascii="Times New Roman Bold" w:eastAsia="Calibri" w:hAnsi="Times New Roman Bold"/>
          <w:b/>
          <w:bCs/>
          <w:color w:val="F06322"/>
          <w:spacing w:val="-1"/>
          <w:sz w:val="24"/>
        </w:rPr>
        <w:t>a</w:t>
      </w:r>
      <w:r w:rsidRPr="003533D6">
        <w:rPr>
          <w:rFonts w:ascii="Times New Roman Bold" w:eastAsia="Calibri" w:hAnsi="Times New Roman Bold"/>
          <w:b/>
          <w:bCs/>
          <w:color w:val="F06322"/>
          <w:spacing w:val="-1"/>
          <w:sz w:val="24"/>
        </w:rPr>
        <w:t xml:space="preserve">djustments by the </w:t>
      </w:r>
      <w:r>
        <w:rPr>
          <w:rFonts w:ascii="Times New Roman Bold" w:eastAsia="Calibri" w:hAnsi="Times New Roman Bold"/>
          <w:b/>
          <w:bCs/>
          <w:color w:val="F06322"/>
          <w:spacing w:val="-1"/>
          <w:sz w:val="24"/>
        </w:rPr>
        <w:t>e</w:t>
      </w:r>
      <w:r w:rsidRPr="003533D6">
        <w:rPr>
          <w:rFonts w:ascii="Times New Roman Bold" w:eastAsia="Calibri" w:hAnsi="Times New Roman Bold"/>
          <w:b/>
          <w:bCs/>
          <w:color w:val="F06322"/>
          <w:spacing w:val="-1"/>
          <w:sz w:val="24"/>
        </w:rPr>
        <w:t xml:space="preserve">xecutive </w:t>
      </w:r>
    </w:p>
    <w:p w14:paraId="1AEB2276" w14:textId="77777777" w:rsidR="007518E4" w:rsidRPr="0041259E" w:rsidRDefault="007518E4" w:rsidP="008037D9">
      <w:pPr>
        <w:pStyle w:val="ListParagraph"/>
        <w:numPr>
          <w:ilvl w:val="0"/>
          <w:numId w:val="61"/>
        </w:numPr>
        <w:spacing w:after="240"/>
        <w:contextualSpacing w:val="0"/>
        <w:rPr>
          <w:rFonts w:ascii="Times New Roman" w:hAnsi="Times New Roman"/>
          <w:bCs/>
          <w:sz w:val="24"/>
        </w:rPr>
      </w:pPr>
      <w:r w:rsidRPr="00473AF2">
        <w:rPr>
          <w:rFonts w:ascii="Times New Roman" w:hAnsi="Times New Roman"/>
          <w:b/>
          <w:sz w:val="24"/>
        </w:rPr>
        <w:t>In-year budget allocations are clearly defined</w:t>
      </w:r>
      <w:r w:rsidR="00473AF2">
        <w:rPr>
          <w:rFonts w:ascii="Times New Roman" w:hAnsi="Times New Roman"/>
          <w:b/>
          <w:sz w:val="24"/>
        </w:rPr>
        <w:t xml:space="preserve">. </w:t>
      </w:r>
      <w:r w:rsidR="00473AF2" w:rsidRPr="00473AF2">
        <w:rPr>
          <w:rFonts w:ascii="Times New Roman" w:hAnsi="Times New Roman"/>
          <w:sz w:val="24"/>
        </w:rPr>
        <w:t>B</w:t>
      </w:r>
      <w:r>
        <w:rPr>
          <w:rFonts w:ascii="Times New Roman" w:hAnsi="Times New Roman"/>
          <w:sz w:val="24"/>
        </w:rPr>
        <w:t>ased on the adjustments in 2015/16 and 2017, there</w:t>
      </w:r>
      <w:r w:rsidRPr="0041259E">
        <w:rPr>
          <w:rFonts w:ascii="Times New Roman" w:hAnsi="Times New Roman"/>
          <w:sz w:val="24"/>
        </w:rPr>
        <w:t xml:space="preserve"> is adherence to the rules in the period of the assessment. The SBL defines authorized</w:t>
      </w:r>
      <w:r w:rsidRPr="0041259E">
        <w:rPr>
          <w:rFonts w:ascii="Times New Roman" w:hAnsi="Times New Roman"/>
          <w:bCs/>
          <w:sz w:val="24"/>
        </w:rPr>
        <w:t xml:space="preserve"> budget adjustment </w:t>
      </w:r>
      <w:r w:rsidRPr="0041259E">
        <w:rPr>
          <w:rFonts w:ascii="Times New Roman" w:hAnsi="Times New Roman"/>
          <w:sz w:val="24"/>
        </w:rPr>
        <w:t>as “the upward (or downward) revisions of the state budget in case of higher (or lower) than target revenue collection, policy change or unexpected events impacting the annual state revenues and expenditures”</w:t>
      </w:r>
      <w:r w:rsidR="00374990">
        <w:rPr>
          <w:rFonts w:ascii="Times New Roman" w:hAnsi="Times New Roman"/>
          <w:bCs/>
          <w:sz w:val="24"/>
        </w:rPr>
        <w:t xml:space="preserve">. </w:t>
      </w:r>
      <w:r w:rsidRPr="0041259E">
        <w:rPr>
          <w:rFonts w:ascii="Times New Roman" w:hAnsi="Times New Roman"/>
          <w:sz w:val="24"/>
          <w:lang w:val="en-MY"/>
        </w:rPr>
        <w:t>Article 70 stipulates the rules for the r</w:t>
      </w:r>
      <w:r w:rsidRPr="0041259E">
        <w:rPr>
          <w:rFonts w:ascii="Times New Roman" w:hAnsi="Times New Roman"/>
          <w:bCs/>
          <w:sz w:val="24"/>
          <w:lang w:val="en-MY"/>
        </w:rPr>
        <w:t xml:space="preserve">eallocation of State Budget Expenditures </w:t>
      </w:r>
      <w:r w:rsidRPr="0041259E">
        <w:rPr>
          <w:rFonts w:ascii="Times New Roman" w:hAnsi="Times New Roman"/>
          <w:sz w:val="24"/>
          <w:lang w:val="en-MY"/>
        </w:rPr>
        <w:t xml:space="preserve">shall take place as follows: </w:t>
      </w:r>
    </w:p>
    <w:p w14:paraId="4995C8DB" w14:textId="77777777" w:rsidR="007518E4" w:rsidRPr="0041259E" w:rsidRDefault="007518E4" w:rsidP="00374990">
      <w:pPr>
        <w:pStyle w:val="ListParagraph"/>
        <w:numPr>
          <w:ilvl w:val="0"/>
          <w:numId w:val="60"/>
        </w:numPr>
        <w:spacing w:after="120"/>
        <w:contextualSpacing w:val="0"/>
        <w:rPr>
          <w:rFonts w:ascii="Times New Roman" w:hAnsi="Times New Roman"/>
          <w:sz w:val="24"/>
          <w:lang w:val="en-MY"/>
        </w:rPr>
      </w:pPr>
      <w:r w:rsidRPr="0041259E">
        <w:rPr>
          <w:rFonts w:ascii="Times New Roman" w:hAnsi="Times New Roman"/>
          <w:sz w:val="24"/>
          <w:lang w:val="en-MY"/>
        </w:rPr>
        <w:t xml:space="preserve">The transfer of budget expenditures from one line to another within the same chapter of the annual budget plan is decided by the spending units </w:t>
      </w:r>
    </w:p>
    <w:p w14:paraId="1247580C" w14:textId="77777777" w:rsidR="007518E4" w:rsidRPr="0041259E" w:rsidRDefault="007518E4" w:rsidP="00374990">
      <w:pPr>
        <w:pStyle w:val="ListParagraph"/>
        <w:numPr>
          <w:ilvl w:val="0"/>
          <w:numId w:val="60"/>
        </w:numPr>
        <w:spacing w:after="120"/>
        <w:contextualSpacing w:val="0"/>
        <w:rPr>
          <w:rFonts w:ascii="Times New Roman" w:hAnsi="Times New Roman"/>
          <w:sz w:val="24"/>
          <w:lang w:val="en-MY"/>
        </w:rPr>
      </w:pPr>
      <w:r w:rsidRPr="0041259E">
        <w:rPr>
          <w:rFonts w:ascii="Times New Roman" w:hAnsi="Times New Roman"/>
          <w:sz w:val="24"/>
          <w:lang w:val="en-MY"/>
        </w:rPr>
        <w:t>The transfer of budget expenditures from one chapter to another of the annual budget plan is decided by the MoF</w:t>
      </w:r>
    </w:p>
    <w:p w14:paraId="560979B5" w14:textId="77777777" w:rsidR="007518E4" w:rsidRPr="0041259E" w:rsidRDefault="007518E4" w:rsidP="00374990">
      <w:pPr>
        <w:pStyle w:val="ListParagraph"/>
        <w:numPr>
          <w:ilvl w:val="0"/>
          <w:numId w:val="60"/>
        </w:numPr>
        <w:spacing w:before="0" w:after="120"/>
        <w:ind w:left="1077" w:hanging="357"/>
        <w:contextualSpacing w:val="0"/>
        <w:rPr>
          <w:rFonts w:ascii="Times New Roman" w:hAnsi="Times New Roman"/>
          <w:sz w:val="24"/>
          <w:lang w:val="en-MY"/>
        </w:rPr>
      </w:pPr>
      <w:r w:rsidRPr="0041259E">
        <w:rPr>
          <w:rFonts w:ascii="Times New Roman" w:hAnsi="Times New Roman"/>
          <w:sz w:val="24"/>
          <w:lang w:val="en-MY"/>
        </w:rPr>
        <w:lastRenderedPageBreak/>
        <w:t xml:space="preserve">The transfer of budget expenditures from one organization to another, or from one locality to another in the annual budget plan is decided by the Prime Minister and then reported to the National Assembly and Local Assemblies. </w:t>
      </w:r>
    </w:p>
    <w:p w14:paraId="448EFB2E" w14:textId="77777777" w:rsidR="007518E4" w:rsidRDefault="007518E4" w:rsidP="008037D9">
      <w:pPr>
        <w:pStyle w:val="ListParagraph"/>
        <w:numPr>
          <w:ilvl w:val="0"/>
          <w:numId w:val="61"/>
        </w:numPr>
        <w:spacing w:after="240"/>
        <w:contextualSpacing w:val="0"/>
        <w:rPr>
          <w:rFonts w:ascii="Times New Roman" w:eastAsia="ヒラギノ角ゴ Pro W3" w:hAnsi="Times New Roman"/>
          <w:sz w:val="24"/>
          <w:lang w:eastAsia="en-IN"/>
        </w:rPr>
      </w:pPr>
      <w:r w:rsidRPr="00473AF2">
        <w:rPr>
          <w:rFonts w:ascii="Times New Roman" w:hAnsi="Times New Roman"/>
          <w:b/>
          <w:bCs/>
          <w:sz w:val="24"/>
        </w:rPr>
        <w:t>In the last three fiscal years i</w:t>
      </w:r>
      <w:r w:rsidRPr="00473AF2">
        <w:rPr>
          <w:rFonts w:ascii="Times New Roman" w:eastAsia="ヒラギノ角ゴ Pro W3" w:hAnsi="Times New Roman"/>
          <w:b/>
          <w:sz w:val="24"/>
          <w:lang w:eastAsia="en-IN"/>
        </w:rPr>
        <w:t>n-year budget implementation reports (4-month and 6-month) were submitted to the NA in its two sessions in July and October with a proposal for a revised budget which was formally approved</w:t>
      </w:r>
      <w:r w:rsidRPr="00E17EC9">
        <w:rPr>
          <w:rFonts w:ascii="Times New Roman" w:eastAsia="ヒラギノ角ゴ Pro W3" w:hAnsi="Times New Roman"/>
          <w:sz w:val="24"/>
          <w:lang w:eastAsia="en-IN"/>
        </w:rPr>
        <w:t>. The NA usually endorses the State Budget Implementation report at aggregate level, there is little focus or need for further justification.</w:t>
      </w:r>
      <w:r>
        <w:rPr>
          <w:rFonts w:ascii="Times New Roman" w:eastAsia="ヒラギノ角ゴ Pro W3" w:hAnsi="Times New Roman"/>
          <w:sz w:val="24"/>
          <w:lang w:eastAsia="en-IN"/>
        </w:rPr>
        <w:t xml:space="preserve"> </w:t>
      </w:r>
      <w:r w:rsidRPr="00E17EC9">
        <w:rPr>
          <w:rFonts w:ascii="Times New Roman" w:eastAsia="ヒラギノ角ゴ Pro W3" w:hAnsi="Times New Roman"/>
          <w:sz w:val="24"/>
          <w:lang w:eastAsia="en-IN"/>
        </w:rPr>
        <w:t xml:space="preserve">Such transfers are usually not referred to in subsequent reports on budget implementation and SAO reports reviewed for the period do not raise budget reallocation as an issue. In practice, this provision gives significant powers to the executive to change the budget allocations in-year without prior approval of the National Assembly, </w:t>
      </w:r>
      <w:proofErr w:type="gramStart"/>
      <w:r w:rsidRPr="00E17EC9">
        <w:rPr>
          <w:rFonts w:ascii="Times New Roman" w:eastAsia="ヒラギノ角ゴ Pro W3" w:hAnsi="Times New Roman"/>
          <w:sz w:val="24"/>
          <w:lang w:eastAsia="en-IN"/>
        </w:rPr>
        <w:t>as long as</w:t>
      </w:r>
      <w:proofErr w:type="gramEnd"/>
      <w:r w:rsidRPr="00E17EC9">
        <w:rPr>
          <w:rFonts w:ascii="Times New Roman" w:eastAsia="ヒラギノ角ゴ Pro W3" w:hAnsi="Times New Roman"/>
          <w:sz w:val="24"/>
          <w:lang w:eastAsia="en-IN"/>
        </w:rPr>
        <w:t xml:space="preserve"> the overall amount of expenditure stays within the aggregate of approved appropriations. </w:t>
      </w:r>
    </w:p>
    <w:p w14:paraId="3C46F92A" w14:textId="77777777" w:rsidR="007518E4" w:rsidRPr="00E17EC9" w:rsidRDefault="007518E4" w:rsidP="008037D9">
      <w:pPr>
        <w:pStyle w:val="ListParagraph"/>
        <w:numPr>
          <w:ilvl w:val="0"/>
          <w:numId w:val="61"/>
        </w:numPr>
        <w:spacing w:after="240"/>
        <w:contextualSpacing w:val="0"/>
        <w:rPr>
          <w:rFonts w:ascii="Times New Roman" w:eastAsia="ヒラギノ角ゴ Pro W3" w:hAnsi="Times New Roman"/>
          <w:sz w:val="24"/>
          <w:lang w:eastAsia="en-IN"/>
        </w:rPr>
      </w:pPr>
      <w:r w:rsidRPr="00473AF2">
        <w:rPr>
          <w:rFonts w:ascii="Times New Roman" w:eastAsia="ヒラギノ角ゴ Pro W3" w:hAnsi="Times New Roman"/>
          <w:b/>
          <w:sz w:val="24"/>
          <w:lang w:eastAsia="en-IN"/>
        </w:rPr>
        <w:t>An exceptional adjustment to the revised budget took place in 2016</w:t>
      </w:r>
      <w:r w:rsidR="00473AF2" w:rsidRPr="00473AF2">
        <w:rPr>
          <w:rFonts w:ascii="Times New Roman" w:eastAsia="ヒラギノ角ゴ Pro W3" w:hAnsi="Times New Roman"/>
          <w:sz w:val="24"/>
          <w:lang w:eastAsia="en-IN"/>
        </w:rPr>
        <w:t>.  This was</w:t>
      </w:r>
      <w:r w:rsidR="00473AF2">
        <w:rPr>
          <w:rFonts w:ascii="Times New Roman" w:eastAsia="ヒラギノ角ゴ Pro W3" w:hAnsi="Times New Roman"/>
          <w:b/>
          <w:sz w:val="24"/>
          <w:lang w:eastAsia="en-IN"/>
        </w:rPr>
        <w:t xml:space="preserve"> </w:t>
      </w:r>
      <w:r>
        <w:rPr>
          <w:rFonts w:ascii="Times New Roman" w:eastAsia="ヒラギノ角ゴ Pro W3" w:hAnsi="Times New Roman"/>
          <w:sz w:val="24"/>
          <w:lang w:eastAsia="en-IN"/>
        </w:rPr>
        <w:t>due to under execution of the capital expenditure budget and was endorsed by the NA.</w:t>
      </w:r>
    </w:p>
    <w:p w14:paraId="09D197DA" w14:textId="77777777" w:rsidR="007518E4" w:rsidRDefault="007518E4" w:rsidP="008037D9">
      <w:pPr>
        <w:pStyle w:val="ListParagraph"/>
        <w:numPr>
          <w:ilvl w:val="0"/>
          <w:numId w:val="61"/>
        </w:numPr>
        <w:spacing w:after="240"/>
        <w:contextualSpacing w:val="0"/>
        <w:rPr>
          <w:rFonts w:ascii="Times New Roman" w:eastAsia="ヒラギノ角ゴ Pro W3" w:hAnsi="Times New Roman"/>
          <w:color w:val="000000"/>
          <w:sz w:val="24"/>
          <w:lang w:eastAsia="en-IN"/>
        </w:rPr>
      </w:pPr>
      <w:r w:rsidRPr="00473AF2">
        <w:rPr>
          <w:rFonts w:ascii="Times New Roman" w:hAnsi="Times New Roman"/>
          <w:b/>
          <w:bCs/>
          <w:sz w:val="24"/>
        </w:rPr>
        <w:t>C</w:t>
      </w:r>
      <w:r w:rsidRPr="00473AF2">
        <w:rPr>
          <w:rFonts w:ascii="Times New Roman" w:eastAsia="ヒラギノ角ゴ Pro W3" w:hAnsi="Times New Roman"/>
          <w:b/>
          <w:color w:val="000000"/>
          <w:sz w:val="24"/>
          <w:lang w:eastAsia="en-IN"/>
        </w:rPr>
        <w:t xml:space="preserve">lear rules for in-year budget reallocations by the executive are set out in the State Budget Law and </w:t>
      </w:r>
      <w:r w:rsidR="00473AF2">
        <w:rPr>
          <w:rFonts w:ascii="Times New Roman" w:eastAsia="ヒラギノ角ゴ Pro W3" w:hAnsi="Times New Roman"/>
          <w:b/>
          <w:color w:val="000000"/>
          <w:sz w:val="24"/>
          <w:lang w:eastAsia="en-IN"/>
        </w:rPr>
        <w:t xml:space="preserve">are </w:t>
      </w:r>
      <w:r w:rsidRPr="00473AF2">
        <w:rPr>
          <w:rFonts w:ascii="Times New Roman" w:eastAsia="ヒラギノ角ゴ Pro W3" w:hAnsi="Times New Roman"/>
          <w:b/>
          <w:color w:val="000000"/>
          <w:sz w:val="24"/>
          <w:lang w:eastAsia="en-IN"/>
        </w:rPr>
        <w:t>adhered to</w:t>
      </w:r>
      <w:r w:rsidRPr="006A1B92">
        <w:rPr>
          <w:rFonts w:ascii="Times New Roman" w:eastAsia="ヒラギノ角ゴ Pro W3" w:hAnsi="Times New Roman"/>
          <w:color w:val="000000"/>
          <w:sz w:val="24"/>
          <w:lang w:eastAsia="en-IN"/>
        </w:rPr>
        <w:t>. The rules provide the executive with substantial powers of reallocation within the overall aggregate of original appropriations: Score B.</w:t>
      </w:r>
    </w:p>
    <w:p w14:paraId="48BB46A2" w14:textId="77777777" w:rsidR="007518E4" w:rsidRDefault="007518E4" w:rsidP="007518E4">
      <w:pPr>
        <w:ind w:left="357"/>
        <w:jc w:val="left"/>
        <w:rPr>
          <w:rFonts w:ascii="Times New Roman" w:eastAsia="ヒラギノ角ゴ Pro W3" w:hAnsi="Times New Roman"/>
          <w:color w:val="000000"/>
          <w:spacing w:val="-4"/>
          <w:sz w:val="24"/>
          <w:lang w:eastAsia="en-IN"/>
        </w:rPr>
      </w:pPr>
      <w:r>
        <w:rPr>
          <w:rFonts w:ascii="Times New Roman" w:eastAsia="ヒラギノ角ゴ Pro W3" w:hAnsi="Times New Roman"/>
          <w:color w:val="000000"/>
          <w:sz w:val="24"/>
          <w:lang w:eastAsia="en-IN"/>
        </w:rPr>
        <w:br w:type="page"/>
      </w:r>
    </w:p>
    <w:p w14:paraId="539196C8" w14:textId="77777777" w:rsidR="007518E4" w:rsidRPr="000654EB" w:rsidRDefault="007518E4" w:rsidP="000654EB">
      <w:pPr>
        <w:pStyle w:val="Heading1"/>
        <w:ind w:left="0"/>
        <w:jc w:val="left"/>
        <w:rPr>
          <w:rFonts w:ascii="Times New Roman" w:hAnsi="Times New Roman"/>
          <w:b/>
          <w:color w:val="92D050"/>
        </w:rPr>
      </w:pPr>
      <w:bookmarkStart w:id="79" w:name="_Toc518901803"/>
      <w:bookmarkStart w:id="80" w:name="_Toc4148998"/>
      <w:r w:rsidRPr="000654EB">
        <w:rPr>
          <w:rFonts w:ascii="Times New Roman" w:hAnsi="Times New Roman"/>
          <w:b/>
          <w:color w:val="92D050"/>
        </w:rPr>
        <w:lastRenderedPageBreak/>
        <w:t>PILLAR FIVE: Predictability and Control in Budget Execution</w:t>
      </w:r>
      <w:bookmarkEnd w:id="79"/>
      <w:bookmarkEnd w:id="80"/>
    </w:p>
    <w:p w14:paraId="13526002" w14:textId="77777777" w:rsidR="007518E4" w:rsidRDefault="007518E4" w:rsidP="00473AF2">
      <w:pPr>
        <w:pStyle w:val="Heading3"/>
        <w:keepNext w:val="0"/>
        <w:spacing w:after="240"/>
        <w:ind w:left="0"/>
        <w:rPr>
          <w:rFonts w:ascii="Times New Roman" w:eastAsia="Calibri" w:hAnsi="Times New Roman"/>
          <w:b w:val="0"/>
          <w:bCs w:val="0"/>
          <w:color w:val="84C346"/>
          <w:spacing w:val="-1"/>
          <w:szCs w:val="28"/>
        </w:rPr>
      </w:pPr>
      <w:bookmarkStart w:id="81" w:name="_Toc518901804"/>
      <w:bookmarkStart w:id="82" w:name="_Toc4148999"/>
      <w:r w:rsidRPr="00FE6ED4">
        <w:rPr>
          <w:rFonts w:ascii="Times New Roman" w:eastAsia="Calibri" w:hAnsi="Times New Roman"/>
          <w:color w:val="84C346"/>
          <w:spacing w:val="-1"/>
          <w:szCs w:val="28"/>
        </w:rPr>
        <w:t xml:space="preserve">PI-19. </w:t>
      </w:r>
      <w:r w:rsidRPr="003511C8">
        <w:rPr>
          <w:rFonts w:ascii="Times New Roman" w:eastAsia="Calibri" w:hAnsi="Times New Roman"/>
          <w:color w:val="92D050"/>
          <w:spacing w:val="-1"/>
          <w:szCs w:val="28"/>
        </w:rPr>
        <w:t>Revenue</w:t>
      </w:r>
      <w:r w:rsidRPr="00FE6ED4">
        <w:rPr>
          <w:rFonts w:ascii="Times New Roman" w:eastAsia="Calibri" w:hAnsi="Times New Roman"/>
          <w:color w:val="84C346"/>
          <w:spacing w:val="-1"/>
          <w:szCs w:val="28"/>
        </w:rPr>
        <w:t xml:space="preserve"> </w:t>
      </w:r>
      <w:r>
        <w:rPr>
          <w:rFonts w:ascii="Times New Roman" w:eastAsia="Calibri" w:hAnsi="Times New Roman"/>
          <w:color w:val="84C346"/>
          <w:spacing w:val="-1"/>
          <w:szCs w:val="28"/>
        </w:rPr>
        <w:t>a</w:t>
      </w:r>
      <w:r w:rsidRPr="00FE6ED4">
        <w:rPr>
          <w:rFonts w:ascii="Times New Roman" w:eastAsia="Calibri" w:hAnsi="Times New Roman"/>
          <w:color w:val="84C346"/>
          <w:spacing w:val="-1"/>
          <w:szCs w:val="28"/>
        </w:rPr>
        <w:t>dministration</w:t>
      </w:r>
      <w:bookmarkEnd w:id="81"/>
      <w:bookmarkEnd w:id="82"/>
    </w:p>
    <w:p w14:paraId="5A39EF09" w14:textId="77777777" w:rsidR="007518E4" w:rsidRDefault="007518E4" w:rsidP="008037D9">
      <w:pPr>
        <w:pStyle w:val="ListParagraph"/>
        <w:numPr>
          <w:ilvl w:val="0"/>
          <w:numId w:val="80"/>
        </w:numPr>
        <w:tabs>
          <w:tab w:val="clear" w:pos="1288"/>
          <w:tab w:val="num" w:pos="720"/>
        </w:tabs>
        <w:spacing w:after="240"/>
        <w:ind w:left="0"/>
        <w:contextualSpacing w:val="0"/>
        <w:rPr>
          <w:rFonts w:ascii="Times New Roman" w:hAnsi="Times New Roman"/>
          <w:sz w:val="24"/>
        </w:rPr>
      </w:pPr>
      <w:r w:rsidRPr="00473AF2">
        <w:rPr>
          <w:rFonts w:ascii="Times New Roman" w:eastAsia="Calibri" w:hAnsi="Times New Roman"/>
          <w:b/>
          <w:sz w:val="24"/>
        </w:rPr>
        <w:t>This indicator relates to the entities that administer central government revenues</w:t>
      </w:r>
      <w:r w:rsidR="00374990">
        <w:rPr>
          <w:rFonts w:ascii="Times New Roman" w:eastAsia="Calibri" w:hAnsi="Times New Roman"/>
          <w:sz w:val="24"/>
        </w:rPr>
        <w:t xml:space="preserve">. </w:t>
      </w:r>
      <w:r w:rsidR="00473AF2">
        <w:rPr>
          <w:rFonts w:ascii="Times New Roman" w:eastAsia="Calibri" w:hAnsi="Times New Roman"/>
          <w:sz w:val="24"/>
        </w:rPr>
        <w:t xml:space="preserve">These </w:t>
      </w:r>
      <w:r w:rsidRPr="007B2D67">
        <w:rPr>
          <w:rFonts w:ascii="Times New Roman" w:eastAsia="Calibri" w:hAnsi="Times New Roman"/>
          <w:sz w:val="24"/>
        </w:rPr>
        <w:t xml:space="preserve">may include tax administration, customs administration, social security contribution administration, as well as agencies administering revenues from other significant sources such as natural resources extraction: which may include public enterprises that operate as regulators and holding companies for government interests, in which case the assessment will </w:t>
      </w:r>
      <w:r w:rsidRPr="007B2D67">
        <w:rPr>
          <w:rFonts w:ascii="Times New Roman" w:hAnsi="Times New Roman"/>
          <w:sz w:val="24"/>
        </w:rPr>
        <w:t>require</w:t>
      </w:r>
      <w:r w:rsidRPr="007B2D67">
        <w:rPr>
          <w:rFonts w:ascii="Times New Roman" w:eastAsia="Calibri" w:hAnsi="Times New Roman"/>
          <w:sz w:val="24"/>
        </w:rPr>
        <w:t xml:space="preserve"> information to be collected from entities outside the government sector.</w:t>
      </w:r>
      <w:r w:rsidRPr="007B2D67">
        <w:rPr>
          <w:rFonts w:ascii="Times New Roman" w:hAnsi="Times New Roman"/>
          <w:sz w:val="24"/>
        </w:rPr>
        <w:t xml:space="preserve"> The indicator assesses the procedures used to collect and monitor central government revenues.  The assessment period for dimension 19.1 and 19.2: At time of</w:t>
      </w:r>
      <w:r w:rsidR="00374990">
        <w:rPr>
          <w:rFonts w:ascii="Times New Roman" w:hAnsi="Times New Roman"/>
          <w:sz w:val="24"/>
        </w:rPr>
        <w:t xml:space="preserve"> assessment. </w:t>
      </w:r>
      <w:r w:rsidRPr="007B2D67">
        <w:rPr>
          <w:rFonts w:ascii="Times New Roman" w:hAnsi="Times New Roman"/>
          <w:sz w:val="24"/>
        </w:rPr>
        <w:t xml:space="preserve">For dimension 19.3 and 19.4: Last completed fiscal year, </w:t>
      </w:r>
      <w:r>
        <w:rPr>
          <w:rFonts w:ascii="Times New Roman" w:hAnsi="Times New Roman"/>
          <w:sz w:val="24"/>
        </w:rPr>
        <w:t>2016/17.</w:t>
      </w:r>
      <w:r w:rsidRPr="007B2D67">
        <w:rPr>
          <w:rFonts w:ascii="Times New Roman" w:hAnsi="Times New Roman"/>
          <w:sz w:val="24"/>
        </w:rPr>
        <w:t xml:space="preserve"> </w:t>
      </w:r>
    </w:p>
    <w:p w14:paraId="7B9422F4" w14:textId="77777777" w:rsidR="007518E4" w:rsidRPr="00B94146"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sz w:val="24"/>
        </w:rPr>
      </w:pPr>
      <w:r w:rsidRPr="00473AF2">
        <w:rPr>
          <w:rFonts w:ascii="Times New Roman" w:hAnsi="Times New Roman"/>
          <w:b/>
          <w:sz w:val="24"/>
        </w:rPr>
        <w:t>Dome</w:t>
      </w:r>
      <w:r w:rsidR="00473AF2">
        <w:rPr>
          <w:rFonts w:ascii="Times New Roman" w:hAnsi="Times New Roman"/>
          <w:b/>
          <w:sz w:val="24"/>
        </w:rPr>
        <w:t>stic revenue collection accounted</w:t>
      </w:r>
      <w:r w:rsidRPr="00473AF2">
        <w:rPr>
          <w:rFonts w:ascii="Times New Roman" w:hAnsi="Times New Roman"/>
          <w:b/>
          <w:sz w:val="24"/>
        </w:rPr>
        <w:t xml:space="preserve"> for 15.2% of GDP for Tax </w:t>
      </w:r>
      <w:r w:rsidR="00921730">
        <w:rPr>
          <w:rFonts w:ascii="Times New Roman" w:hAnsi="Times New Roman"/>
          <w:b/>
          <w:sz w:val="24"/>
        </w:rPr>
        <w:t>revenue and 2.7% of GDP for non-</w:t>
      </w:r>
      <w:r w:rsidRPr="00473AF2">
        <w:rPr>
          <w:rFonts w:ascii="Times New Roman" w:hAnsi="Times New Roman"/>
          <w:b/>
          <w:sz w:val="24"/>
        </w:rPr>
        <w:t>tax revenue in 2015/16.</w:t>
      </w:r>
      <w:r w:rsidRPr="00B94146">
        <w:rPr>
          <w:rFonts w:ascii="Times New Roman" w:hAnsi="Times New Roman"/>
          <w:sz w:val="24"/>
        </w:rPr>
        <w:t xml:space="preserve"> Responsibility for domestic revenue collection is consolidated under </w:t>
      </w:r>
      <w:r>
        <w:rPr>
          <w:rFonts w:ascii="Times New Roman" w:hAnsi="Times New Roman"/>
          <w:sz w:val="24"/>
        </w:rPr>
        <w:t>MoF and shared between the Tax D</w:t>
      </w:r>
      <w:r w:rsidRPr="00B94146">
        <w:rPr>
          <w:rFonts w:ascii="Times New Roman" w:hAnsi="Times New Roman"/>
          <w:sz w:val="24"/>
        </w:rPr>
        <w:t>ep</w:t>
      </w:r>
      <w:r>
        <w:rPr>
          <w:rFonts w:ascii="Times New Roman" w:hAnsi="Times New Roman"/>
          <w:sz w:val="24"/>
        </w:rPr>
        <w:t>artment (50%), the Customs D</w:t>
      </w:r>
      <w:r w:rsidRPr="00B94146">
        <w:rPr>
          <w:rFonts w:ascii="Times New Roman" w:hAnsi="Times New Roman"/>
          <w:sz w:val="24"/>
        </w:rPr>
        <w:t xml:space="preserve">epartment (34.5%), the State Assets </w:t>
      </w:r>
      <w:r>
        <w:rPr>
          <w:rFonts w:ascii="Times New Roman" w:hAnsi="Times New Roman"/>
          <w:sz w:val="24"/>
        </w:rPr>
        <w:t>D</w:t>
      </w:r>
      <w:r w:rsidRPr="00B94146">
        <w:rPr>
          <w:rFonts w:ascii="Times New Roman" w:hAnsi="Times New Roman"/>
          <w:sz w:val="24"/>
        </w:rPr>
        <w:t>epartmen</w:t>
      </w:r>
      <w:r>
        <w:rPr>
          <w:rFonts w:ascii="Times New Roman" w:hAnsi="Times New Roman"/>
          <w:sz w:val="24"/>
        </w:rPr>
        <w:t>t (9.5% excluding revenue from s</w:t>
      </w:r>
      <w:r w:rsidRPr="00B94146">
        <w:rPr>
          <w:rFonts w:ascii="Times New Roman" w:hAnsi="Times New Roman"/>
          <w:sz w:val="24"/>
        </w:rPr>
        <w:t xml:space="preserve">ales and state assets) and the department for State Owned Enterprises (5.7% excluding incomes from capital return and sale of state assets). </w:t>
      </w:r>
    </w:p>
    <w:p w14:paraId="7D0DE00D" w14:textId="77777777" w:rsidR="007518E4" w:rsidRPr="00B94146"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sz w:val="24"/>
        </w:rPr>
      </w:pPr>
      <w:r w:rsidRPr="00473AF2">
        <w:rPr>
          <w:rFonts w:ascii="Times New Roman" w:hAnsi="Times New Roman"/>
          <w:b/>
          <w:sz w:val="24"/>
        </w:rPr>
        <w:t>For the assessment, the relative importance of each revenue type in 2015/16 is presented in Table 3.19</w:t>
      </w:r>
      <w:r w:rsidR="00374990">
        <w:rPr>
          <w:rFonts w:ascii="Times New Roman" w:hAnsi="Times New Roman"/>
          <w:sz w:val="24"/>
        </w:rPr>
        <w:t xml:space="preserve">. </w:t>
      </w:r>
      <w:r>
        <w:rPr>
          <w:rFonts w:ascii="Times New Roman" w:hAnsi="Times New Roman"/>
          <w:sz w:val="24"/>
        </w:rPr>
        <w:t xml:space="preserve">The revenue from </w:t>
      </w:r>
      <w:r w:rsidRPr="00784AD7">
        <w:rPr>
          <w:rFonts w:ascii="Times New Roman" w:hAnsi="Times New Roman"/>
          <w:sz w:val="24"/>
        </w:rPr>
        <w:t xml:space="preserve">the </w:t>
      </w:r>
      <w:r w:rsidR="00784AD7" w:rsidRPr="00784AD7">
        <w:rPr>
          <w:rFonts w:ascii="Times New Roman" w:eastAsiaTheme="minorHAnsi" w:hAnsi="Times New Roman"/>
          <w:sz w:val="24"/>
          <w:lang w:val="en-MY"/>
        </w:rPr>
        <w:t>National Social Security Fund</w:t>
      </w:r>
      <w:r w:rsidR="00784AD7">
        <w:rPr>
          <w:rFonts w:ascii="Times New Roman" w:hAnsi="Times New Roman"/>
          <w:sz w:val="24"/>
        </w:rPr>
        <w:t xml:space="preserve"> </w:t>
      </w:r>
      <w:r w:rsidR="00473AF2">
        <w:rPr>
          <w:rFonts w:ascii="Times New Roman" w:hAnsi="Times New Roman"/>
          <w:sz w:val="24"/>
        </w:rPr>
        <w:t xml:space="preserve">is not included in </w:t>
      </w:r>
      <w:r>
        <w:rPr>
          <w:rFonts w:ascii="Times New Roman" w:hAnsi="Times New Roman"/>
          <w:sz w:val="24"/>
        </w:rPr>
        <w:t>government statistics</w:t>
      </w:r>
      <w:r w:rsidR="00784AD7">
        <w:rPr>
          <w:rStyle w:val="FootnoteReference"/>
          <w:rFonts w:ascii="Times New Roman" w:hAnsi="Times New Roman"/>
          <w:sz w:val="24"/>
        </w:rPr>
        <w:footnoteReference w:id="36"/>
      </w:r>
      <w:r w:rsidR="00473AF2">
        <w:rPr>
          <w:rFonts w:ascii="Times New Roman" w:hAnsi="Times New Roman"/>
          <w:sz w:val="24"/>
        </w:rPr>
        <w:t>.</w:t>
      </w:r>
      <w:r>
        <w:rPr>
          <w:rFonts w:ascii="Times New Roman" w:hAnsi="Times New Roman"/>
          <w:sz w:val="24"/>
        </w:rPr>
        <w:t xml:space="preserve"> </w:t>
      </w:r>
    </w:p>
    <w:p w14:paraId="185944D7" w14:textId="77777777" w:rsidR="007518E4" w:rsidRPr="000E58C3" w:rsidRDefault="007518E4" w:rsidP="00374990">
      <w:pPr>
        <w:ind w:left="1440" w:hanging="1440"/>
        <w:jc w:val="center"/>
        <w:rPr>
          <w:rFonts w:ascii="Times New Roman" w:hAnsi="Times New Roman"/>
          <w:b/>
          <w:sz w:val="20"/>
          <w:szCs w:val="20"/>
        </w:rPr>
      </w:pPr>
      <w:r w:rsidRPr="000E58C3">
        <w:rPr>
          <w:rFonts w:ascii="Times New Roman" w:hAnsi="Times New Roman"/>
          <w:b/>
          <w:sz w:val="20"/>
          <w:szCs w:val="20"/>
        </w:rPr>
        <w:t xml:space="preserve">Table 3.19.1: Total Revenue </w:t>
      </w:r>
      <w:r w:rsidRPr="000E58C3">
        <w:rPr>
          <w:rFonts w:ascii="Times New Roman" w:hAnsi="Times New Roman"/>
          <w:b/>
          <w:sz w:val="20"/>
          <w:szCs w:val="20"/>
          <w:lang w:val="fr-FR" w:eastAsia="fr-FR"/>
        </w:rPr>
        <w:t>2015/2016</w:t>
      </w:r>
      <w:r w:rsidRPr="000E58C3">
        <w:rPr>
          <w:rFonts w:ascii="Times New Roman" w:hAnsi="Times New Roman"/>
          <w:b/>
          <w:sz w:val="20"/>
          <w:szCs w:val="20"/>
        </w:rPr>
        <w:t xml:space="preserve"> (million Kip)</w:t>
      </w:r>
    </w:p>
    <w:tbl>
      <w:tblPr>
        <w:tblW w:w="3364" w:type="pct"/>
        <w:jc w:val="center"/>
        <w:tblLayout w:type="fixed"/>
        <w:tblCellMar>
          <w:left w:w="70" w:type="dxa"/>
          <w:right w:w="70" w:type="dxa"/>
        </w:tblCellMar>
        <w:tblLook w:val="04A0" w:firstRow="1" w:lastRow="0" w:firstColumn="1" w:lastColumn="0" w:noHBand="0" w:noVBand="1"/>
      </w:tblPr>
      <w:tblGrid>
        <w:gridCol w:w="2955"/>
        <w:gridCol w:w="1438"/>
        <w:gridCol w:w="1673"/>
      </w:tblGrid>
      <w:tr w:rsidR="007518E4" w:rsidRPr="001F3900" w14:paraId="22EC8405" w14:textId="77777777" w:rsidTr="00374990">
        <w:trPr>
          <w:trHeight w:val="459"/>
          <w:jc w:val="center"/>
        </w:trPr>
        <w:tc>
          <w:tcPr>
            <w:tcW w:w="243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B2B829" w14:textId="77777777" w:rsidR="007518E4" w:rsidRPr="00B94146" w:rsidRDefault="007518E4" w:rsidP="00473AF2">
            <w:pPr>
              <w:spacing w:before="0"/>
              <w:ind w:left="0"/>
              <w:jc w:val="center"/>
              <w:rPr>
                <w:rFonts w:ascii="Times New Roman" w:hAnsi="Times New Roman"/>
                <w:b/>
                <w:bCs/>
                <w:sz w:val="20"/>
                <w:szCs w:val="20"/>
                <w:lang w:val="fr-FR" w:eastAsia="fr-FR"/>
              </w:rPr>
            </w:pPr>
            <w:r w:rsidRPr="00B94146">
              <w:rPr>
                <w:rFonts w:ascii="Times New Roman" w:hAnsi="Times New Roman"/>
                <w:b/>
                <w:bCs/>
                <w:sz w:val="20"/>
                <w:szCs w:val="20"/>
                <w:lang w:val="fr-FR" w:eastAsia="fr-FR"/>
              </w:rPr>
              <w:t>Revenue type</w:t>
            </w:r>
          </w:p>
        </w:tc>
        <w:tc>
          <w:tcPr>
            <w:tcW w:w="1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FBE61" w14:textId="77777777" w:rsidR="007518E4" w:rsidRPr="00B94146" w:rsidRDefault="007518E4" w:rsidP="00473AF2">
            <w:pPr>
              <w:spacing w:before="0"/>
              <w:ind w:left="0"/>
              <w:jc w:val="center"/>
              <w:rPr>
                <w:rFonts w:ascii="Times New Roman" w:hAnsi="Times New Roman"/>
                <w:b/>
                <w:bCs/>
                <w:sz w:val="20"/>
                <w:szCs w:val="20"/>
                <w:lang w:val="fr-FR" w:eastAsia="fr-FR"/>
              </w:rPr>
            </w:pPr>
            <w:proofErr w:type="spellStart"/>
            <w:r w:rsidRPr="00B94146">
              <w:rPr>
                <w:rFonts w:ascii="Times New Roman" w:hAnsi="Times New Roman"/>
                <w:b/>
                <w:bCs/>
                <w:sz w:val="20"/>
                <w:szCs w:val="20"/>
                <w:lang w:val="fr-FR" w:eastAsia="fr-FR"/>
              </w:rPr>
              <w:t>Actual</w:t>
            </w:r>
            <w:proofErr w:type="spellEnd"/>
          </w:p>
        </w:tc>
        <w:tc>
          <w:tcPr>
            <w:tcW w:w="1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78601" w14:textId="77777777" w:rsidR="007518E4" w:rsidRPr="00B94146" w:rsidRDefault="007518E4" w:rsidP="00473AF2">
            <w:pPr>
              <w:spacing w:before="0"/>
              <w:ind w:left="0"/>
              <w:jc w:val="center"/>
              <w:rPr>
                <w:rFonts w:ascii="Times New Roman" w:hAnsi="Times New Roman"/>
                <w:b/>
                <w:bCs/>
                <w:sz w:val="20"/>
                <w:szCs w:val="20"/>
                <w:lang w:val="fr-FR" w:eastAsia="fr-FR"/>
              </w:rPr>
            </w:pPr>
            <w:r w:rsidRPr="00B94146">
              <w:rPr>
                <w:rFonts w:ascii="Times New Roman" w:hAnsi="Times New Roman"/>
                <w:b/>
                <w:bCs/>
                <w:sz w:val="20"/>
                <w:szCs w:val="20"/>
                <w:lang w:val="fr-FR" w:eastAsia="fr-FR"/>
              </w:rPr>
              <w:t>% total revenue</w:t>
            </w:r>
          </w:p>
        </w:tc>
      </w:tr>
      <w:tr w:rsidR="007518E4" w:rsidRPr="001F3900" w14:paraId="0A6BCE7C"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917B5F" w14:textId="77777777" w:rsidR="007518E4" w:rsidRPr="009B68FD" w:rsidRDefault="007518E4" w:rsidP="00473AF2">
            <w:pPr>
              <w:spacing w:before="0"/>
              <w:ind w:left="0"/>
              <w:jc w:val="left"/>
              <w:rPr>
                <w:rFonts w:ascii="Times New Roman" w:hAnsi="Times New Roman"/>
                <w:b/>
                <w:bCs/>
                <w:sz w:val="20"/>
                <w:szCs w:val="20"/>
                <w:lang w:eastAsia="fr-FR"/>
              </w:rPr>
            </w:pPr>
            <w:r w:rsidRPr="009B68FD">
              <w:rPr>
                <w:rFonts w:ascii="Times New Roman" w:hAnsi="Times New Roman"/>
                <w:b/>
                <w:bCs/>
                <w:sz w:val="20"/>
                <w:szCs w:val="20"/>
                <w:lang w:eastAsia="fr-FR"/>
              </w:rPr>
              <w:t>Tax Revenue</w:t>
            </w:r>
          </w:p>
        </w:tc>
        <w:tc>
          <w:tcPr>
            <w:tcW w:w="1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36D741"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16,481,349</w:t>
            </w:r>
          </w:p>
        </w:tc>
        <w:tc>
          <w:tcPr>
            <w:tcW w:w="13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ECE076"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81%</w:t>
            </w:r>
          </w:p>
        </w:tc>
      </w:tr>
      <w:tr w:rsidR="007518E4" w:rsidRPr="001F3900" w14:paraId="6647AA51"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D26B0"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 Profit Tax</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21E42"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1,753,050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F882B"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8.6%</w:t>
            </w:r>
          </w:p>
        </w:tc>
      </w:tr>
      <w:tr w:rsidR="007518E4" w:rsidRPr="001F3900" w14:paraId="0B2BA905"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D751"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2.  Income Tax</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A1BDD"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1,592,690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BB42B"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7.8%</w:t>
            </w:r>
          </w:p>
        </w:tc>
      </w:tr>
      <w:tr w:rsidR="007518E4" w:rsidRPr="001F3900" w14:paraId="524EAE4D"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DEAA"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3. Land Tax</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DDBEE"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104,750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E778"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0.5%</w:t>
            </w:r>
          </w:p>
        </w:tc>
      </w:tr>
      <w:tr w:rsidR="007518E4" w:rsidRPr="001F3900" w14:paraId="6B607B05"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1934B"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4. Business Licenses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7D7D"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E4B3"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0.0%</w:t>
            </w:r>
          </w:p>
        </w:tc>
      </w:tr>
      <w:tr w:rsidR="007518E4" w:rsidRPr="001F3900" w14:paraId="73B81707"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C6068"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5. Minimum Tax</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5DB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6C031"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0.0%</w:t>
            </w:r>
          </w:p>
        </w:tc>
      </w:tr>
      <w:tr w:rsidR="007518E4" w:rsidRPr="001F3900" w14:paraId="629F48F5"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851DD"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6. Turnover Tax</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981E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1CB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0.0%</w:t>
            </w:r>
          </w:p>
        </w:tc>
      </w:tr>
      <w:tr w:rsidR="007518E4" w:rsidRPr="001F3900" w14:paraId="273B8E2A"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ECCED"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7. VAT</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8657C"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4,915,630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A012B"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24.1%</w:t>
            </w:r>
          </w:p>
        </w:tc>
      </w:tr>
      <w:tr w:rsidR="007518E4" w:rsidRPr="001F3900" w14:paraId="6C090697"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995EF"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8. Excise Taxes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BFE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3,734,380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BEBD"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18.3%</w:t>
            </w:r>
          </w:p>
        </w:tc>
      </w:tr>
      <w:tr w:rsidR="007518E4" w:rsidRPr="001F3900" w14:paraId="6AFB0AF7"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B5F5"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9. Import Duties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74F72"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1,825,780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FA148"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9.0%</w:t>
            </w:r>
          </w:p>
        </w:tc>
      </w:tr>
      <w:tr w:rsidR="007518E4" w:rsidRPr="001F3900" w14:paraId="6C498165"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8E55"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10. Export Duties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1C3C"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68,696</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FCF7"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0.3%</w:t>
            </w:r>
          </w:p>
        </w:tc>
      </w:tr>
      <w:tr w:rsidR="007518E4" w:rsidRPr="001F3900" w14:paraId="6A5B7E53"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EEA9"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11. Registration Fees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A3AF"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74,261</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45B2"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0.4%</w:t>
            </w:r>
          </w:p>
        </w:tc>
      </w:tr>
      <w:tr w:rsidR="007518E4" w:rsidRPr="001F3900" w14:paraId="64953A08"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A2CFD"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12. Other Fees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C2E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1,400,872</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DB4FE"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6.9%</w:t>
            </w:r>
          </w:p>
        </w:tc>
      </w:tr>
      <w:tr w:rsidR="007518E4" w:rsidRPr="001F3900" w14:paraId="6A65487B"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22DE"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13. Natural Resources Taxes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66FF1"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507,112</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73D3"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2.5%</w:t>
            </w:r>
          </w:p>
        </w:tc>
      </w:tr>
      <w:tr w:rsidR="007518E4" w:rsidRPr="001F3900" w14:paraId="53ADCAD8"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86ED"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14. Timber Royalties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70FAF"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135,492</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816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0.7%</w:t>
            </w:r>
          </w:p>
        </w:tc>
      </w:tr>
      <w:tr w:rsidR="007518E4" w:rsidRPr="001F3900" w14:paraId="05A3BA69"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BA16D"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15. Hydro-Power Royalties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AE1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368,636</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F5383"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1.8%</w:t>
            </w:r>
          </w:p>
        </w:tc>
      </w:tr>
      <w:tr w:rsidR="007518E4" w:rsidRPr="001F3900" w14:paraId="32657287"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32FE52" w14:textId="77777777" w:rsidR="007518E4" w:rsidRPr="009B68FD" w:rsidRDefault="007518E4" w:rsidP="00473AF2">
            <w:pPr>
              <w:spacing w:before="0"/>
              <w:ind w:left="0"/>
              <w:jc w:val="left"/>
              <w:rPr>
                <w:rFonts w:ascii="Times New Roman" w:hAnsi="Times New Roman"/>
                <w:b/>
                <w:bCs/>
                <w:sz w:val="20"/>
                <w:szCs w:val="20"/>
                <w:lang w:eastAsia="fr-FR"/>
              </w:rPr>
            </w:pPr>
            <w:proofErr w:type="gramStart"/>
            <w:r w:rsidRPr="009B68FD">
              <w:rPr>
                <w:rFonts w:ascii="Times New Roman" w:hAnsi="Times New Roman"/>
                <w:b/>
                <w:bCs/>
                <w:sz w:val="20"/>
                <w:szCs w:val="20"/>
                <w:lang w:eastAsia="fr-FR"/>
              </w:rPr>
              <w:lastRenderedPageBreak/>
              <w:t>Non Tax</w:t>
            </w:r>
            <w:proofErr w:type="gramEnd"/>
            <w:r w:rsidRPr="009B68FD">
              <w:rPr>
                <w:rFonts w:ascii="Times New Roman" w:hAnsi="Times New Roman"/>
                <w:b/>
                <w:bCs/>
                <w:sz w:val="20"/>
                <w:szCs w:val="20"/>
                <w:lang w:eastAsia="fr-FR"/>
              </w:rPr>
              <w:t xml:space="preserve"> Revenues</w:t>
            </w:r>
          </w:p>
        </w:tc>
        <w:tc>
          <w:tcPr>
            <w:tcW w:w="1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538820"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2,914,691</w:t>
            </w:r>
          </w:p>
        </w:tc>
        <w:tc>
          <w:tcPr>
            <w:tcW w:w="13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9A02AC"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14.3%</w:t>
            </w:r>
          </w:p>
        </w:tc>
      </w:tr>
      <w:tr w:rsidR="007518E4" w:rsidRPr="001F3900" w14:paraId="253A2DA6"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76A0C"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1. Leasing Fees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59B9"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69,751</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B08B8"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0.3%</w:t>
            </w:r>
          </w:p>
        </w:tc>
      </w:tr>
      <w:tr w:rsidR="007518E4" w:rsidRPr="001F3900" w14:paraId="7446999A"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F2A0"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2. Concessions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9C7BE"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85,367</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09D7C"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0.4%</w:t>
            </w:r>
          </w:p>
        </w:tc>
      </w:tr>
      <w:tr w:rsidR="007518E4" w:rsidRPr="001F3900" w14:paraId="3645D22A"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9704"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3. Fines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47D9"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188,301</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E300A"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0.9%</w:t>
            </w:r>
          </w:p>
        </w:tc>
      </w:tr>
      <w:tr w:rsidR="007518E4" w:rsidRPr="001F3900" w14:paraId="47DF1049"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C69A1"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4. Administration Fees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0D32"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854,420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0A7D"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4.2%</w:t>
            </w:r>
          </w:p>
        </w:tc>
      </w:tr>
      <w:tr w:rsidR="007518E4" w:rsidRPr="001F3900" w14:paraId="2E15B212"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A72C"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5. Dividends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A16FC"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679,862</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06669"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3.3%</w:t>
            </w:r>
          </w:p>
        </w:tc>
      </w:tr>
      <w:tr w:rsidR="007518E4" w:rsidRPr="001F3900" w14:paraId="73E40D01"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33FC"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6. Interest</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FFD0D"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423,604</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9F88"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2.1%</w:t>
            </w:r>
          </w:p>
        </w:tc>
      </w:tr>
      <w:tr w:rsidR="007518E4" w:rsidRPr="001F3900" w14:paraId="502E5EDD"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3CF16"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7. Overflight Rights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C2BDF"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586,068</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C02A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2.9%</w:t>
            </w:r>
          </w:p>
        </w:tc>
      </w:tr>
      <w:tr w:rsidR="007518E4" w:rsidRPr="001F3900" w14:paraId="7BAD171B"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25D8"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8. Forest Preservation Funds</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A95FB"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6,800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86EBC"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0.0%</w:t>
            </w:r>
          </w:p>
        </w:tc>
      </w:tr>
      <w:tr w:rsidR="007518E4" w:rsidRPr="001F3900" w14:paraId="53A1D334"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6DE8"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9. Other</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123F1"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20,519</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930A"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0.1%</w:t>
            </w:r>
          </w:p>
        </w:tc>
      </w:tr>
      <w:tr w:rsidR="007518E4" w:rsidRPr="001F3900" w14:paraId="1BD1D9F1"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2305360" w14:textId="77777777" w:rsidR="007518E4" w:rsidRPr="009B68FD" w:rsidRDefault="007518E4" w:rsidP="00473AF2">
            <w:pPr>
              <w:spacing w:before="0"/>
              <w:ind w:left="0"/>
              <w:jc w:val="left"/>
              <w:rPr>
                <w:rFonts w:ascii="Times New Roman" w:hAnsi="Times New Roman"/>
                <w:b/>
                <w:bCs/>
                <w:sz w:val="20"/>
                <w:szCs w:val="20"/>
                <w:lang w:eastAsia="fr-FR"/>
              </w:rPr>
            </w:pPr>
            <w:r w:rsidRPr="009B68FD">
              <w:rPr>
                <w:rFonts w:ascii="Times New Roman" w:hAnsi="Times New Roman"/>
                <w:b/>
                <w:bCs/>
                <w:sz w:val="20"/>
                <w:szCs w:val="20"/>
                <w:lang w:eastAsia="fr-FR"/>
              </w:rPr>
              <w:t xml:space="preserve">Total Tax and </w:t>
            </w:r>
            <w:proofErr w:type="gramStart"/>
            <w:r w:rsidRPr="009B68FD">
              <w:rPr>
                <w:rFonts w:ascii="Times New Roman" w:hAnsi="Times New Roman"/>
                <w:b/>
                <w:bCs/>
                <w:sz w:val="20"/>
                <w:szCs w:val="20"/>
                <w:lang w:eastAsia="fr-FR"/>
              </w:rPr>
              <w:t>Non Tax</w:t>
            </w:r>
            <w:proofErr w:type="gramEnd"/>
            <w:r w:rsidRPr="009B68FD">
              <w:rPr>
                <w:rFonts w:ascii="Times New Roman" w:hAnsi="Times New Roman"/>
                <w:b/>
                <w:bCs/>
                <w:sz w:val="20"/>
                <w:szCs w:val="20"/>
                <w:lang w:eastAsia="fr-FR"/>
              </w:rPr>
              <w:t xml:space="preserve"> Revenues</w:t>
            </w:r>
          </w:p>
        </w:tc>
        <w:tc>
          <w:tcPr>
            <w:tcW w:w="1185"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12FB496B"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19,396,041</w:t>
            </w:r>
          </w:p>
        </w:tc>
        <w:tc>
          <w:tcPr>
            <w:tcW w:w="1379"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4D3C428C"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95.2%</w:t>
            </w:r>
          </w:p>
        </w:tc>
      </w:tr>
      <w:tr w:rsidR="007518E4" w:rsidRPr="001F3900" w14:paraId="1AE64530"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2A74D"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Asset Sale</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90A04"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223,910</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1B82"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1.1%</w:t>
            </w:r>
          </w:p>
        </w:tc>
      </w:tr>
      <w:tr w:rsidR="007518E4" w:rsidRPr="001F3900" w14:paraId="465AC0E0"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F8C4"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Capital Return</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C1EC5"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747,098</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1B72"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3.7%</w:t>
            </w:r>
          </w:p>
        </w:tc>
      </w:tr>
      <w:tr w:rsidR="007518E4" w:rsidRPr="001F3900" w14:paraId="742F29B3"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63C3A" w14:textId="77777777" w:rsidR="007518E4" w:rsidRPr="009B68FD" w:rsidRDefault="007518E4" w:rsidP="00473AF2">
            <w:pPr>
              <w:spacing w:before="0"/>
              <w:ind w:left="0"/>
              <w:jc w:val="left"/>
              <w:rPr>
                <w:rFonts w:ascii="Times New Roman" w:hAnsi="Times New Roman"/>
                <w:sz w:val="20"/>
                <w:szCs w:val="20"/>
                <w:lang w:eastAsia="fr-FR"/>
              </w:rPr>
            </w:pPr>
            <w:r w:rsidRPr="009B68FD">
              <w:rPr>
                <w:rFonts w:ascii="Times New Roman" w:hAnsi="Times New Roman"/>
                <w:sz w:val="20"/>
                <w:szCs w:val="20"/>
                <w:lang w:eastAsia="fr-FR"/>
              </w:rPr>
              <w:t>Pump Amortization</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1314B"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CFB3D" w14:textId="77777777" w:rsidR="007518E4" w:rsidRPr="009B68FD" w:rsidRDefault="007518E4" w:rsidP="00473AF2">
            <w:pPr>
              <w:spacing w:before="0"/>
              <w:ind w:left="0"/>
              <w:jc w:val="right"/>
              <w:rPr>
                <w:rFonts w:ascii="Times New Roman" w:hAnsi="Times New Roman"/>
                <w:sz w:val="20"/>
                <w:szCs w:val="20"/>
                <w:lang w:eastAsia="fr-FR"/>
              </w:rPr>
            </w:pPr>
            <w:r w:rsidRPr="009B68FD">
              <w:rPr>
                <w:rFonts w:ascii="Times New Roman" w:hAnsi="Times New Roman"/>
                <w:sz w:val="20"/>
                <w:szCs w:val="20"/>
                <w:lang w:eastAsia="fr-FR"/>
              </w:rPr>
              <w:t>0.0%</w:t>
            </w:r>
          </w:p>
        </w:tc>
      </w:tr>
      <w:tr w:rsidR="007518E4" w:rsidRPr="001F3900" w14:paraId="4EDADB3F" w14:textId="77777777" w:rsidTr="00374990">
        <w:trPr>
          <w:trHeight w:val="276"/>
          <w:jc w:val="center"/>
        </w:trPr>
        <w:tc>
          <w:tcPr>
            <w:tcW w:w="2436"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505FB05D" w14:textId="77777777" w:rsidR="007518E4" w:rsidRPr="009B68FD" w:rsidRDefault="007518E4" w:rsidP="00473AF2">
            <w:pPr>
              <w:spacing w:before="0"/>
              <w:ind w:left="0"/>
              <w:jc w:val="left"/>
              <w:rPr>
                <w:rFonts w:ascii="Times New Roman" w:hAnsi="Times New Roman"/>
                <w:b/>
                <w:bCs/>
                <w:sz w:val="20"/>
                <w:szCs w:val="20"/>
                <w:lang w:eastAsia="fr-FR"/>
              </w:rPr>
            </w:pPr>
            <w:r w:rsidRPr="009B68FD">
              <w:rPr>
                <w:rFonts w:ascii="Times New Roman" w:hAnsi="Times New Roman"/>
                <w:b/>
                <w:bCs/>
                <w:sz w:val="20"/>
                <w:szCs w:val="20"/>
                <w:lang w:eastAsia="fr-FR"/>
              </w:rPr>
              <w:t>Total Revenue with Asset sale</w:t>
            </w:r>
          </w:p>
        </w:tc>
        <w:tc>
          <w:tcPr>
            <w:tcW w:w="118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FDAED7"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20,367,048</w:t>
            </w:r>
          </w:p>
        </w:tc>
        <w:tc>
          <w:tcPr>
            <w:tcW w:w="137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C29136B" w14:textId="77777777" w:rsidR="007518E4" w:rsidRPr="009B68FD" w:rsidRDefault="007518E4" w:rsidP="00473AF2">
            <w:pPr>
              <w:spacing w:before="0"/>
              <w:ind w:left="0"/>
              <w:jc w:val="right"/>
              <w:rPr>
                <w:rFonts w:ascii="Times New Roman" w:hAnsi="Times New Roman"/>
                <w:b/>
                <w:bCs/>
                <w:sz w:val="20"/>
                <w:szCs w:val="20"/>
                <w:lang w:eastAsia="fr-FR"/>
              </w:rPr>
            </w:pPr>
            <w:r w:rsidRPr="009B68FD">
              <w:rPr>
                <w:rFonts w:ascii="Times New Roman" w:hAnsi="Times New Roman"/>
                <w:b/>
                <w:bCs/>
                <w:sz w:val="20"/>
                <w:szCs w:val="20"/>
                <w:lang w:eastAsia="fr-FR"/>
              </w:rPr>
              <w:t>100%</w:t>
            </w:r>
          </w:p>
        </w:tc>
      </w:tr>
    </w:tbl>
    <w:p w14:paraId="3D19D588" w14:textId="77777777" w:rsidR="007518E4" w:rsidRPr="000E58C3" w:rsidRDefault="007518E4" w:rsidP="007518E4">
      <w:pPr>
        <w:spacing w:before="0"/>
        <w:ind w:left="1440"/>
        <w:rPr>
          <w:rFonts w:ascii="Times New Roman" w:hAnsi="Times New Roman"/>
          <w:sz w:val="20"/>
          <w:szCs w:val="20"/>
        </w:rPr>
      </w:pPr>
      <w:r w:rsidRPr="000E58C3">
        <w:rPr>
          <w:rFonts w:ascii="Times New Roman" w:hAnsi="Times New Roman"/>
          <w:sz w:val="20"/>
          <w:szCs w:val="20"/>
        </w:rPr>
        <w:t>Source: MoF Published Government Financial Statistics Annual Report 2015-2016</w:t>
      </w:r>
    </w:p>
    <w:p w14:paraId="23218D7D" w14:textId="77777777" w:rsidR="007518E4" w:rsidRDefault="007518E4" w:rsidP="008037D9">
      <w:pPr>
        <w:pStyle w:val="ListParagraph"/>
        <w:numPr>
          <w:ilvl w:val="0"/>
          <w:numId w:val="80"/>
        </w:numPr>
        <w:tabs>
          <w:tab w:val="clear" w:pos="1288"/>
          <w:tab w:val="num" w:pos="720"/>
        </w:tabs>
        <w:spacing w:after="240"/>
        <w:ind w:left="0"/>
        <w:contextualSpacing w:val="0"/>
        <w:rPr>
          <w:rFonts w:ascii="Times New Roman" w:eastAsia="ヒラギノ角ゴ Pro W3" w:hAnsi="Times New Roman"/>
          <w:color w:val="000000"/>
          <w:sz w:val="24"/>
          <w:lang w:eastAsia="en-IN"/>
        </w:rPr>
      </w:pPr>
      <w:r w:rsidRPr="00473AF2">
        <w:rPr>
          <w:rFonts w:ascii="Times New Roman" w:eastAsia="ヒラギノ角ゴ Pro W3" w:hAnsi="Times New Roman"/>
          <w:b/>
          <w:color w:val="000000"/>
          <w:sz w:val="24"/>
          <w:lang w:eastAsia="en-IN"/>
        </w:rPr>
        <w:t xml:space="preserve">This assessment takes place at a time when multiple reform efforts have been launched on </w:t>
      </w:r>
      <w:proofErr w:type="gramStart"/>
      <w:r w:rsidRPr="00473AF2">
        <w:rPr>
          <w:rFonts w:ascii="Times New Roman" w:eastAsia="ヒラギノ角ゴ Pro W3" w:hAnsi="Times New Roman"/>
          <w:b/>
          <w:color w:val="000000"/>
          <w:sz w:val="24"/>
          <w:lang w:eastAsia="en-IN"/>
        </w:rPr>
        <w:t>a number of</w:t>
      </w:r>
      <w:proofErr w:type="gramEnd"/>
      <w:r w:rsidRPr="00473AF2">
        <w:rPr>
          <w:rFonts w:ascii="Times New Roman" w:eastAsia="ヒラギノ角ゴ Pro W3" w:hAnsi="Times New Roman"/>
          <w:b/>
          <w:color w:val="000000"/>
          <w:sz w:val="24"/>
          <w:lang w:eastAsia="en-IN"/>
        </w:rPr>
        <w:t xml:space="preserve"> fronts</w:t>
      </w:r>
      <w:r w:rsidRPr="00B41205">
        <w:rPr>
          <w:rFonts w:ascii="Times New Roman" w:eastAsia="ヒラギノ角ゴ Pro W3" w:hAnsi="Times New Roman"/>
          <w:color w:val="000000"/>
          <w:sz w:val="24"/>
          <w:lang w:eastAsia="en-IN"/>
        </w:rPr>
        <w:t>. The T</w:t>
      </w:r>
      <w:r w:rsidR="00473AF2">
        <w:rPr>
          <w:rFonts w:ascii="Times New Roman" w:eastAsia="ヒラギノ角ゴ Pro W3" w:hAnsi="Times New Roman"/>
          <w:color w:val="000000"/>
          <w:sz w:val="24"/>
          <w:lang w:eastAsia="en-IN"/>
        </w:rPr>
        <w:t xml:space="preserve">ax </w:t>
      </w:r>
      <w:r w:rsidRPr="00B41205">
        <w:rPr>
          <w:rFonts w:ascii="Times New Roman" w:eastAsia="ヒラギノ角ゴ Pro W3" w:hAnsi="Times New Roman"/>
          <w:color w:val="000000"/>
          <w:sz w:val="24"/>
          <w:lang w:eastAsia="en-IN"/>
        </w:rPr>
        <w:t>D</w:t>
      </w:r>
      <w:r w:rsidR="00473AF2">
        <w:rPr>
          <w:rFonts w:ascii="Times New Roman" w:eastAsia="ヒラギノ角ゴ Pro W3" w:hAnsi="Times New Roman"/>
          <w:color w:val="000000"/>
          <w:sz w:val="24"/>
          <w:lang w:eastAsia="en-IN"/>
        </w:rPr>
        <w:t>epartment (TD)</w:t>
      </w:r>
      <w:r w:rsidRPr="00B41205">
        <w:rPr>
          <w:rFonts w:ascii="Times New Roman" w:eastAsia="ヒラギノ角ゴ Pro W3" w:hAnsi="Times New Roman"/>
          <w:color w:val="000000"/>
          <w:sz w:val="24"/>
          <w:lang w:eastAsia="en-IN"/>
        </w:rPr>
        <w:t xml:space="preserve"> has recently completed a reform plan for the period 2018-2020, the Tax Strategic Development Plan 2018-20 (TSDP), three-year reform plan for the TD was formally signed by the Minister of Finance in June 2018. The supporting annual action plan, Development Plan for Tax Administration (DPTA) was developed with assistance from the IMF and sets out reforms in the areas of strengthening legislation; improving revenue collection; modernizing tax administration; and, building staff and institutional capacity. This plan, which was approved by the Minister of Finance on June 13, 2018, fits within the six areas of reform under the PFDS, that have been determined as priorities through 2020: policy; legislation; revenue (tax, customs and state assets); budget and treasury (expenditure); modernization; and organization and human resources. However, at this very initial stage of the reform, there is not yet measurable impact on the performance.</w:t>
      </w:r>
    </w:p>
    <w:p w14:paraId="593DA809" w14:textId="77777777" w:rsidR="007518E4"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eastAsia="ヒラギノ角ゴ Pro W3" w:hAnsi="Times New Roman"/>
          <w:color w:val="000000"/>
          <w:sz w:val="24"/>
          <w:lang w:eastAsia="en-IN"/>
        </w:rPr>
      </w:pPr>
      <w:r w:rsidRPr="00473AF2">
        <w:rPr>
          <w:rFonts w:ascii="Times New Roman" w:eastAsia="ヒラギノ角ゴ Pro W3" w:hAnsi="Times New Roman"/>
          <w:b/>
          <w:color w:val="000000"/>
          <w:sz w:val="24"/>
          <w:lang w:eastAsia="en-IN"/>
        </w:rPr>
        <w:t>At the regulatory level, the Lao PDR government is in the process of reviewing and updating its tax laws</w:t>
      </w:r>
      <w:r w:rsidRPr="00B41205">
        <w:rPr>
          <w:rFonts w:ascii="Times New Roman" w:eastAsia="ヒラギノ角ゴ Pro W3" w:hAnsi="Times New Roman"/>
          <w:color w:val="000000"/>
          <w:sz w:val="24"/>
          <w:lang w:eastAsia="en-IN"/>
        </w:rPr>
        <w:t xml:space="preserve">. The Tax Law was revised in 2015 and a new VAT law was approved by the National Assembly on June 20, 2018. Plans are underway to replace the General Tax Law with five separate laws over the next two years Tax Administration Law, Income Tax Law for individuals and legal entities, Excise, Environment and Property Tax Laws. </w:t>
      </w:r>
    </w:p>
    <w:p w14:paraId="2D6440E1" w14:textId="77777777" w:rsidR="007518E4"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eastAsia="ヒラギノ角ゴ Pro W3" w:hAnsi="Times New Roman"/>
          <w:color w:val="000000"/>
          <w:sz w:val="24"/>
          <w:lang w:eastAsia="en-IN"/>
        </w:rPr>
      </w:pPr>
      <w:r w:rsidRPr="00473AF2">
        <w:rPr>
          <w:rFonts w:ascii="Times New Roman" w:eastAsia="ヒラギノ角ゴ Pro W3" w:hAnsi="Times New Roman"/>
          <w:b/>
          <w:color w:val="000000"/>
          <w:sz w:val="24"/>
          <w:lang w:eastAsia="en-IN"/>
        </w:rPr>
        <w:t>From an administration perspective, the Tax Department has updated its organizational structure following Ministerial decree 2834</w:t>
      </w:r>
      <w:r w:rsidR="00921730">
        <w:rPr>
          <w:rFonts w:ascii="Times New Roman" w:eastAsia="ヒラギノ角ゴ Pro W3" w:hAnsi="Times New Roman"/>
          <w:color w:val="000000"/>
          <w:sz w:val="24"/>
          <w:lang w:eastAsia="en-IN"/>
        </w:rPr>
        <w:t xml:space="preserve">. </w:t>
      </w:r>
      <w:r w:rsidR="00473AF2">
        <w:rPr>
          <w:rFonts w:ascii="Times New Roman" w:eastAsia="ヒラギノ角ゴ Pro W3" w:hAnsi="Times New Roman"/>
          <w:color w:val="000000"/>
          <w:sz w:val="24"/>
          <w:lang w:eastAsia="en-IN"/>
        </w:rPr>
        <w:t xml:space="preserve">It </w:t>
      </w:r>
      <w:r w:rsidRPr="00B41205">
        <w:rPr>
          <w:rFonts w:ascii="Times New Roman" w:eastAsia="ヒラギノ角ゴ Pro W3" w:hAnsi="Times New Roman"/>
          <w:color w:val="000000"/>
          <w:sz w:val="24"/>
          <w:lang w:eastAsia="en-IN"/>
        </w:rPr>
        <w:t xml:space="preserve">established a project implementation team, whose responsibility it is to implement the DPTA, as well as coordinate with donors and international organizations. The reform efforts contained within the TD DPTA focus on strengthening the organization to meet the demands of the extensive reform effort, as well as improving the core functions of registration, filing, payment and reporting compliance. On the customs front, a strategic plan is being updated that is aligned with the TD DPTA. </w:t>
      </w:r>
    </w:p>
    <w:p w14:paraId="7A19C8E2" w14:textId="77777777" w:rsidR="007518E4"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eastAsia="ヒラギノ角ゴ Pro W3" w:hAnsi="Times New Roman"/>
          <w:color w:val="000000"/>
          <w:sz w:val="24"/>
          <w:lang w:eastAsia="en-IN"/>
        </w:rPr>
      </w:pPr>
      <w:r w:rsidRPr="00473AF2">
        <w:rPr>
          <w:rFonts w:ascii="Times New Roman" w:eastAsia="ヒラギノ角ゴ Pro W3" w:hAnsi="Times New Roman"/>
          <w:b/>
          <w:color w:val="000000"/>
          <w:sz w:val="24"/>
          <w:lang w:eastAsia="en-IN"/>
        </w:rPr>
        <w:t>As a multiple range of reform actions are currently underway across government agencies, to some degree they appear to be uncoordinated</w:t>
      </w:r>
      <w:r w:rsidR="00473AF2">
        <w:rPr>
          <w:rFonts w:ascii="Times New Roman" w:eastAsia="ヒラギノ角ゴ Pro W3" w:hAnsi="Times New Roman"/>
          <w:b/>
          <w:color w:val="000000"/>
          <w:sz w:val="24"/>
          <w:lang w:eastAsia="en-IN"/>
        </w:rPr>
        <w:t xml:space="preserve">. </w:t>
      </w:r>
      <w:r w:rsidR="00473AF2" w:rsidRPr="00473AF2">
        <w:rPr>
          <w:rFonts w:ascii="Times New Roman" w:eastAsia="ヒラギノ角ゴ Pro W3" w:hAnsi="Times New Roman"/>
          <w:color w:val="000000"/>
          <w:sz w:val="24"/>
          <w:lang w:eastAsia="en-IN"/>
        </w:rPr>
        <w:t>The</w:t>
      </w:r>
      <w:r w:rsidRPr="00B41205">
        <w:rPr>
          <w:rFonts w:ascii="Times New Roman" w:eastAsia="ヒラギノ角ゴ Pro W3" w:hAnsi="Times New Roman"/>
          <w:color w:val="000000"/>
          <w:sz w:val="24"/>
          <w:lang w:eastAsia="en-IN"/>
        </w:rPr>
        <w:t xml:space="preserve"> cross-impacts to other government agencies or reform objectives appear not to be fully identified. For instance, the </w:t>
      </w:r>
      <w:r w:rsidRPr="00B41205">
        <w:rPr>
          <w:rFonts w:ascii="Times New Roman" w:eastAsia="ヒラギノ角ゴ Pro W3" w:hAnsi="Times New Roman"/>
          <w:color w:val="000000"/>
          <w:sz w:val="24"/>
          <w:lang w:eastAsia="en-IN"/>
        </w:rPr>
        <w:lastRenderedPageBreak/>
        <w:t xml:space="preserve">recently-enacted VAT legislation potentially increases the administrative burden on the TD and taxpayers without an apparent full assessment of the additional revenue that may be generated. </w:t>
      </w:r>
    </w:p>
    <w:p w14:paraId="4A3C7B70" w14:textId="77777777" w:rsidR="007518E4" w:rsidRPr="00B41205"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sz w:val="24"/>
        </w:rPr>
      </w:pPr>
      <w:r w:rsidRPr="00473AF2">
        <w:rPr>
          <w:rFonts w:ascii="Times New Roman" w:eastAsia="ヒラギノ角ゴ Pro W3" w:hAnsi="Times New Roman"/>
          <w:b/>
          <w:color w:val="000000"/>
          <w:sz w:val="24"/>
          <w:lang w:eastAsia="en-IN"/>
        </w:rPr>
        <w:t>The last IMF mission report</w:t>
      </w:r>
      <w:r w:rsidRPr="00473AF2">
        <w:rPr>
          <w:rStyle w:val="FootnoteReference"/>
          <w:rFonts w:ascii="Times New Roman" w:eastAsia="ヒラギノ角ゴ Pro W3" w:hAnsi="Times New Roman"/>
          <w:b/>
          <w:color w:val="000000"/>
          <w:sz w:val="24"/>
          <w:lang w:eastAsia="en-IN"/>
        </w:rPr>
        <w:footnoteReference w:id="37"/>
      </w:r>
      <w:r w:rsidRPr="00473AF2">
        <w:rPr>
          <w:rFonts w:ascii="Times New Roman" w:eastAsia="ヒラギノ角ゴ Pro W3" w:hAnsi="Times New Roman"/>
          <w:b/>
          <w:color w:val="000000"/>
          <w:sz w:val="24"/>
          <w:lang w:eastAsia="en-IN"/>
        </w:rPr>
        <w:t xml:space="preserve"> highlights the need for governance processes and management requirements to be put in place to support the implementation of the reforms</w:t>
      </w:r>
      <w:r w:rsidRPr="00B41205">
        <w:rPr>
          <w:rStyle w:val="FootnoteReference"/>
          <w:rFonts w:ascii="Times New Roman" w:eastAsia="ヒラギノ角ゴ Pro W3" w:hAnsi="Times New Roman"/>
          <w:color w:val="000000"/>
          <w:sz w:val="24"/>
          <w:lang w:eastAsia="en-IN"/>
        </w:rPr>
        <w:footnoteReference w:id="38"/>
      </w:r>
      <w:r w:rsidRPr="00B41205">
        <w:rPr>
          <w:rFonts w:ascii="Times New Roman" w:eastAsia="ヒラギノ角ゴ Pro W3" w:hAnsi="Times New Roman"/>
          <w:color w:val="000000"/>
          <w:sz w:val="24"/>
          <w:lang w:eastAsia="en-IN"/>
        </w:rPr>
        <w:t xml:space="preserve">. </w:t>
      </w:r>
    </w:p>
    <w:p w14:paraId="0D5862EA" w14:textId="77777777" w:rsidR="007518E4" w:rsidRPr="00B41205" w:rsidRDefault="007518E4" w:rsidP="00473AF2">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sz w:val="24"/>
        </w:rPr>
      </w:pPr>
      <w:r w:rsidRPr="00473AF2">
        <w:rPr>
          <w:rFonts w:ascii="Times New Roman" w:eastAsia="ヒラギノ角ゴ Pro W3" w:hAnsi="Times New Roman"/>
          <w:b/>
          <w:color w:val="000000"/>
          <w:sz w:val="24"/>
          <w:lang w:eastAsia="en-IN"/>
        </w:rPr>
        <w:t xml:space="preserve">On the Customs side, </w:t>
      </w:r>
      <w:r w:rsidRPr="00473AF2">
        <w:rPr>
          <w:rFonts w:ascii="Times New Roman" w:eastAsia="Calibri" w:hAnsi="Times New Roman"/>
          <w:b/>
          <w:sz w:val="24"/>
        </w:rPr>
        <w:t>the Customs Department (CD) accounts for an increasing 30-35% of total revenue collection.</w:t>
      </w:r>
      <w:r w:rsidRPr="00B41205">
        <w:rPr>
          <w:rFonts w:ascii="Times New Roman" w:eastAsia="Calibri" w:hAnsi="Times New Roman"/>
          <w:sz w:val="24"/>
        </w:rPr>
        <w:t xml:space="preserve"> </w:t>
      </w:r>
      <w:r w:rsidRPr="00B41205">
        <w:rPr>
          <w:rFonts w:ascii="Times New Roman" w:eastAsia="ヒラギノ角ゴ Pro W3" w:hAnsi="Times New Roman"/>
          <w:color w:val="000000"/>
          <w:sz w:val="24"/>
          <w:lang w:eastAsia="en-IN"/>
        </w:rPr>
        <w:t xml:space="preserve">The 2011 Customs Law provides the principles and rules for the revenue collection on movement of goods within Lao PDR and the basis for the operations of the </w:t>
      </w:r>
      <w:r>
        <w:rPr>
          <w:rFonts w:ascii="Times New Roman" w:eastAsia="ヒラギノ角ゴ Pro W3" w:hAnsi="Times New Roman"/>
          <w:color w:val="000000"/>
          <w:sz w:val="24"/>
          <w:lang w:eastAsia="en-IN"/>
        </w:rPr>
        <w:t>Customs department under MoF. When</w:t>
      </w:r>
      <w:r w:rsidRPr="00B41205">
        <w:rPr>
          <w:rFonts w:ascii="Times New Roman" w:eastAsia="ヒラギノ角ゴ Pro W3" w:hAnsi="Times New Roman"/>
          <w:color w:val="000000"/>
          <w:sz w:val="24"/>
          <w:lang w:eastAsia="en-IN"/>
        </w:rPr>
        <w:t xml:space="preserve"> Lao PDR became the 157</w:t>
      </w:r>
      <w:r w:rsidRPr="00B41205">
        <w:rPr>
          <w:rFonts w:ascii="Times New Roman" w:eastAsia="ヒラギノ角ゴ Pro W3" w:hAnsi="Times New Roman"/>
          <w:color w:val="000000"/>
          <w:sz w:val="24"/>
          <w:vertAlign w:val="superscript"/>
          <w:lang w:eastAsia="en-IN"/>
        </w:rPr>
        <w:t>th</w:t>
      </w:r>
      <w:r w:rsidRPr="00B41205">
        <w:rPr>
          <w:rFonts w:ascii="Times New Roman" w:eastAsia="ヒラギノ角ゴ Pro W3" w:hAnsi="Times New Roman"/>
          <w:color w:val="000000"/>
          <w:sz w:val="24"/>
          <w:lang w:eastAsia="en-IN"/>
        </w:rPr>
        <w:t xml:space="preserve"> member of the WTO in February 2013, it adopted customs valuation practices in line with WTO and WCO international good practices and standards.</w:t>
      </w:r>
      <w:r>
        <w:rPr>
          <w:rFonts w:ascii="Times New Roman" w:eastAsia="ヒラギノ角ゴ Pro W3" w:hAnsi="Times New Roman"/>
          <w:color w:val="000000"/>
          <w:sz w:val="24"/>
          <w:lang w:eastAsia="en-IN"/>
        </w:rPr>
        <w:t xml:space="preserve"> </w:t>
      </w:r>
      <w:r w:rsidRPr="00B41205">
        <w:rPr>
          <w:rFonts w:ascii="Times New Roman" w:eastAsia="ヒラギノ角ゴ Pro W3" w:hAnsi="Times New Roman"/>
          <w:color w:val="000000"/>
          <w:sz w:val="24"/>
          <w:lang w:eastAsia="en-IN"/>
        </w:rPr>
        <w:t xml:space="preserve"> Lao PDR signed a WTO Trade Facilitation Agreement in September 2015 and ratified officially the WCO’s Revised Kyoto Convention on Simplification and Harmonization of Customs procedures in June 2016.  Key Customs reforms were supported by the WB</w:t>
      </w:r>
      <w:r w:rsidRPr="00B41205">
        <w:rPr>
          <w:rStyle w:val="FootnoteReference"/>
          <w:rFonts w:ascii="Times New Roman" w:eastAsia="ヒラギノ角ゴ Pro W3" w:hAnsi="Times New Roman"/>
          <w:color w:val="000000"/>
          <w:sz w:val="24"/>
          <w:lang w:eastAsia="en-IN"/>
        </w:rPr>
        <w:footnoteReference w:id="39"/>
      </w:r>
      <w:r w:rsidRPr="00B41205">
        <w:rPr>
          <w:rFonts w:ascii="Times New Roman" w:eastAsia="ヒラギノ角ゴ Pro W3" w:hAnsi="Times New Roman"/>
          <w:color w:val="000000"/>
          <w:sz w:val="24"/>
          <w:lang w:eastAsia="en-IN"/>
        </w:rPr>
        <w:t xml:space="preserve"> in the areas of valuation, introductory risk management, advance ruling and automated customs declaration. A total of 24 customs checkpoints are now in place with live operations of ASYCUDA World, covering 98 percent of the formal trade, and serving approximately 300,000 transactions annually.  </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966"/>
        <w:gridCol w:w="5672"/>
      </w:tblGrid>
      <w:tr w:rsidR="007518E4" w:rsidRPr="00AF48C0" w14:paraId="2C5F5C85" w14:textId="77777777" w:rsidTr="00374990">
        <w:trPr>
          <w:trHeight w:val="397"/>
          <w:jc w:val="center"/>
        </w:trPr>
        <w:tc>
          <w:tcPr>
            <w:tcW w:w="1255" w:type="pct"/>
            <w:shd w:val="clear" w:color="auto" w:fill="D9D9D9"/>
            <w:vAlign w:val="center"/>
          </w:tcPr>
          <w:p w14:paraId="12D75BB7" w14:textId="77777777" w:rsidR="007518E4" w:rsidRPr="0086296B" w:rsidRDefault="007518E4" w:rsidP="00374990">
            <w:pPr>
              <w:spacing w:before="60" w:after="60"/>
              <w:ind w:hanging="443"/>
              <w:jc w:val="center"/>
              <w:rPr>
                <w:rFonts w:ascii="Times New Roman" w:hAnsi="Times New Roman"/>
                <w:sz w:val="20"/>
                <w:szCs w:val="20"/>
              </w:rPr>
            </w:pPr>
            <w:r w:rsidRPr="0086296B">
              <w:rPr>
                <w:rFonts w:ascii="Times New Roman" w:hAnsi="Times New Roman"/>
                <w:sz w:val="20"/>
                <w:szCs w:val="20"/>
              </w:rPr>
              <w:t xml:space="preserve">Indicator/Dimension </w:t>
            </w:r>
          </w:p>
        </w:tc>
        <w:tc>
          <w:tcPr>
            <w:tcW w:w="545" w:type="pct"/>
            <w:shd w:val="clear" w:color="auto" w:fill="D9D9D9"/>
            <w:vAlign w:val="center"/>
          </w:tcPr>
          <w:p w14:paraId="6AE63180" w14:textId="77777777" w:rsidR="007518E4" w:rsidRPr="0086296B" w:rsidRDefault="007518E4" w:rsidP="00473AF2">
            <w:pPr>
              <w:spacing w:before="0"/>
              <w:ind w:left="0"/>
              <w:jc w:val="center"/>
              <w:rPr>
                <w:rFonts w:ascii="Times New Roman" w:hAnsi="Times New Roman"/>
                <w:sz w:val="20"/>
                <w:szCs w:val="20"/>
              </w:rPr>
            </w:pPr>
            <w:r w:rsidRPr="0086296B">
              <w:rPr>
                <w:rFonts w:ascii="Times New Roman" w:hAnsi="Times New Roman"/>
                <w:sz w:val="20"/>
                <w:szCs w:val="20"/>
              </w:rPr>
              <w:t>Score</w:t>
            </w:r>
          </w:p>
        </w:tc>
        <w:tc>
          <w:tcPr>
            <w:tcW w:w="3200" w:type="pct"/>
            <w:shd w:val="clear" w:color="auto" w:fill="D9D9D9"/>
            <w:vAlign w:val="center"/>
          </w:tcPr>
          <w:p w14:paraId="1C05FA48" w14:textId="77777777" w:rsidR="007518E4" w:rsidRPr="0086296B" w:rsidRDefault="007518E4" w:rsidP="00374990">
            <w:pPr>
              <w:spacing w:before="60" w:after="60"/>
              <w:ind w:hanging="599"/>
              <w:jc w:val="center"/>
              <w:rPr>
                <w:rFonts w:ascii="Times New Roman" w:hAnsi="Times New Roman"/>
                <w:sz w:val="20"/>
                <w:szCs w:val="20"/>
              </w:rPr>
            </w:pPr>
            <w:r w:rsidRPr="0086296B">
              <w:rPr>
                <w:rFonts w:ascii="Times New Roman" w:hAnsi="Times New Roman"/>
                <w:sz w:val="20"/>
                <w:szCs w:val="20"/>
              </w:rPr>
              <w:t>Brief Explanation</w:t>
            </w:r>
          </w:p>
        </w:tc>
      </w:tr>
      <w:tr w:rsidR="007518E4" w:rsidRPr="00AF48C0" w14:paraId="1C7F336D" w14:textId="77777777" w:rsidTr="00374990">
        <w:trPr>
          <w:trHeight w:val="341"/>
          <w:jc w:val="center"/>
        </w:trPr>
        <w:tc>
          <w:tcPr>
            <w:tcW w:w="1255" w:type="pct"/>
            <w:vAlign w:val="center"/>
          </w:tcPr>
          <w:p w14:paraId="616D3547" w14:textId="77777777" w:rsidR="007518E4" w:rsidRPr="0086296B" w:rsidRDefault="007518E4" w:rsidP="00473AF2">
            <w:pPr>
              <w:spacing w:before="0"/>
              <w:ind w:left="0"/>
              <w:jc w:val="left"/>
              <w:rPr>
                <w:rFonts w:ascii="Times New Roman" w:hAnsi="Times New Roman"/>
                <w:sz w:val="20"/>
                <w:szCs w:val="20"/>
              </w:rPr>
            </w:pPr>
            <w:r w:rsidRPr="0086296B">
              <w:rPr>
                <w:rFonts w:ascii="Times New Roman" w:hAnsi="Times New Roman"/>
                <w:bCs/>
                <w:sz w:val="20"/>
                <w:szCs w:val="20"/>
              </w:rPr>
              <w:t xml:space="preserve">PI-19 Revenue Administration </w:t>
            </w:r>
          </w:p>
        </w:tc>
        <w:tc>
          <w:tcPr>
            <w:tcW w:w="545" w:type="pct"/>
            <w:vAlign w:val="center"/>
          </w:tcPr>
          <w:p w14:paraId="35A1D244" w14:textId="301DA166" w:rsidR="007518E4" w:rsidRPr="0086296B" w:rsidRDefault="007518E4" w:rsidP="00473AF2">
            <w:pPr>
              <w:spacing w:before="0"/>
              <w:ind w:left="0"/>
              <w:jc w:val="center"/>
              <w:rPr>
                <w:rFonts w:ascii="Times New Roman" w:hAnsi="Times New Roman"/>
                <w:sz w:val="20"/>
                <w:szCs w:val="20"/>
              </w:rPr>
            </w:pPr>
            <w:r w:rsidRPr="0086296B">
              <w:rPr>
                <w:rFonts w:ascii="Times New Roman" w:hAnsi="Times New Roman"/>
                <w:sz w:val="20"/>
                <w:szCs w:val="20"/>
              </w:rPr>
              <w:t>D</w:t>
            </w:r>
          </w:p>
        </w:tc>
        <w:tc>
          <w:tcPr>
            <w:tcW w:w="3200" w:type="pct"/>
            <w:vAlign w:val="center"/>
          </w:tcPr>
          <w:p w14:paraId="1C0C3CA4" w14:textId="77777777" w:rsidR="007518E4" w:rsidRPr="0086296B" w:rsidRDefault="007518E4" w:rsidP="00473AF2">
            <w:pPr>
              <w:spacing w:before="0"/>
              <w:ind w:left="0"/>
              <w:rPr>
                <w:rFonts w:ascii="Times New Roman" w:hAnsi="Times New Roman"/>
                <w:sz w:val="20"/>
                <w:szCs w:val="20"/>
              </w:rPr>
            </w:pPr>
            <w:r w:rsidRPr="0086296B">
              <w:rPr>
                <w:rFonts w:ascii="Times New Roman" w:hAnsi="Times New Roman"/>
                <w:sz w:val="20"/>
                <w:szCs w:val="20"/>
              </w:rPr>
              <w:t>Dimensions combined by Method M2 (average)</w:t>
            </w:r>
          </w:p>
        </w:tc>
      </w:tr>
      <w:tr w:rsidR="007518E4" w:rsidRPr="00B62DB5" w14:paraId="6CE8EE88" w14:textId="77777777" w:rsidTr="00374990">
        <w:trPr>
          <w:trHeight w:val="1331"/>
          <w:jc w:val="center"/>
        </w:trPr>
        <w:tc>
          <w:tcPr>
            <w:tcW w:w="1255" w:type="pct"/>
            <w:vAlign w:val="center"/>
          </w:tcPr>
          <w:p w14:paraId="56E499E3" w14:textId="77777777" w:rsidR="007518E4" w:rsidRPr="00B94146" w:rsidRDefault="007518E4" w:rsidP="00473AF2">
            <w:pPr>
              <w:autoSpaceDE w:val="0"/>
              <w:autoSpaceDN w:val="0"/>
              <w:adjustRightInd w:val="0"/>
              <w:spacing w:before="0"/>
              <w:ind w:left="0"/>
              <w:jc w:val="left"/>
              <w:rPr>
                <w:rFonts w:ascii="Times New Roman" w:hAnsi="Times New Roman"/>
                <w:color w:val="000000"/>
                <w:sz w:val="20"/>
                <w:szCs w:val="20"/>
              </w:rPr>
            </w:pPr>
            <w:r w:rsidRPr="00B94146">
              <w:rPr>
                <w:rFonts w:ascii="Times New Roman" w:hAnsi="Times New Roman"/>
                <w:color w:val="000000"/>
                <w:sz w:val="20"/>
                <w:szCs w:val="20"/>
              </w:rPr>
              <w:t>19.1 Rights and obligation for revenue measures</w:t>
            </w:r>
          </w:p>
        </w:tc>
        <w:tc>
          <w:tcPr>
            <w:tcW w:w="545" w:type="pct"/>
            <w:vAlign w:val="center"/>
          </w:tcPr>
          <w:p w14:paraId="1AF089A3" w14:textId="7BC58ECF" w:rsidR="007518E4" w:rsidRPr="00B94146" w:rsidRDefault="00CC194B" w:rsidP="00473AF2">
            <w:pPr>
              <w:spacing w:before="0"/>
              <w:ind w:left="0"/>
              <w:jc w:val="center"/>
              <w:rPr>
                <w:rFonts w:ascii="Times New Roman" w:hAnsi="Times New Roman"/>
                <w:sz w:val="20"/>
                <w:szCs w:val="20"/>
              </w:rPr>
            </w:pPr>
            <w:r>
              <w:rPr>
                <w:rFonts w:ascii="Times New Roman" w:hAnsi="Times New Roman"/>
                <w:sz w:val="20"/>
                <w:szCs w:val="20"/>
              </w:rPr>
              <w:t>D</w:t>
            </w:r>
          </w:p>
        </w:tc>
        <w:tc>
          <w:tcPr>
            <w:tcW w:w="3200" w:type="pct"/>
            <w:vAlign w:val="center"/>
          </w:tcPr>
          <w:p w14:paraId="18DCE279" w14:textId="77777777" w:rsidR="007518E4" w:rsidRPr="0086296B" w:rsidRDefault="007518E4" w:rsidP="00473AF2">
            <w:pPr>
              <w:spacing w:before="0"/>
              <w:ind w:left="0"/>
              <w:rPr>
                <w:rFonts w:ascii="Times New Roman" w:eastAsia="Calibri" w:hAnsi="Times New Roman"/>
                <w:color w:val="000000"/>
                <w:sz w:val="20"/>
                <w:szCs w:val="20"/>
              </w:rPr>
            </w:pPr>
            <w:r w:rsidRPr="0086296B">
              <w:rPr>
                <w:rFonts w:ascii="Times New Roman" w:eastAsia="Calibri" w:hAnsi="Times New Roman"/>
                <w:color w:val="000000"/>
                <w:sz w:val="20"/>
                <w:szCs w:val="20"/>
              </w:rPr>
              <w:t xml:space="preserve">General information is available on the TD and Customs department websites and some taxpayer education activities are taking place to promote and update information on tax obligations to the </w:t>
            </w:r>
            <w:proofErr w:type="gramStart"/>
            <w:r w:rsidRPr="0086296B">
              <w:rPr>
                <w:rFonts w:ascii="Times New Roman" w:eastAsia="Calibri" w:hAnsi="Times New Roman"/>
                <w:color w:val="000000"/>
                <w:sz w:val="20"/>
                <w:szCs w:val="20"/>
              </w:rPr>
              <w:t>general public</w:t>
            </w:r>
            <w:proofErr w:type="gramEnd"/>
            <w:r w:rsidRPr="0086296B">
              <w:rPr>
                <w:rFonts w:ascii="Times New Roman" w:eastAsia="Calibri" w:hAnsi="Times New Roman"/>
                <w:color w:val="000000"/>
                <w:sz w:val="20"/>
                <w:szCs w:val="20"/>
              </w:rPr>
              <w:t>, but there is significant scope for improving the access to information on the tax regulatory framework. The regime of tax exemptions described in the legal framework is very extensive and creates scope and opportunities for discretionary decisions.</w:t>
            </w:r>
          </w:p>
        </w:tc>
      </w:tr>
      <w:tr w:rsidR="007518E4" w:rsidRPr="00AF48C0" w14:paraId="5D382CD2" w14:textId="77777777" w:rsidTr="00374990">
        <w:trPr>
          <w:trHeight w:val="548"/>
          <w:jc w:val="center"/>
        </w:trPr>
        <w:tc>
          <w:tcPr>
            <w:tcW w:w="1255" w:type="pct"/>
            <w:vAlign w:val="center"/>
          </w:tcPr>
          <w:p w14:paraId="3F13C88C" w14:textId="77777777" w:rsidR="007518E4" w:rsidRPr="00B94146" w:rsidRDefault="007518E4" w:rsidP="00473AF2">
            <w:pPr>
              <w:autoSpaceDE w:val="0"/>
              <w:autoSpaceDN w:val="0"/>
              <w:adjustRightInd w:val="0"/>
              <w:spacing w:before="0"/>
              <w:ind w:left="0"/>
              <w:jc w:val="left"/>
              <w:rPr>
                <w:rFonts w:ascii="Times New Roman" w:hAnsi="Times New Roman"/>
                <w:color w:val="000000"/>
                <w:sz w:val="20"/>
                <w:szCs w:val="20"/>
              </w:rPr>
            </w:pPr>
            <w:r w:rsidRPr="00B94146">
              <w:rPr>
                <w:rFonts w:ascii="Times New Roman" w:hAnsi="Times New Roman"/>
                <w:color w:val="000000"/>
                <w:sz w:val="20"/>
                <w:szCs w:val="20"/>
              </w:rPr>
              <w:t xml:space="preserve">19.2 Revenue risk management </w:t>
            </w:r>
          </w:p>
        </w:tc>
        <w:tc>
          <w:tcPr>
            <w:tcW w:w="545" w:type="pct"/>
            <w:vAlign w:val="center"/>
          </w:tcPr>
          <w:p w14:paraId="7501877C" w14:textId="77777777" w:rsidR="007518E4" w:rsidRPr="00B94146" w:rsidRDefault="007518E4" w:rsidP="00473AF2">
            <w:pPr>
              <w:spacing w:before="0"/>
              <w:ind w:left="0"/>
              <w:jc w:val="center"/>
              <w:rPr>
                <w:rFonts w:ascii="Times New Roman" w:hAnsi="Times New Roman"/>
                <w:sz w:val="20"/>
                <w:szCs w:val="20"/>
              </w:rPr>
            </w:pPr>
            <w:r>
              <w:rPr>
                <w:rFonts w:ascii="Times New Roman" w:hAnsi="Times New Roman"/>
                <w:sz w:val="20"/>
                <w:szCs w:val="20"/>
              </w:rPr>
              <w:t>D</w:t>
            </w:r>
          </w:p>
        </w:tc>
        <w:tc>
          <w:tcPr>
            <w:tcW w:w="3200" w:type="pct"/>
          </w:tcPr>
          <w:p w14:paraId="56B79E13" w14:textId="77777777" w:rsidR="007518E4" w:rsidRPr="0086296B" w:rsidRDefault="007518E4" w:rsidP="00473AF2">
            <w:pPr>
              <w:spacing w:before="0"/>
              <w:ind w:left="0"/>
              <w:rPr>
                <w:rFonts w:ascii="Times New Roman" w:eastAsia="Calibri" w:hAnsi="Times New Roman"/>
                <w:color w:val="000000"/>
                <w:sz w:val="20"/>
                <w:szCs w:val="20"/>
              </w:rPr>
            </w:pPr>
            <w:r w:rsidRPr="0086296B">
              <w:rPr>
                <w:rFonts w:ascii="Times New Roman" w:eastAsia="Calibri" w:hAnsi="Times New Roman"/>
                <w:color w:val="000000"/>
                <w:sz w:val="20"/>
                <w:szCs w:val="20"/>
              </w:rPr>
              <w:t xml:space="preserve">There is a Tax Identification Number system in place.  The Tax Department, collecting more than 50% of revenues – does not yet have a system in place to prioritize and assesses compliance risks by revenue categories.  It does track some 500 large taxpayers to improve collection rate for registered taxpayers.  There is no comprehensive risk management approach to compliance linking all the tax components (registration, filing, payment and refund) and no data available to measure or assess tax compliance.  Customs Department currently carried out physical inspection of all imports.  There are legal sanctions for </w:t>
            </w:r>
            <w:proofErr w:type="spellStart"/>
            <w:proofErr w:type="gramStart"/>
            <w:r w:rsidRPr="0086296B">
              <w:rPr>
                <w:rFonts w:ascii="Times New Roman" w:eastAsia="Calibri" w:hAnsi="Times New Roman"/>
                <w:color w:val="000000"/>
                <w:sz w:val="20"/>
                <w:szCs w:val="20"/>
              </w:rPr>
              <w:t>Non compliance</w:t>
            </w:r>
            <w:proofErr w:type="spellEnd"/>
            <w:proofErr w:type="gramEnd"/>
            <w:r w:rsidRPr="0086296B">
              <w:rPr>
                <w:rFonts w:ascii="Times New Roman" w:eastAsia="Calibri" w:hAnsi="Times New Roman"/>
                <w:color w:val="000000"/>
                <w:sz w:val="20"/>
                <w:szCs w:val="20"/>
              </w:rPr>
              <w:t>.</w:t>
            </w:r>
          </w:p>
        </w:tc>
      </w:tr>
      <w:tr w:rsidR="007518E4" w:rsidRPr="00AF48C0" w14:paraId="04366AB6" w14:textId="77777777" w:rsidTr="00374990">
        <w:trPr>
          <w:trHeight w:val="530"/>
          <w:jc w:val="center"/>
        </w:trPr>
        <w:tc>
          <w:tcPr>
            <w:tcW w:w="1255" w:type="pct"/>
            <w:vAlign w:val="center"/>
          </w:tcPr>
          <w:p w14:paraId="4F1C6009" w14:textId="77777777" w:rsidR="007518E4" w:rsidRPr="00B94146" w:rsidRDefault="007518E4" w:rsidP="00473AF2">
            <w:pPr>
              <w:autoSpaceDE w:val="0"/>
              <w:autoSpaceDN w:val="0"/>
              <w:adjustRightInd w:val="0"/>
              <w:spacing w:before="0"/>
              <w:ind w:left="0"/>
              <w:jc w:val="left"/>
              <w:rPr>
                <w:rFonts w:ascii="Times New Roman" w:hAnsi="Times New Roman"/>
                <w:color w:val="000000"/>
                <w:sz w:val="20"/>
                <w:szCs w:val="20"/>
              </w:rPr>
            </w:pPr>
            <w:r w:rsidRPr="00B94146">
              <w:rPr>
                <w:rFonts w:ascii="Times New Roman" w:hAnsi="Times New Roman"/>
                <w:color w:val="000000"/>
                <w:sz w:val="20"/>
                <w:szCs w:val="20"/>
              </w:rPr>
              <w:t>19.3 Revenue Audit investigation</w:t>
            </w:r>
          </w:p>
        </w:tc>
        <w:tc>
          <w:tcPr>
            <w:tcW w:w="545" w:type="pct"/>
            <w:vAlign w:val="center"/>
          </w:tcPr>
          <w:p w14:paraId="0E9D1AC1" w14:textId="77777777" w:rsidR="007518E4" w:rsidRPr="00B94146" w:rsidRDefault="007518E4" w:rsidP="00473AF2">
            <w:pPr>
              <w:spacing w:before="0"/>
              <w:ind w:left="0"/>
              <w:jc w:val="center"/>
              <w:rPr>
                <w:rFonts w:ascii="Times New Roman" w:hAnsi="Times New Roman"/>
                <w:sz w:val="20"/>
                <w:szCs w:val="20"/>
              </w:rPr>
            </w:pPr>
            <w:r>
              <w:rPr>
                <w:rFonts w:ascii="Times New Roman" w:hAnsi="Times New Roman"/>
                <w:sz w:val="20"/>
                <w:szCs w:val="20"/>
              </w:rPr>
              <w:t>C</w:t>
            </w:r>
          </w:p>
        </w:tc>
        <w:tc>
          <w:tcPr>
            <w:tcW w:w="3200" w:type="pct"/>
          </w:tcPr>
          <w:p w14:paraId="3C181DA7" w14:textId="77777777" w:rsidR="007518E4" w:rsidRPr="00736340" w:rsidRDefault="007518E4" w:rsidP="00473AF2">
            <w:pPr>
              <w:spacing w:before="0"/>
              <w:ind w:left="0"/>
              <w:rPr>
                <w:rFonts w:ascii="Times New Roman" w:eastAsia="Calibri" w:hAnsi="Times New Roman"/>
                <w:color w:val="000000"/>
                <w:sz w:val="20"/>
                <w:szCs w:val="20"/>
              </w:rPr>
            </w:pPr>
            <w:r w:rsidRPr="00736340">
              <w:rPr>
                <w:rFonts w:ascii="Times New Roman" w:eastAsia="Calibri" w:hAnsi="Times New Roman"/>
                <w:color w:val="000000"/>
                <w:sz w:val="20"/>
                <w:szCs w:val="20"/>
              </w:rPr>
              <w:t>While the audit process at both the Tax Department and Customs Department is currently being modernize</w:t>
            </w:r>
            <w:r w:rsidR="00374990">
              <w:rPr>
                <w:rFonts w:ascii="Times New Roman" w:eastAsia="Calibri" w:hAnsi="Times New Roman"/>
                <w:color w:val="000000"/>
                <w:sz w:val="20"/>
                <w:szCs w:val="20"/>
              </w:rPr>
              <w:t>d to incorporate a focused risk-</w:t>
            </w:r>
            <w:r w:rsidRPr="00736340">
              <w:rPr>
                <w:rFonts w:ascii="Times New Roman" w:eastAsia="Calibri" w:hAnsi="Times New Roman"/>
                <w:color w:val="000000"/>
                <w:sz w:val="20"/>
                <w:szCs w:val="20"/>
              </w:rPr>
              <w:t xml:space="preserve">based selection process, there is an audit process in place that is based on a plan and these are implemented fully.  </w:t>
            </w:r>
          </w:p>
        </w:tc>
      </w:tr>
      <w:tr w:rsidR="007518E4" w:rsidRPr="00AF48C0" w14:paraId="008135BD" w14:textId="77777777" w:rsidTr="00374990">
        <w:trPr>
          <w:trHeight w:val="530"/>
          <w:jc w:val="center"/>
        </w:trPr>
        <w:tc>
          <w:tcPr>
            <w:tcW w:w="1255" w:type="pct"/>
            <w:vAlign w:val="center"/>
          </w:tcPr>
          <w:p w14:paraId="36A86FD5" w14:textId="77777777" w:rsidR="007518E4" w:rsidRPr="00B94146" w:rsidRDefault="007518E4" w:rsidP="00473AF2">
            <w:pPr>
              <w:autoSpaceDE w:val="0"/>
              <w:autoSpaceDN w:val="0"/>
              <w:adjustRightInd w:val="0"/>
              <w:spacing w:before="0"/>
              <w:ind w:left="0"/>
              <w:jc w:val="left"/>
              <w:rPr>
                <w:rFonts w:ascii="Times New Roman" w:hAnsi="Times New Roman"/>
                <w:color w:val="000000"/>
                <w:sz w:val="20"/>
                <w:szCs w:val="20"/>
              </w:rPr>
            </w:pPr>
            <w:r w:rsidRPr="00B94146">
              <w:rPr>
                <w:rFonts w:ascii="Times New Roman" w:hAnsi="Times New Roman"/>
                <w:color w:val="000000"/>
                <w:sz w:val="20"/>
                <w:szCs w:val="20"/>
              </w:rPr>
              <w:lastRenderedPageBreak/>
              <w:t xml:space="preserve">19.4 Revenue arrears monitoring </w:t>
            </w:r>
          </w:p>
        </w:tc>
        <w:tc>
          <w:tcPr>
            <w:tcW w:w="545" w:type="pct"/>
            <w:vAlign w:val="center"/>
          </w:tcPr>
          <w:p w14:paraId="76D6FC31" w14:textId="77777777" w:rsidR="007518E4" w:rsidRPr="00B94146" w:rsidRDefault="007518E4" w:rsidP="00473AF2">
            <w:pPr>
              <w:spacing w:before="0"/>
              <w:ind w:left="0"/>
              <w:jc w:val="center"/>
              <w:rPr>
                <w:rFonts w:ascii="Times New Roman" w:hAnsi="Times New Roman"/>
                <w:sz w:val="20"/>
                <w:szCs w:val="20"/>
              </w:rPr>
            </w:pPr>
            <w:r w:rsidRPr="00B94146">
              <w:rPr>
                <w:rFonts w:ascii="Times New Roman" w:hAnsi="Times New Roman"/>
                <w:sz w:val="20"/>
                <w:szCs w:val="20"/>
              </w:rPr>
              <w:t>D</w:t>
            </w:r>
          </w:p>
        </w:tc>
        <w:tc>
          <w:tcPr>
            <w:tcW w:w="3200" w:type="pct"/>
          </w:tcPr>
          <w:p w14:paraId="3095DE62" w14:textId="77777777" w:rsidR="007518E4" w:rsidRPr="00B94146" w:rsidRDefault="007518E4" w:rsidP="00473AF2">
            <w:pPr>
              <w:spacing w:before="0"/>
              <w:ind w:left="0"/>
              <w:rPr>
                <w:rFonts w:ascii="Times New Roman" w:eastAsia="Calibri" w:hAnsi="Times New Roman"/>
                <w:color w:val="000000"/>
                <w:sz w:val="20"/>
                <w:szCs w:val="20"/>
              </w:rPr>
            </w:pPr>
            <w:r w:rsidRPr="00B94146">
              <w:rPr>
                <w:rFonts w:ascii="Times New Roman" w:eastAsia="Calibri" w:hAnsi="Times New Roman"/>
                <w:color w:val="000000"/>
                <w:sz w:val="20"/>
                <w:szCs w:val="20"/>
              </w:rPr>
              <w:t xml:space="preserve">According to the TD, </w:t>
            </w:r>
            <w:r w:rsidR="00921730">
              <w:rPr>
                <w:rFonts w:ascii="Times New Roman" w:eastAsia="Calibri" w:hAnsi="Times New Roman"/>
                <w:color w:val="000000"/>
                <w:sz w:val="20"/>
                <w:szCs w:val="20"/>
              </w:rPr>
              <w:t>t</w:t>
            </w:r>
            <w:r w:rsidRPr="00B94146">
              <w:rPr>
                <w:rFonts w:ascii="Times New Roman" w:eastAsia="Calibri" w:hAnsi="Times New Roman"/>
                <w:color w:val="000000"/>
                <w:sz w:val="20"/>
                <w:szCs w:val="20"/>
              </w:rPr>
              <w:t>he stock of revenue arrears recorded as of 10 December 2018 was 1% of th</w:t>
            </w:r>
            <w:r>
              <w:rPr>
                <w:rFonts w:ascii="Times New Roman" w:eastAsia="Calibri" w:hAnsi="Times New Roman"/>
                <w:color w:val="000000"/>
                <w:sz w:val="20"/>
                <w:szCs w:val="20"/>
              </w:rPr>
              <w:t>e total revenue collection, 99%</w:t>
            </w:r>
            <w:r w:rsidRPr="00B94146">
              <w:rPr>
                <w:rFonts w:ascii="Times New Roman" w:eastAsia="Calibri" w:hAnsi="Times New Roman"/>
                <w:color w:val="000000"/>
                <w:sz w:val="20"/>
                <w:szCs w:val="20"/>
              </w:rPr>
              <w:t xml:space="preserve"> of which had been outstanding for more than 12 months.</w:t>
            </w:r>
          </w:p>
        </w:tc>
      </w:tr>
    </w:tbl>
    <w:p w14:paraId="77F748DB" w14:textId="77777777" w:rsidR="007518E4" w:rsidRPr="003533D6" w:rsidRDefault="007518E4" w:rsidP="00DA621D">
      <w:pPr>
        <w:spacing w:after="240"/>
        <w:ind w:left="0"/>
        <w:rPr>
          <w:rFonts w:ascii="Times New Roman Bold" w:hAnsi="Times New Roman Bold"/>
          <w:b/>
          <w:color w:val="92D050"/>
          <w:spacing w:val="-1"/>
          <w:sz w:val="24"/>
        </w:rPr>
      </w:pPr>
      <w:r w:rsidRPr="003533D6">
        <w:rPr>
          <w:rFonts w:ascii="Times New Roman Bold" w:hAnsi="Times New Roman Bold"/>
          <w:b/>
          <w:color w:val="92D050"/>
          <w:spacing w:val="-1"/>
          <w:sz w:val="24"/>
        </w:rPr>
        <w:t xml:space="preserve">19.1 Rights and </w:t>
      </w:r>
      <w:r>
        <w:rPr>
          <w:rFonts w:ascii="Times New Roman Bold" w:hAnsi="Times New Roman Bold"/>
          <w:b/>
          <w:color w:val="92D050"/>
          <w:spacing w:val="-1"/>
          <w:sz w:val="24"/>
        </w:rPr>
        <w:t>o</w:t>
      </w:r>
      <w:r w:rsidRPr="003533D6">
        <w:rPr>
          <w:rFonts w:ascii="Times New Roman Bold" w:hAnsi="Times New Roman Bold"/>
          <w:b/>
          <w:color w:val="92D050"/>
          <w:spacing w:val="-1"/>
          <w:sz w:val="24"/>
        </w:rPr>
        <w:t xml:space="preserve">bligations for </w:t>
      </w:r>
      <w:r>
        <w:rPr>
          <w:rFonts w:ascii="Times New Roman Bold" w:hAnsi="Times New Roman Bold"/>
          <w:b/>
          <w:color w:val="92D050"/>
          <w:spacing w:val="-1"/>
          <w:sz w:val="24"/>
        </w:rPr>
        <w:t>r</w:t>
      </w:r>
      <w:r w:rsidRPr="003533D6">
        <w:rPr>
          <w:rFonts w:ascii="Times New Roman Bold" w:hAnsi="Times New Roman Bold"/>
          <w:b/>
          <w:color w:val="92D050"/>
          <w:spacing w:val="-1"/>
          <w:sz w:val="24"/>
        </w:rPr>
        <w:t xml:space="preserve">evenue </w:t>
      </w:r>
      <w:r>
        <w:rPr>
          <w:rFonts w:ascii="Times New Roman Bold" w:hAnsi="Times New Roman Bold"/>
          <w:b/>
          <w:color w:val="92D050"/>
          <w:spacing w:val="-1"/>
          <w:sz w:val="24"/>
        </w:rPr>
        <w:t>m</w:t>
      </w:r>
      <w:r w:rsidRPr="003533D6">
        <w:rPr>
          <w:rFonts w:ascii="Times New Roman Bold" w:hAnsi="Times New Roman Bold"/>
          <w:b/>
          <w:color w:val="92D050"/>
          <w:spacing w:val="-1"/>
          <w:sz w:val="24"/>
        </w:rPr>
        <w:t>easures</w:t>
      </w:r>
    </w:p>
    <w:p w14:paraId="64B2F869" w14:textId="77777777" w:rsidR="007518E4" w:rsidRDefault="007518E4" w:rsidP="008037D9">
      <w:pPr>
        <w:pStyle w:val="ListParagraph"/>
        <w:numPr>
          <w:ilvl w:val="0"/>
          <w:numId w:val="80"/>
        </w:numPr>
        <w:tabs>
          <w:tab w:val="clear" w:pos="1288"/>
          <w:tab w:val="num" w:pos="720"/>
        </w:tabs>
        <w:spacing w:before="120" w:after="120"/>
        <w:ind w:left="0"/>
        <w:contextualSpacing w:val="0"/>
        <w:rPr>
          <w:rFonts w:ascii="Times New Roman" w:eastAsia="Calibri" w:hAnsi="Times New Roman"/>
          <w:color w:val="000000"/>
          <w:sz w:val="24"/>
        </w:rPr>
      </w:pPr>
      <w:r w:rsidRPr="00DA621D">
        <w:rPr>
          <w:rFonts w:ascii="Times New Roman" w:eastAsia="ヒラギノ角ゴ Pro W3" w:hAnsi="Times New Roman"/>
          <w:b/>
          <w:color w:val="000000"/>
          <w:sz w:val="24"/>
          <w:lang w:eastAsia="en-IN"/>
        </w:rPr>
        <w:t>Information on taxpayers’ obligations regarding income tax, VAT, Profit tax and excise taxes are managed throughout the country with the headquarters in the capital and offices in the 16 provinces with 142 district tax units.</w:t>
      </w:r>
      <w:r w:rsidRPr="000E58C3">
        <w:rPr>
          <w:rFonts w:ascii="Times New Roman" w:eastAsia="ヒラギノ角ゴ Pro W3" w:hAnsi="Times New Roman"/>
          <w:b/>
          <w:color w:val="000000"/>
          <w:sz w:val="24"/>
          <w:lang w:eastAsia="en-IN"/>
        </w:rPr>
        <w:t xml:space="preserve"> </w:t>
      </w:r>
      <w:r w:rsidRPr="000E58C3">
        <w:rPr>
          <w:rFonts w:ascii="Times New Roman" w:eastAsia="Calibri" w:hAnsi="Times New Roman"/>
          <w:color w:val="000000"/>
          <w:sz w:val="24"/>
        </w:rPr>
        <w:t xml:space="preserve">The official Tax department’s website at </w:t>
      </w:r>
      <w:hyperlink r:id="rId18" w:history="1">
        <w:r w:rsidRPr="000E58C3">
          <w:rPr>
            <w:rStyle w:val="Hyperlink"/>
            <w:rFonts w:ascii="Times New Roman" w:eastAsia="Calibri" w:hAnsi="Times New Roman"/>
            <w:sz w:val="24"/>
          </w:rPr>
          <w:t>www.tax.gov.la</w:t>
        </w:r>
      </w:hyperlink>
      <w:r w:rsidRPr="000E58C3">
        <w:rPr>
          <w:rFonts w:ascii="Times New Roman" w:eastAsia="Calibri" w:hAnsi="Times New Roman"/>
          <w:color w:val="000000"/>
          <w:sz w:val="24"/>
        </w:rPr>
        <w:t xml:space="preserve"> gives access to the laws and published legal documentation describing all basic taxpayers’ obligations. </w:t>
      </w:r>
    </w:p>
    <w:p w14:paraId="40F0CD74" w14:textId="77777777" w:rsidR="007518E4" w:rsidRPr="000E58C3" w:rsidRDefault="007518E4" w:rsidP="008037D9">
      <w:pPr>
        <w:pStyle w:val="ListParagraph"/>
        <w:numPr>
          <w:ilvl w:val="0"/>
          <w:numId w:val="80"/>
        </w:numPr>
        <w:tabs>
          <w:tab w:val="clear" w:pos="1288"/>
          <w:tab w:val="num" w:pos="720"/>
        </w:tabs>
        <w:spacing w:before="120" w:after="120"/>
        <w:ind w:left="0"/>
        <w:contextualSpacing w:val="0"/>
        <w:rPr>
          <w:rFonts w:ascii="Times New Roman" w:eastAsia="Calibri" w:hAnsi="Times New Roman"/>
          <w:color w:val="000000"/>
          <w:sz w:val="24"/>
        </w:rPr>
      </w:pPr>
      <w:r w:rsidRPr="00DA621D">
        <w:rPr>
          <w:rFonts w:ascii="Times New Roman" w:eastAsia="Calibri" w:hAnsi="Times New Roman"/>
          <w:b/>
          <w:color w:val="000000"/>
          <w:sz w:val="24"/>
        </w:rPr>
        <w:t>The Tax Revenue Service Division is responsible for uploading on the website and circulating the information</w:t>
      </w:r>
      <w:r w:rsidR="00921730">
        <w:rPr>
          <w:rFonts w:ascii="Times New Roman" w:eastAsia="Calibri" w:hAnsi="Times New Roman"/>
          <w:color w:val="000000"/>
          <w:sz w:val="24"/>
        </w:rPr>
        <w:t xml:space="preserve">. </w:t>
      </w:r>
      <w:proofErr w:type="gramStart"/>
      <w:r w:rsidR="00DA621D">
        <w:rPr>
          <w:rFonts w:ascii="Times New Roman" w:eastAsia="Calibri" w:hAnsi="Times New Roman"/>
          <w:color w:val="000000"/>
          <w:sz w:val="24"/>
        </w:rPr>
        <w:t>This covers</w:t>
      </w:r>
      <w:proofErr w:type="gramEnd"/>
      <w:r w:rsidRPr="000E58C3">
        <w:rPr>
          <w:rFonts w:ascii="Times New Roman" w:eastAsia="Calibri" w:hAnsi="Times New Roman"/>
          <w:color w:val="000000"/>
          <w:sz w:val="24"/>
        </w:rPr>
        <w:t xml:space="preserve"> carrying out the registration process, filing and submitting revenue returns, tax updates and changes in legislation as a result of promulgation of new tax laws and measures. T</w:t>
      </w:r>
      <w:r>
        <w:rPr>
          <w:rFonts w:ascii="Times New Roman" w:eastAsia="Calibri" w:hAnsi="Times New Roman"/>
          <w:color w:val="000000"/>
          <w:sz w:val="24"/>
        </w:rPr>
        <w:t xml:space="preserve">ax payer education services provide the </w:t>
      </w:r>
      <w:r w:rsidRPr="000E58C3">
        <w:rPr>
          <w:rFonts w:ascii="Times New Roman" w:eastAsia="Calibri" w:hAnsi="Times New Roman"/>
          <w:color w:val="000000"/>
          <w:sz w:val="24"/>
        </w:rPr>
        <w:t xml:space="preserve">same information </w:t>
      </w:r>
      <w:r>
        <w:rPr>
          <w:rFonts w:ascii="Times New Roman" w:eastAsia="Calibri" w:hAnsi="Times New Roman"/>
          <w:color w:val="000000"/>
          <w:sz w:val="24"/>
        </w:rPr>
        <w:t>and are</w:t>
      </w:r>
      <w:r w:rsidRPr="000E58C3">
        <w:rPr>
          <w:rFonts w:ascii="Times New Roman" w:eastAsia="Calibri" w:hAnsi="Times New Roman"/>
          <w:color w:val="000000"/>
          <w:sz w:val="24"/>
        </w:rPr>
        <w:t xml:space="preserve"> disseminated via broadcast media such as national radio stations and television and through workshops and dissemination events at provincial level. Users are also supposed to be able to access a specific website created with the recent launch of </w:t>
      </w:r>
      <w:proofErr w:type="spellStart"/>
      <w:r w:rsidRPr="000E58C3">
        <w:rPr>
          <w:rFonts w:ascii="Times New Roman" w:eastAsia="Calibri" w:hAnsi="Times New Roman"/>
          <w:color w:val="000000"/>
          <w:sz w:val="24"/>
        </w:rPr>
        <w:t>TaxRIS</w:t>
      </w:r>
      <w:proofErr w:type="spellEnd"/>
      <w:r w:rsidRPr="000E58C3">
        <w:rPr>
          <w:rFonts w:ascii="Times New Roman" w:eastAsia="Calibri" w:hAnsi="Times New Roman"/>
          <w:color w:val="000000"/>
          <w:sz w:val="24"/>
        </w:rPr>
        <w:t xml:space="preserve"> in November 2018 and available at </w:t>
      </w:r>
      <w:hyperlink r:id="rId19" w:history="1">
        <w:r w:rsidRPr="00AC5B4D">
          <w:rPr>
            <w:rStyle w:val="Hyperlink"/>
            <w:rFonts w:ascii="Times New Roman" w:eastAsia="Calibri" w:hAnsi="Times New Roman"/>
            <w:sz w:val="24"/>
          </w:rPr>
          <w:t>www.taxservice.la</w:t>
        </w:r>
      </w:hyperlink>
      <w:r w:rsidRPr="000E58C3">
        <w:rPr>
          <w:rFonts w:ascii="Times New Roman" w:eastAsia="Calibri" w:hAnsi="Times New Roman"/>
          <w:color w:val="000000"/>
          <w:sz w:val="24"/>
        </w:rPr>
        <w:t xml:space="preserve"> with more information classified according to various taxes but the link could not be accessed at the time of the assessment.</w:t>
      </w:r>
      <w:r>
        <w:rPr>
          <w:rFonts w:ascii="Times New Roman" w:eastAsia="Calibri" w:hAnsi="Times New Roman"/>
          <w:color w:val="000000"/>
          <w:sz w:val="24"/>
        </w:rPr>
        <w:t xml:space="preserve"> </w:t>
      </w:r>
      <w:r w:rsidRPr="000E58C3">
        <w:rPr>
          <w:rFonts w:ascii="Times New Roman" w:eastAsia="Calibri" w:hAnsi="Times New Roman"/>
          <w:color w:val="000000"/>
          <w:sz w:val="24"/>
        </w:rPr>
        <w:t xml:space="preserve"> Press releases published by the authority in various newspapers are also uploaded on the website and on a T</w:t>
      </w:r>
      <w:r>
        <w:rPr>
          <w:rFonts w:ascii="Times New Roman" w:eastAsia="Calibri" w:hAnsi="Times New Roman"/>
          <w:color w:val="000000"/>
          <w:sz w:val="24"/>
        </w:rPr>
        <w:t xml:space="preserve">ax </w:t>
      </w:r>
      <w:r w:rsidRPr="000E58C3">
        <w:rPr>
          <w:rFonts w:ascii="Times New Roman" w:eastAsia="Calibri" w:hAnsi="Times New Roman"/>
          <w:color w:val="000000"/>
          <w:sz w:val="24"/>
        </w:rPr>
        <w:t>D</w:t>
      </w:r>
      <w:r>
        <w:rPr>
          <w:rFonts w:ascii="Times New Roman" w:eastAsia="Calibri" w:hAnsi="Times New Roman"/>
          <w:color w:val="000000"/>
          <w:sz w:val="24"/>
        </w:rPr>
        <w:t>epartment (TD)</w:t>
      </w:r>
      <w:r w:rsidRPr="000E58C3">
        <w:rPr>
          <w:rFonts w:ascii="Times New Roman" w:eastAsia="Calibri" w:hAnsi="Times New Roman"/>
          <w:color w:val="000000"/>
          <w:sz w:val="24"/>
        </w:rPr>
        <w:t xml:space="preserve"> Facebook page to help taxpayers and would-be taxpayers with tax information. Dissemination activities for new regulation filing and payment in June 2018 were coordinated with the Lao Chamber of Commerce and Industry in English and Lao and outreach events are currently being held to inform the business sector about new provision</w:t>
      </w:r>
      <w:r w:rsidR="00921730">
        <w:rPr>
          <w:rFonts w:ascii="Times New Roman" w:eastAsia="Calibri" w:hAnsi="Times New Roman"/>
          <w:color w:val="000000"/>
          <w:sz w:val="24"/>
        </w:rPr>
        <w:t xml:space="preserve">s on VAT refund and exemptions. </w:t>
      </w:r>
      <w:r w:rsidRPr="000E58C3">
        <w:rPr>
          <w:rFonts w:ascii="Times New Roman" w:eastAsia="Calibri" w:hAnsi="Times New Roman"/>
          <w:color w:val="000000"/>
          <w:sz w:val="24"/>
        </w:rPr>
        <w:t>These outreach activities and the dissemination of informational content in general is the responsibility of different divisions wi</w:t>
      </w:r>
      <w:r>
        <w:rPr>
          <w:rFonts w:ascii="Times New Roman" w:eastAsia="Calibri" w:hAnsi="Times New Roman"/>
          <w:color w:val="000000"/>
          <w:sz w:val="24"/>
        </w:rPr>
        <w:t>thin TD.  However</w:t>
      </w:r>
      <w:r w:rsidR="00921730">
        <w:rPr>
          <w:rFonts w:ascii="Times New Roman" w:eastAsia="Calibri" w:hAnsi="Times New Roman"/>
          <w:color w:val="000000"/>
          <w:sz w:val="24"/>
        </w:rPr>
        <w:t>,</w:t>
      </w:r>
      <w:r w:rsidRPr="000E58C3">
        <w:rPr>
          <w:rFonts w:ascii="Times New Roman" w:eastAsia="Calibri" w:hAnsi="Times New Roman"/>
          <w:color w:val="000000"/>
          <w:sz w:val="24"/>
        </w:rPr>
        <w:t xml:space="preserve"> </w:t>
      </w:r>
      <w:r>
        <w:rPr>
          <w:rFonts w:ascii="Times New Roman" w:eastAsia="Calibri" w:hAnsi="Times New Roman"/>
          <w:color w:val="000000"/>
          <w:sz w:val="24"/>
        </w:rPr>
        <w:t xml:space="preserve">given </w:t>
      </w:r>
      <w:r w:rsidRPr="000E58C3">
        <w:rPr>
          <w:rFonts w:ascii="Times New Roman" w:eastAsia="Calibri" w:hAnsi="Times New Roman"/>
          <w:color w:val="000000"/>
          <w:sz w:val="24"/>
        </w:rPr>
        <w:t xml:space="preserve">the </w:t>
      </w:r>
      <w:r>
        <w:rPr>
          <w:rFonts w:ascii="Times New Roman" w:eastAsia="Calibri" w:hAnsi="Times New Roman"/>
          <w:color w:val="000000"/>
          <w:sz w:val="24"/>
        </w:rPr>
        <w:t xml:space="preserve">available but </w:t>
      </w:r>
      <w:r w:rsidRPr="000E58C3">
        <w:rPr>
          <w:rFonts w:ascii="Times New Roman" w:eastAsia="Calibri" w:hAnsi="Times New Roman"/>
          <w:color w:val="000000"/>
          <w:sz w:val="24"/>
        </w:rPr>
        <w:t xml:space="preserve">limited resources, there are few channels to provide information available to the public to address specific issues and questions. The TD has only limited services in place to offer general assistance and guidance or customer support, such as a dedicated services support or call center hotline to answer queries, or tutorials </w:t>
      </w:r>
      <w:r w:rsidR="00921730">
        <w:rPr>
          <w:rFonts w:ascii="Times New Roman" w:eastAsia="Calibri" w:hAnsi="Times New Roman"/>
          <w:color w:val="000000"/>
          <w:sz w:val="24"/>
        </w:rPr>
        <w:t xml:space="preserve">about taxes on social network. </w:t>
      </w:r>
      <w:r w:rsidRPr="000E58C3">
        <w:rPr>
          <w:rFonts w:ascii="Times New Roman" w:eastAsia="Calibri" w:hAnsi="Times New Roman"/>
          <w:color w:val="000000"/>
          <w:sz w:val="24"/>
        </w:rPr>
        <w:t xml:space="preserve">Tax offices at provincial level are also responsible to provide information </w:t>
      </w:r>
      <w:r>
        <w:rPr>
          <w:rFonts w:ascii="Times New Roman" w:eastAsia="Calibri" w:hAnsi="Times New Roman"/>
          <w:color w:val="000000"/>
          <w:sz w:val="24"/>
        </w:rPr>
        <w:t xml:space="preserve">and assistance </w:t>
      </w:r>
      <w:r w:rsidRPr="000E58C3">
        <w:rPr>
          <w:rFonts w:ascii="Times New Roman" w:eastAsia="Calibri" w:hAnsi="Times New Roman"/>
          <w:color w:val="000000"/>
          <w:sz w:val="24"/>
        </w:rPr>
        <w:t>to taxpayers within their nearest localities, but there is no evidence of systematic and coordinated activities at that level.</w:t>
      </w:r>
    </w:p>
    <w:p w14:paraId="7106B7E6" w14:textId="77777777" w:rsidR="007518E4" w:rsidRPr="00DA621D"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sz w:val="24"/>
          <w:lang w:val="en-MY"/>
        </w:rPr>
      </w:pPr>
      <w:r w:rsidRPr="00DA621D">
        <w:rPr>
          <w:rFonts w:ascii="Times New Roman" w:eastAsia="Calibri" w:hAnsi="Times New Roman"/>
          <w:b/>
          <w:color w:val="000000"/>
          <w:sz w:val="24"/>
        </w:rPr>
        <w:t>Complaints and claims and appeals are governed by Articles 72 and 73 of the Tax Law</w:t>
      </w:r>
      <w:r w:rsidR="00DA621D">
        <w:rPr>
          <w:rFonts w:ascii="Times New Roman" w:eastAsia="Calibri" w:hAnsi="Times New Roman"/>
          <w:color w:val="000000"/>
          <w:sz w:val="24"/>
        </w:rPr>
        <w:t xml:space="preserve">.  These </w:t>
      </w:r>
      <w:r w:rsidRPr="000E58C3">
        <w:rPr>
          <w:rFonts w:ascii="Times New Roman" w:eastAsia="Calibri" w:hAnsi="Times New Roman"/>
          <w:color w:val="000000"/>
          <w:sz w:val="24"/>
        </w:rPr>
        <w:t>stipulat</w:t>
      </w:r>
      <w:r w:rsidR="00DA621D">
        <w:rPr>
          <w:rFonts w:ascii="Times New Roman" w:eastAsia="Calibri" w:hAnsi="Times New Roman"/>
          <w:color w:val="000000"/>
          <w:sz w:val="24"/>
        </w:rPr>
        <w:t>e</w:t>
      </w:r>
      <w:r w:rsidRPr="000E58C3">
        <w:rPr>
          <w:rFonts w:ascii="Times New Roman" w:eastAsia="Calibri" w:hAnsi="Times New Roman"/>
          <w:color w:val="000000"/>
          <w:sz w:val="24"/>
        </w:rPr>
        <w:t xml:space="preserve"> that complains and claims are received and processed directly by the Tax Revenue Services division</w:t>
      </w:r>
      <w:r>
        <w:rPr>
          <w:rFonts w:ascii="Times New Roman" w:eastAsia="Calibri" w:hAnsi="Times New Roman"/>
          <w:color w:val="000000"/>
          <w:sz w:val="24"/>
        </w:rPr>
        <w:t>.  A</w:t>
      </w:r>
      <w:r w:rsidRPr="000E58C3">
        <w:rPr>
          <w:rFonts w:ascii="Times New Roman" w:eastAsia="Calibri" w:hAnsi="Times New Roman"/>
          <w:color w:val="000000"/>
          <w:sz w:val="24"/>
        </w:rPr>
        <w:t>ppeals can be received by the tax a</w:t>
      </w:r>
      <w:r w:rsidR="00DA621D">
        <w:rPr>
          <w:rFonts w:ascii="Times New Roman" w:eastAsia="Calibri" w:hAnsi="Times New Roman"/>
          <w:color w:val="000000"/>
          <w:sz w:val="24"/>
        </w:rPr>
        <w:t>dministration at a higher level</w:t>
      </w:r>
      <w:r>
        <w:rPr>
          <w:rFonts w:ascii="Times New Roman" w:eastAsia="Calibri" w:hAnsi="Times New Roman"/>
          <w:color w:val="000000"/>
          <w:sz w:val="24"/>
        </w:rPr>
        <w:t xml:space="preserve">.  Failing </w:t>
      </w:r>
      <w:r w:rsidRPr="000E58C3">
        <w:rPr>
          <w:rFonts w:ascii="Times New Roman" w:eastAsia="Calibri" w:hAnsi="Times New Roman"/>
          <w:color w:val="000000"/>
          <w:sz w:val="24"/>
        </w:rPr>
        <w:t xml:space="preserve">a </w:t>
      </w:r>
      <w:r>
        <w:rPr>
          <w:rFonts w:ascii="Times New Roman" w:eastAsia="Calibri" w:hAnsi="Times New Roman"/>
          <w:color w:val="000000"/>
          <w:sz w:val="24"/>
        </w:rPr>
        <w:t xml:space="preserve">resolution at these two levels of appeal, </w:t>
      </w:r>
      <w:r w:rsidRPr="000E58C3">
        <w:rPr>
          <w:rFonts w:ascii="Times New Roman" w:eastAsia="Calibri" w:hAnsi="Times New Roman"/>
          <w:color w:val="000000"/>
          <w:sz w:val="24"/>
        </w:rPr>
        <w:t xml:space="preserve">proceedings can be initiated </w:t>
      </w:r>
      <w:r>
        <w:rPr>
          <w:rFonts w:ascii="Times New Roman" w:eastAsia="Calibri" w:hAnsi="Times New Roman"/>
          <w:color w:val="000000"/>
          <w:sz w:val="24"/>
        </w:rPr>
        <w:t xml:space="preserve">though the Courts. In practice, taxpayers do not lodge formal complaints or appeal and resolve all tax issues through negotiations with the Tax administration department. The sensitive large taxpayers’ cases related to foreign investment and mining companies for example, are discussed and settled after agreement at Minister’s level. </w:t>
      </w:r>
    </w:p>
    <w:p w14:paraId="29C9EDD0" w14:textId="77777777" w:rsidR="00DA621D" w:rsidRDefault="00DA621D">
      <w:pPr>
        <w:spacing w:after="240" w:line="276" w:lineRule="auto"/>
        <w:rPr>
          <w:rFonts w:ascii="Times New Roman" w:eastAsia="Calibri" w:hAnsi="Times New Roman"/>
          <w:b/>
          <w:color w:val="000000"/>
          <w:sz w:val="24"/>
        </w:rPr>
      </w:pPr>
      <w:r>
        <w:rPr>
          <w:rFonts w:ascii="Times New Roman" w:eastAsia="Calibri" w:hAnsi="Times New Roman"/>
          <w:b/>
          <w:color w:val="000000"/>
          <w:sz w:val="24"/>
        </w:rPr>
        <w:br w:type="page"/>
      </w:r>
    </w:p>
    <w:p w14:paraId="42B516C2" w14:textId="77777777" w:rsidR="007518E4" w:rsidRPr="009B68FD" w:rsidRDefault="007518E4" w:rsidP="008037D9">
      <w:pPr>
        <w:pStyle w:val="ListParagraph"/>
        <w:numPr>
          <w:ilvl w:val="0"/>
          <w:numId w:val="80"/>
        </w:numPr>
        <w:tabs>
          <w:tab w:val="clear" w:pos="1288"/>
          <w:tab w:val="num" w:pos="720"/>
        </w:tabs>
        <w:autoSpaceDE w:val="0"/>
        <w:autoSpaceDN w:val="0"/>
        <w:adjustRightInd w:val="0"/>
        <w:spacing w:after="120"/>
        <w:ind w:left="0"/>
        <w:contextualSpacing w:val="0"/>
        <w:jc w:val="left"/>
        <w:rPr>
          <w:rFonts w:ascii="Times New Roman" w:hAnsi="Times New Roman"/>
          <w:sz w:val="24"/>
          <w:lang w:val="en-MY"/>
        </w:rPr>
      </w:pPr>
      <w:r w:rsidRPr="00DA621D">
        <w:rPr>
          <w:rFonts w:ascii="Times New Roman" w:eastAsia="Calibri" w:hAnsi="Times New Roman"/>
          <w:b/>
          <w:color w:val="000000"/>
          <w:sz w:val="24"/>
        </w:rPr>
        <w:lastRenderedPageBreak/>
        <w:t>In the period 2015/2018, only a limited number of claims and exceptions were recorded by the TD as follows</w:t>
      </w:r>
      <w:r w:rsidRPr="000E58C3">
        <w:rPr>
          <w:rFonts w:ascii="Times New Roman" w:eastAsia="Calibri" w:hAnsi="Times New Roman"/>
          <w:color w:val="000000"/>
          <w:sz w:val="24"/>
        </w:rPr>
        <w:t>:</w:t>
      </w:r>
    </w:p>
    <w:p w14:paraId="3836F448" w14:textId="77777777" w:rsidR="007518E4" w:rsidRPr="00DB0467" w:rsidRDefault="007518E4" w:rsidP="00DB0467">
      <w:pPr>
        <w:pStyle w:val="ListParagraph"/>
        <w:autoSpaceDE w:val="0"/>
        <w:autoSpaceDN w:val="0"/>
        <w:adjustRightInd w:val="0"/>
        <w:spacing w:before="0"/>
        <w:ind w:hanging="720"/>
        <w:contextualSpacing w:val="0"/>
        <w:jc w:val="center"/>
        <w:rPr>
          <w:rFonts w:ascii="Times New Roman" w:hAnsi="Times New Roman"/>
          <w:b/>
          <w:szCs w:val="22"/>
          <w:lang w:val="en-MY"/>
        </w:rPr>
      </w:pPr>
      <w:r w:rsidRPr="00DB0467">
        <w:rPr>
          <w:rFonts w:ascii="Times New Roman" w:eastAsia="Calibri" w:hAnsi="Times New Roman"/>
          <w:b/>
          <w:color w:val="000000"/>
          <w:szCs w:val="22"/>
        </w:rPr>
        <w:t>Table 3.19.1 Tax Complaints</w:t>
      </w:r>
    </w:p>
    <w:tbl>
      <w:tblPr>
        <w:tblStyle w:val="TableGrid"/>
        <w:tblW w:w="0" w:type="auto"/>
        <w:jc w:val="center"/>
        <w:tblLook w:val="04A0" w:firstRow="1" w:lastRow="0" w:firstColumn="1" w:lastColumn="0" w:noHBand="0" w:noVBand="1"/>
      </w:tblPr>
      <w:tblGrid>
        <w:gridCol w:w="1099"/>
        <w:gridCol w:w="1099"/>
        <w:gridCol w:w="1414"/>
        <w:gridCol w:w="1099"/>
        <w:gridCol w:w="1194"/>
      </w:tblGrid>
      <w:tr w:rsidR="007518E4" w:rsidRPr="0077140F" w14:paraId="19A015E8" w14:textId="77777777" w:rsidTr="00DB0467">
        <w:trPr>
          <w:trHeight w:val="193"/>
          <w:jc w:val="center"/>
        </w:trPr>
        <w:tc>
          <w:tcPr>
            <w:tcW w:w="1099" w:type="dxa"/>
            <w:vMerge w:val="restart"/>
            <w:shd w:val="clear" w:color="auto" w:fill="D9D9D9" w:themeFill="background1" w:themeFillShade="D9"/>
          </w:tcPr>
          <w:p w14:paraId="2F4645E6"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Fiscal year</w:t>
            </w:r>
          </w:p>
        </w:tc>
        <w:tc>
          <w:tcPr>
            <w:tcW w:w="2204" w:type="dxa"/>
            <w:gridSpan w:val="2"/>
            <w:shd w:val="clear" w:color="auto" w:fill="D9D9D9" w:themeFill="background1" w:themeFillShade="D9"/>
          </w:tcPr>
          <w:p w14:paraId="35F456EE"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Public sector</w:t>
            </w:r>
          </w:p>
        </w:tc>
        <w:tc>
          <w:tcPr>
            <w:tcW w:w="2204" w:type="dxa"/>
            <w:gridSpan w:val="2"/>
            <w:shd w:val="clear" w:color="auto" w:fill="D9D9D9" w:themeFill="background1" w:themeFillShade="D9"/>
          </w:tcPr>
          <w:p w14:paraId="79B7C226"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Private sector</w:t>
            </w:r>
          </w:p>
        </w:tc>
      </w:tr>
      <w:tr w:rsidR="007518E4" w:rsidRPr="0077140F" w14:paraId="7212C306" w14:textId="77777777" w:rsidTr="00DB0467">
        <w:trPr>
          <w:trHeight w:val="224"/>
          <w:jc w:val="center"/>
        </w:trPr>
        <w:tc>
          <w:tcPr>
            <w:tcW w:w="1099" w:type="dxa"/>
            <w:vMerge/>
            <w:shd w:val="clear" w:color="auto" w:fill="D9D9D9" w:themeFill="background1" w:themeFillShade="D9"/>
          </w:tcPr>
          <w:p w14:paraId="2D75208D" w14:textId="77777777" w:rsidR="007518E4" w:rsidRPr="00DB0467" w:rsidRDefault="007518E4" w:rsidP="00DA621D">
            <w:pPr>
              <w:spacing w:before="0"/>
              <w:ind w:left="0"/>
              <w:jc w:val="center"/>
              <w:rPr>
                <w:rFonts w:eastAsia="Calibri"/>
                <w:color w:val="000000"/>
                <w:sz w:val="22"/>
                <w:szCs w:val="22"/>
              </w:rPr>
            </w:pPr>
          </w:p>
        </w:tc>
        <w:tc>
          <w:tcPr>
            <w:tcW w:w="1099" w:type="dxa"/>
            <w:shd w:val="clear" w:color="auto" w:fill="D9D9D9" w:themeFill="background1" w:themeFillShade="D9"/>
          </w:tcPr>
          <w:p w14:paraId="016E8EB4"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Queries*</w:t>
            </w:r>
          </w:p>
        </w:tc>
        <w:tc>
          <w:tcPr>
            <w:tcW w:w="1105" w:type="dxa"/>
            <w:shd w:val="clear" w:color="auto" w:fill="D9D9D9" w:themeFill="background1" w:themeFillShade="D9"/>
          </w:tcPr>
          <w:p w14:paraId="09653BD4"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Exceptions**</w:t>
            </w:r>
          </w:p>
        </w:tc>
        <w:tc>
          <w:tcPr>
            <w:tcW w:w="1099" w:type="dxa"/>
            <w:shd w:val="clear" w:color="auto" w:fill="D9D9D9" w:themeFill="background1" w:themeFillShade="D9"/>
          </w:tcPr>
          <w:p w14:paraId="0BB4DC7B"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Queries</w:t>
            </w:r>
          </w:p>
        </w:tc>
        <w:tc>
          <w:tcPr>
            <w:tcW w:w="1105" w:type="dxa"/>
            <w:shd w:val="clear" w:color="auto" w:fill="D9D9D9" w:themeFill="background1" w:themeFillShade="D9"/>
          </w:tcPr>
          <w:p w14:paraId="347B1CF5"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Exceptions</w:t>
            </w:r>
          </w:p>
        </w:tc>
      </w:tr>
      <w:tr w:rsidR="007518E4" w:rsidRPr="0077140F" w14:paraId="79702922" w14:textId="77777777" w:rsidTr="00DB0467">
        <w:trPr>
          <w:trHeight w:val="57"/>
          <w:jc w:val="center"/>
        </w:trPr>
        <w:tc>
          <w:tcPr>
            <w:tcW w:w="1099" w:type="dxa"/>
          </w:tcPr>
          <w:p w14:paraId="54D0A178" w14:textId="77777777" w:rsidR="007518E4" w:rsidRPr="00DB0467" w:rsidRDefault="007518E4" w:rsidP="00DA621D">
            <w:pPr>
              <w:spacing w:before="0"/>
              <w:ind w:left="0"/>
              <w:rPr>
                <w:rFonts w:eastAsia="Calibri"/>
                <w:color w:val="000000"/>
                <w:sz w:val="22"/>
                <w:szCs w:val="22"/>
              </w:rPr>
            </w:pPr>
            <w:r w:rsidRPr="00DB0467">
              <w:rPr>
                <w:rFonts w:eastAsia="Calibri"/>
                <w:color w:val="000000"/>
                <w:sz w:val="22"/>
                <w:szCs w:val="22"/>
              </w:rPr>
              <w:t>2015</w:t>
            </w:r>
          </w:p>
        </w:tc>
        <w:tc>
          <w:tcPr>
            <w:tcW w:w="1099" w:type="dxa"/>
          </w:tcPr>
          <w:p w14:paraId="62CF6A8F" w14:textId="77777777" w:rsidR="007518E4" w:rsidRPr="00DB0467" w:rsidRDefault="007518E4" w:rsidP="00DA621D">
            <w:pPr>
              <w:spacing w:before="0"/>
              <w:ind w:left="0"/>
              <w:jc w:val="center"/>
              <w:rPr>
                <w:rFonts w:eastAsia="Calibri"/>
                <w:color w:val="000000"/>
                <w:sz w:val="22"/>
                <w:szCs w:val="22"/>
              </w:rPr>
            </w:pPr>
          </w:p>
        </w:tc>
        <w:tc>
          <w:tcPr>
            <w:tcW w:w="1105" w:type="dxa"/>
          </w:tcPr>
          <w:p w14:paraId="4A37D45A"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6</w:t>
            </w:r>
          </w:p>
        </w:tc>
        <w:tc>
          <w:tcPr>
            <w:tcW w:w="1099" w:type="dxa"/>
          </w:tcPr>
          <w:p w14:paraId="5ADA69D2" w14:textId="77777777" w:rsidR="007518E4" w:rsidRPr="00DB0467" w:rsidRDefault="007518E4" w:rsidP="00DA621D">
            <w:pPr>
              <w:spacing w:before="0"/>
              <w:ind w:left="0"/>
              <w:jc w:val="center"/>
              <w:rPr>
                <w:rFonts w:eastAsia="Calibri"/>
                <w:color w:val="000000"/>
                <w:sz w:val="22"/>
                <w:szCs w:val="22"/>
              </w:rPr>
            </w:pPr>
          </w:p>
        </w:tc>
        <w:tc>
          <w:tcPr>
            <w:tcW w:w="1105" w:type="dxa"/>
          </w:tcPr>
          <w:p w14:paraId="081A7110"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123</w:t>
            </w:r>
          </w:p>
        </w:tc>
      </w:tr>
      <w:tr w:rsidR="007518E4" w:rsidRPr="0077140F" w14:paraId="48696B57" w14:textId="77777777" w:rsidTr="00DB0467">
        <w:trPr>
          <w:trHeight w:val="57"/>
          <w:jc w:val="center"/>
        </w:trPr>
        <w:tc>
          <w:tcPr>
            <w:tcW w:w="1099" w:type="dxa"/>
          </w:tcPr>
          <w:p w14:paraId="5EE6F1A4" w14:textId="77777777" w:rsidR="007518E4" w:rsidRPr="00DB0467" w:rsidRDefault="007518E4" w:rsidP="00DA621D">
            <w:pPr>
              <w:spacing w:before="0"/>
              <w:ind w:left="0"/>
              <w:rPr>
                <w:rFonts w:eastAsia="Calibri"/>
                <w:color w:val="000000"/>
                <w:sz w:val="22"/>
                <w:szCs w:val="22"/>
              </w:rPr>
            </w:pPr>
            <w:r w:rsidRPr="00DB0467">
              <w:rPr>
                <w:rFonts w:eastAsia="Calibri"/>
                <w:color w:val="000000"/>
                <w:sz w:val="22"/>
                <w:szCs w:val="22"/>
              </w:rPr>
              <w:t>2016</w:t>
            </w:r>
          </w:p>
        </w:tc>
        <w:tc>
          <w:tcPr>
            <w:tcW w:w="1099" w:type="dxa"/>
          </w:tcPr>
          <w:p w14:paraId="5CD0F6D2"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30</w:t>
            </w:r>
          </w:p>
        </w:tc>
        <w:tc>
          <w:tcPr>
            <w:tcW w:w="1105" w:type="dxa"/>
          </w:tcPr>
          <w:p w14:paraId="5799B2C0"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4</w:t>
            </w:r>
          </w:p>
        </w:tc>
        <w:tc>
          <w:tcPr>
            <w:tcW w:w="1099" w:type="dxa"/>
          </w:tcPr>
          <w:p w14:paraId="3E6B4F22"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45</w:t>
            </w:r>
          </w:p>
        </w:tc>
        <w:tc>
          <w:tcPr>
            <w:tcW w:w="1105" w:type="dxa"/>
          </w:tcPr>
          <w:p w14:paraId="35C7ADF5"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181</w:t>
            </w:r>
          </w:p>
        </w:tc>
      </w:tr>
      <w:tr w:rsidR="007518E4" w:rsidRPr="0077140F" w14:paraId="1EF4E16E" w14:textId="77777777" w:rsidTr="00DB0467">
        <w:trPr>
          <w:trHeight w:val="57"/>
          <w:jc w:val="center"/>
        </w:trPr>
        <w:tc>
          <w:tcPr>
            <w:tcW w:w="1099" w:type="dxa"/>
          </w:tcPr>
          <w:p w14:paraId="0F47D28F" w14:textId="77777777" w:rsidR="007518E4" w:rsidRPr="00DB0467" w:rsidRDefault="007518E4" w:rsidP="00DA621D">
            <w:pPr>
              <w:spacing w:before="0"/>
              <w:ind w:left="0"/>
              <w:rPr>
                <w:rFonts w:eastAsia="Calibri"/>
                <w:color w:val="000000"/>
                <w:sz w:val="22"/>
                <w:szCs w:val="22"/>
              </w:rPr>
            </w:pPr>
            <w:r w:rsidRPr="00DB0467">
              <w:rPr>
                <w:rFonts w:eastAsia="Calibri"/>
                <w:color w:val="000000"/>
                <w:sz w:val="22"/>
                <w:szCs w:val="22"/>
              </w:rPr>
              <w:t>2017</w:t>
            </w:r>
          </w:p>
        </w:tc>
        <w:tc>
          <w:tcPr>
            <w:tcW w:w="1099" w:type="dxa"/>
          </w:tcPr>
          <w:p w14:paraId="51656548"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29</w:t>
            </w:r>
          </w:p>
        </w:tc>
        <w:tc>
          <w:tcPr>
            <w:tcW w:w="1105" w:type="dxa"/>
          </w:tcPr>
          <w:p w14:paraId="39EB50E0"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21</w:t>
            </w:r>
          </w:p>
        </w:tc>
        <w:tc>
          <w:tcPr>
            <w:tcW w:w="1099" w:type="dxa"/>
          </w:tcPr>
          <w:p w14:paraId="138A736D"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26</w:t>
            </w:r>
          </w:p>
        </w:tc>
        <w:tc>
          <w:tcPr>
            <w:tcW w:w="1105" w:type="dxa"/>
          </w:tcPr>
          <w:p w14:paraId="417ACC1A"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30</w:t>
            </w:r>
          </w:p>
        </w:tc>
      </w:tr>
      <w:tr w:rsidR="007518E4" w:rsidRPr="0077140F" w14:paraId="297D2EFD" w14:textId="77777777" w:rsidTr="00DB0467">
        <w:trPr>
          <w:trHeight w:val="57"/>
          <w:jc w:val="center"/>
        </w:trPr>
        <w:tc>
          <w:tcPr>
            <w:tcW w:w="1099" w:type="dxa"/>
          </w:tcPr>
          <w:p w14:paraId="33790696" w14:textId="77777777" w:rsidR="007518E4" w:rsidRPr="00DB0467" w:rsidRDefault="007518E4" w:rsidP="00DA621D">
            <w:pPr>
              <w:spacing w:before="0"/>
              <w:ind w:left="0"/>
              <w:rPr>
                <w:rFonts w:eastAsia="Calibri"/>
                <w:color w:val="000000"/>
                <w:sz w:val="22"/>
                <w:szCs w:val="22"/>
              </w:rPr>
            </w:pPr>
            <w:r w:rsidRPr="00DB0467">
              <w:rPr>
                <w:rFonts w:eastAsia="Calibri"/>
                <w:color w:val="000000"/>
                <w:sz w:val="22"/>
                <w:szCs w:val="22"/>
              </w:rPr>
              <w:t>2018</w:t>
            </w:r>
          </w:p>
        </w:tc>
        <w:tc>
          <w:tcPr>
            <w:tcW w:w="1099" w:type="dxa"/>
          </w:tcPr>
          <w:p w14:paraId="44FE893A"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45</w:t>
            </w:r>
          </w:p>
        </w:tc>
        <w:tc>
          <w:tcPr>
            <w:tcW w:w="1105" w:type="dxa"/>
          </w:tcPr>
          <w:p w14:paraId="73E33CA6"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70</w:t>
            </w:r>
          </w:p>
        </w:tc>
        <w:tc>
          <w:tcPr>
            <w:tcW w:w="1099" w:type="dxa"/>
          </w:tcPr>
          <w:p w14:paraId="6F9AB08D"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42</w:t>
            </w:r>
          </w:p>
        </w:tc>
        <w:tc>
          <w:tcPr>
            <w:tcW w:w="1105" w:type="dxa"/>
          </w:tcPr>
          <w:p w14:paraId="1C7401FE"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1</w:t>
            </w:r>
          </w:p>
        </w:tc>
      </w:tr>
      <w:tr w:rsidR="007518E4" w:rsidRPr="0077140F" w14:paraId="40CDD858" w14:textId="77777777" w:rsidTr="00DB0467">
        <w:trPr>
          <w:trHeight w:val="57"/>
          <w:jc w:val="center"/>
        </w:trPr>
        <w:tc>
          <w:tcPr>
            <w:tcW w:w="1099" w:type="dxa"/>
            <w:shd w:val="clear" w:color="auto" w:fill="D9D9D9" w:themeFill="background1" w:themeFillShade="D9"/>
          </w:tcPr>
          <w:p w14:paraId="42805EDA" w14:textId="77777777" w:rsidR="007518E4" w:rsidRPr="00DB0467" w:rsidRDefault="007518E4" w:rsidP="00DA621D">
            <w:pPr>
              <w:spacing w:before="0"/>
              <w:ind w:left="0"/>
              <w:rPr>
                <w:rFonts w:eastAsia="Calibri"/>
                <w:color w:val="000000"/>
                <w:sz w:val="22"/>
                <w:szCs w:val="22"/>
              </w:rPr>
            </w:pPr>
            <w:r w:rsidRPr="00DB0467">
              <w:rPr>
                <w:rFonts w:eastAsia="Calibri"/>
                <w:color w:val="000000"/>
                <w:sz w:val="22"/>
                <w:szCs w:val="22"/>
              </w:rPr>
              <w:t>Total</w:t>
            </w:r>
          </w:p>
        </w:tc>
        <w:tc>
          <w:tcPr>
            <w:tcW w:w="1099" w:type="dxa"/>
            <w:shd w:val="clear" w:color="auto" w:fill="D9D9D9" w:themeFill="background1" w:themeFillShade="D9"/>
          </w:tcPr>
          <w:p w14:paraId="51C39AD9"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104</w:t>
            </w:r>
          </w:p>
        </w:tc>
        <w:tc>
          <w:tcPr>
            <w:tcW w:w="1105" w:type="dxa"/>
            <w:shd w:val="clear" w:color="auto" w:fill="D9D9D9" w:themeFill="background1" w:themeFillShade="D9"/>
          </w:tcPr>
          <w:p w14:paraId="581865E0"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101</w:t>
            </w:r>
          </w:p>
        </w:tc>
        <w:tc>
          <w:tcPr>
            <w:tcW w:w="1099" w:type="dxa"/>
            <w:shd w:val="clear" w:color="auto" w:fill="D9D9D9" w:themeFill="background1" w:themeFillShade="D9"/>
          </w:tcPr>
          <w:p w14:paraId="3B09238F"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113</w:t>
            </w:r>
          </w:p>
        </w:tc>
        <w:tc>
          <w:tcPr>
            <w:tcW w:w="1105" w:type="dxa"/>
            <w:shd w:val="clear" w:color="auto" w:fill="D9D9D9" w:themeFill="background1" w:themeFillShade="D9"/>
          </w:tcPr>
          <w:p w14:paraId="68A5EEFA" w14:textId="77777777" w:rsidR="007518E4" w:rsidRPr="00DB0467" w:rsidRDefault="007518E4" w:rsidP="00DA621D">
            <w:pPr>
              <w:spacing w:before="0"/>
              <w:ind w:left="0"/>
              <w:jc w:val="center"/>
              <w:rPr>
                <w:rFonts w:eastAsia="Calibri"/>
                <w:color w:val="000000"/>
                <w:sz w:val="22"/>
                <w:szCs w:val="22"/>
              </w:rPr>
            </w:pPr>
            <w:r w:rsidRPr="00DB0467">
              <w:rPr>
                <w:rFonts w:eastAsia="Calibri"/>
                <w:color w:val="000000"/>
                <w:sz w:val="22"/>
                <w:szCs w:val="22"/>
              </w:rPr>
              <w:t>335</w:t>
            </w:r>
          </w:p>
        </w:tc>
      </w:tr>
    </w:tbl>
    <w:p w14:paraId="33F1748C" w14:textId="77777777" w:rsidR="007518E4" w:rsidRDefault="007518E4" w:rsidP="007518E4">
      <w:pPr>
        <w:pStyle w:val="ListParagraph"/>
        <w:spacing w:before="0"/>
        <w:ind w:left="0" w:firstLine="720"/>
        <w:contextualSpacing w:val="0"/>
        <w:rPr>
          <w:rFonts w:ascii="Times New Roman" w:eastAsia="Calibri" w:hAnsi="Times New Roman"/>
          <w:color w:val="000000"/>
          <w:sz w:val="24"/>
        </w:rPr>
      </w:pPr>
      <w:r w:rsidRPr="0077140F">
        <w:rPr>
          <w:rFonts w:ascii="Times New Roman" w:eastAsia="Calibri" w:hAnsi="Times New Roman"/>
          <w:color w:val="000000"/>
          <w:sz w:val="20"/>
          <w:szCs w:val="20"/>
        </w:rPr>
        <w:t>Source: TD data received in December 2018</w:t>
      </w:r>
      <w:r w:rsidRPr="000E58C3">
        <w:rPr>
          <w:rFonts w:ascii="Times New Roman" w:eastAsia="Calibri" w:hAnsi="Times New Roman"/>
          <w:color w:val="000000"/>
          <w:sz w:val="24"/>
        </w:rPr>
        <w:t>.</w:t>
      </w:r>
    </w:p>
    <w:p w14:paraId="5110EAC3" w14:textId="77777777" w:rsidR="00DA621D" w:rsidRDefault="007518E4" w:rsidP="00DA621D">
      <w:pPr>
        <w:pStyle w:val="ListParagraph"/>
        <w:spacing w:before="0"/>
        <w:contextualSpacing w:val="0"/>
        <w:rPr>
          <w:rFonts w:ascii="Times New Roman" w:eastAsia="Calibri" w:hAnsi="Times New Roman"/>
          <w:color w:val="000000"/>
          <w:sz w:val="20"/>
          <w:szCs w:val="20"/>
        </w:rPr>
      </w:pPr>
      <w:r>
        <w:rPr>
          <w:rFonts w:ascii="Times New Roman" w:eastAsia="Calibri" w:hAnsi="Times New Roman"/>
          <w:color w:val="000000"/>
          <w:sz w:val="24"/>
        </w:rPr>
        <w:t>*</w:t>
      </w:r>
      <w:r w:rsidRPr="00DA621D">
        <w:rPr>
          <w:rFonts w:ascii="Times New Roman" w:eastAsia="Calibri" w:hAnsi="Times New Roman"/>
          <w:color w:val="000000"/>
          <w:sz w:val="20"/>
          <w:szCs w:val="20"/>
        </w:rPr>
        <w:t xml:space="preserve">Queries defined as cases when companies have formally questioned their tax obligations with the Tax administration department. </w:t>
      </w:r>
    </w:p>
    <w:p w14:paraId="110B14C2" w14:textId="77777777" w:rsidR="007518E4" w:rsidRDefault="007518E4" w:rsidP="007518E4">
      <w:pPr>
        <w:pStyle w:val="ListParagraph"/>
        <w:spacing w:before="0"/>
        <w:ind w:left="0" w:firstLine="720"/>
        <w:contextualSpacing w:val="0"/>
        <w:rPr>
          <w:rFonts w:ascii="Times New Roman" w:eastAsia="Calibri" w:hAnsi="Times New Roman"/>
          <w:color w:val="000000"/>
          <w:sz w:val="24"/>
        </w:rPr>
      </w:pPr>
      <w:r w:rsidRPr="00DA621D">
        <w:rPr>
          <w:rFonts w:ascii="Times New Roman" w:eastAsia="Calibri" w:hAnsi="Times New Roman"/>
          <w:color w:val="000000"/>
          <w:sz w:val="20"/>
          <w:szCs w:val="20"/>
        </w:rPr>
        <w:t>**Exceptions defined as adjustments agreed between the Taxpayers and the Tax administration.</w:t>
      </w:r>
    </w:p>
    <w:p w14:paraId="712808C0" w14:textId="77777777" w:rsidR="007518E4" w:rsidRPr="00DA621D"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b/>
          <w:color w:val="000000"/>
          <w:sz w:val="24"/>
          <w:lang w:val="en-MY"/>
        </w:rPr>
      </w:pPr>
      <w:r w:rsidRPr="00DA621D">
        <w:rPr>
          <w:rFonts w:ascii="Times New Roman" w:eastAsia="Calibri" w:hAnsi="Times New Roman"/>
          <w:b/>
          <w:color w:val="000000"/>
          <w:sz w:val="24"/>
          <w:lang w:val="en-MY"/>
        </w:rPr>
        <w:t>As a reference Lao PDR ranks 155</w:t>
      </w:r>
      <w:r w:rsidRPr="00DA621D">
        <w:rPr>
          <w:rStyle w:val="FootnoteReference"/>
          <w:rFonts w:ascii="Times New Roman" w:eastAsia="Calibri" w:hAnsi="Times New Roman"/>
          <w:b/>
          <w:color w:val="000000"/>
          <w:sz w:val="24"/>
          <w:lang w:val="en-MY"/>
        </w:rPr>
        <w:footnoteReference w:id="40"/>
      </w:r>
      <w:r w:rsidRPr="00DA621D">
        <w:rPr>
          <w:rFonts w:ascii="Times New Roman" w:eastAsia="Calibri" w:hAnsi="Times New Roman"/>
          <w:b/>
          <w:color w:val="000000"/>
          <w:sz w:val="24"/>
          <w:lang w:val="en-MY"/>
        </w:rPr>
        <w:t xml:space="preserve"> for “paying taxes” on the Doing Business 2019 and 77 in “trading across borders”, with an overall rank of 154 behind all its neighbours (Thailand, Vietnam).</w:t>
      </w:r>
    </w:p>
    <w:p w14:paraId="27E4A962" w14:textId="77777777" w:rsidR="007518E4" w:rsidRPr="000E58C3"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lang w:val="en-MY"/>
        </w:rPr>
      </w:pPr>
      <w:r w:rsidRPr="00DA621D">
        <w:rPr>
          <w:rFonts w:ascii="Times New Roman" w:eastAsia="Calibri" w:hAnsi="Times New Roman"/>
          <w:b/>
          <w:color w:val="000000"/>
          <w:sz w:val="24"/>
          <w:lang w:val="en-MY"/>
        </w:rPr>
        <w:t>On the Customs side, the Customs department recognizes the need to improve the internal communication and establish a website with updated information.</w:t>
      </w:r>
      <w:r w:rsidRPr="000E58C3">
        <w:rPr>
          <w:rFonts w:ascii="Times New Roman" w:eastAsia="Calibri" w:hAnsi="Times New Roman"/>
          <w:color w:val="000000"/>
          <w:sz w:val="24"/>
          <w:lang w:val="en-MY"/>
        </w:rPr>
        <w:t xml:space="preserve"> At present, most information is disseminated through the Lao Trade portal at </w:t>
      </w:r>
      <w:hyperlink r:id="rId20" w:history="1">
        <w:r w:rsidRPr="000E58C3">
          <w:rPr>
            <w:rStyle w:val="Hyperlink"/>
            <w:rFonts w:ascii="Times New Roman" w:eastAsia="Calibri" w:hAnsi="Times New Roman"/>
            <w:sz w:val="24"/>
            <w:lang w:val="en-MY"/>
          </w:rPr>
          <w:t>https://www.laotradeportal.gov.la</w:t>
        </w:r>
      </w:hyperlink>
      <w:r w:rsidRPr="000E58C3">
        <w:rPr>
          <w:rFonts w:ascii="Times New Roman" w:eastAsia="Calibri" w:hAnsi="Times New Roman"/>
          <w:color w:val="000000"/>
          <w:sz w:val="24"/>
          <w:lang w:val="en-MY"/>
        </w:rPr>
        <w:t xml:space="preserve"> with all relevant laws and regulations in English and Lao. </w:t>
      </w:r>
    </w:p>
    <w:p w14:paraId="0A42E35B" w14:textId="77777777" w:rsidR="007518E4" w:rsidRPr="000E58C3"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lang w:val="en-MY"/>
        </w:rPr>
      </w:pPr>
      <w:r w:rsidRPr="00DA621D">
        <w:rPr>
          <w:rFonts w:ascii="Times New Roman" w:eastAsia="Calibri" w:hAnsi="Times New Roman"/>
          <w:b/>
          <w:color w:val="000000"/>
          <w:sz w:val="24"/>
          <w:lang w:val="en-MY"/>
        </w:rPr>
        <w:t xml:space="preserve">For other </w:t>
      </w:r>
      <w:proofErr w:type="spellStart"/>
      <w:proofErr w:type="gramStart"/>
      <w:r w:rsidRPr="00DA621D">
        <w:rPr>
          <w:rFonts w:ascii="Times New Roman" w:eastAsia="Calibri" w:hAnsi="Times New Roman"/>
          <w:b/>
          <w:color w:val="000000"/>
          <w:sz w:val="24"/>
          <w:lang w:val="en-MY"/>
        </w:rPr>
        <w:t>non tax</w:t>
      </w:r>
      <w:proofErr w:type="spellEnd"/>
      <w:proofErr w:type="gramEnd"/>
      <w:r w:rsidRPr="00DA621D">
        <w:rPr>
          <w:rFonts w:ascii="Times New Roman" w:eastAsia="Calibri" w:hAnsi="Times New Roman"/>
          <w:b/>
          <w:color w:val="000000"/>
          <w:sz w:val="24"/>
          <w:lang w:val="en-MY"/>
        </w:rPr>
        <w:t xml:space="preserve"> revenues, the State Asset Management department is responsible to collect revenue on behalf of other ministries, particularly on natural resources (mining concessions, minerals, wood, etc.)</w:t>
      </w:r>
      <w:r w:rsidR="00DA621D">
        <w:rPr>
          <w:rFonts w:ascii="Times New Roman" w:eastAsia="Calibri" w:hAnsi="Times New Roman"/>
          <w:b/>
          <w:color w:val="000000"/>
          <w:sz w:val="24"/>
          <w:lang w:val="en-MY"/>
        </w:rPr>
        <w:t xml:space="preserve">. </w:t>
      </w:r>
      <w:r w:rsidR="00DA621D" w:rsidRPr="00DA621D">
        <w:rPr>
          <w:rFonts w:ascii="Times New Roman" w:eastAsia="Calibri" w:hAnsi="Times New Roman"/>
          <w:color w:val="000000"/>
          <w:sz w:val="24"/>
          <w:lang w:val="en-MY"/>
        </w:rPr>
        <w:t>This arrangement is</w:t>
      </w:r>
      <w:r w:rsidR="00DA621D">
        <w:rPr>
          <w:rFonts w:ascii="Times New Roman" w:eastAsia="Calibri" w:hAnsi="Times New Roman"/>
          <w:b/>
          <w:color w:val="000000"/>
          <w:sz w:val="24"/>
          <w:lang w:val="en-MY"/>
        </w:rPr>
        <w:t xml:space="preserve"> </w:t>
      </w:r>
      <w:r w:rsidRPr="000E58C3">
        <w:rPr>
          <w:rFonts w:ascii="Times New Roman" w:eastAsia="Calibri" w:hAnsi="Times New Roman"/>
          <w:color w:val="000000"/>
          <w:sz w:val="24"/>
          <w:lang w:val="en-MY"/>
        </w:rPr>
        <w:t>based on regulations and contracts established by the MONRE or Ministry of Industry and Commerce. Royalties are established on a case by case basis under the responsibilities of the specific line ministry collecting the fees with the endorsement of the MPI (at the time of signing the contract).</w:t>
      </w:r>
    </w:p>
    <w:p w14:paraId="4318C9DD" w14:textId="65048359" w:rsidR="007518E4" w:rsidRPr="00C52FC3"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rPr>
      </w:pPr>
      <w:r w:rsidRPr="00DA621D">
        <w:rPr>
          <w:rFonts w:ascii="Times New Roman" w:eastAsia="Calibri" w:hAnsi="Times New Roman"/>
          <w:b/>
          <w:color w:val="000000"/>
          <w:sz w:val="24"/>
        </w:rPr>
        <w:t xml:space="preserve">General information is available on the TD and Customs department </w:t>
      </w:r>
      <w:r w:rsidR="00DA621D" w:rsidRPr="00DA621D">
        <w:rPr>
          <w:rFonts w:ascii="Times New Roman" w:eastAsia="Calibri" w:hAnsi="Times New Roman"/>
          <w:b/>
          <w:color w:val="000000"/>
          <w:sz w:val="24"/>
        </w:rPr>
        <w:t xml:space="preserve">related </w:t>
      </w:r>
      <w:r w:rsidRPr="00DA621D">
        <w:rPr>
          <w:rFonts w:ascii="Times New Roman" w:eastAsia="Calibri" w:hAnsi="Times New Roman"/>
          <w:b/>
          <w:color w:val="000000"/>
          <w:sz w:val="24"/>
        </w:rPr>
        <w:t>websites</w:t>
      </w:r>
      <w:r w:rsidR="00DA621D">
        <w:rPr>
          <w:rFonts w:ascii="Times New Roman" w:eastAsia="Calibri" w:hAnsi="Times New Roman"/>
          <w:b/>
          <w:color w:val="000000"/>
          <w:sz w:val="24"/>
        </w:rPr>
        <w:t xml:space="preserve">. </w:t>
      </w:r>
      <w:r w:rsidR="00DA621D" w:rsidRPr="00DA621D">
        <w:rPr>
          <w:rFonts w:ascii="Times New Roman" w:eastAsia="Calibri" w:hAnsi="Times New Roman"/>
          <w:color w:val="000000"/>
          <w:sz w:val="24"/>
        </w:rPr>
        <w:t>S</w:t>
      </w:r>
      <w:r w:rsidRPr="00C52FC3">
        <w:rPr>
          <w:rFonts w:ascii="Times New Roman" w:eastAsia="Calibri" w:hAnsi="Times New Roman"/>
          <w:color w:val="000000"/>
          <w:sz w:val="24"/>
        </w:rPr>
        <w:t xml:space="preserve">ome </w:t>
      </w:r>
      <w:r>
        <w:rPr>
          <w:rFonts w:ascii="Times New Roman" w:eastAsia="Calibri" w:hAnsi="Times New Roman"/>
          <w:color w:val="000000"/>
          <w:sz w:val="24"/>
        </w:rPr>
        <w:t xml:space="preserve">taxpayer education </w:t>
      </w:r>
      <w:r w:rsidRPr="00C52FC3">
        <w:rPr>
          <w:rFonts w:ascii="Times New Roman" w:eastAsia="Calibri" w:hAnsi="Times New Roman"/>
          <w:color w:val="000000"/>
          <w:sz w:val="24"/>
        </w:rPr>
        <w:t xml:space="preserve">activities are taking place to promote and update information on tax obligations to the </w:t>
      </w:r>
      <w:proofErr w:type="gramStart"/>
      <w:r w:rsidRPr="00C52FC3">
        <w:rPr>
          <w:rFonts w:ascii="Times New Roman" w:eastAsia="Calibri" w:hAnsi="Times New Roman"/>
          <w:color w:val="000000"/>
          <w:sz w:val="24"/>
        </w:rPr>
        <w:t>general public</w:t>
      </w:r>
      <w:proofErr w:type="gramEnd"/>
      <w:r w:rsidRPr="00C52FC3">
        <w:rPr>
          <w:rFonts w:ascii="Times New Roman" w:eastAsia="Calibri" w:hAnsi="Times New Roman"/>
          <w:color w:val="000000"/>
          <w:sz w:val="24"/>
        </w:rPr>
        <w:t>, but there is significant scope for improving the access to information on the</w:t>
      </w:r>
      <w:r>
        <w:rPr>
          <w:rFonts w:ascii="Times New Roman" w:eastAsia="Calibri" w:hAnsi="Times New Roman"/>
          <w:color w:val="000000"/>
          <w:sz w:val="24"/>
        </w:rPr>
        <w:t xml:space="preserve"> tax regulatory framework. The regime of tax exemptions described in the legal framework is very extensive and creates scope and opportunities for </w:t>
      </w:r>
      <w:r w:rsidRPr="00C52FC3">
        <w:rPr>
          <w:rFonts w:ascii="Times New Roman" w:eastAsia="Calibri" w:hAnsi="Times New Roman"/>
          <w:color w:val="000000"/>
          <w:sz w:val="24"/>
        </w:rPr>
        <w:t xml:space="preserve">discretionary </w:t>
      </w:r>
      <w:r>
        <w:rPr>
          <w:rFonts w:ascii="Times New Roman" w:eastAsia="Calibri" w:hAnsi="Times New Roman"/>
          <w:color w:val="000000"/>
          <w:sz w:val="24"/>
        </w:rPr>
        <w:t xml:space="preserve">decisions. </w:t>
      </w:r>
      <w:r w:rsidRPr="00C52FC3">
        <w:rPr>
          <w:rFonts w:ascii="Times New Roman" w:eastAsia="Calibri" w:hAnsi="Times New Roman"/>
          <w:color w:val="000000"/>
          <w:sz w:val="24"/>
        </w:rPr>
        <w:t xml:space="preserve">Score is a </w:t>
      </w:r>
      <w:r w:rsidR="00CC194B">
        <w:rPr>
          <w:rFonts w:ascii="Times New Roman" w:eastAsia="Calibri" w:hAnsi="Times New Roman"/>
          <w:color w:val="000000"/>
          <w:sz w:val="24"/>
        </w:rPr>
        <w:t>D</w:t>
      </w:r>
      <w:r w:rsidRPr="00C52FC3">
        <w:rPr>
          <w:rFonts w:ascii="Times New Roman" w:eastAsia="Calibri" w:hAnsi="Times New Roman"/>
          <w:color w:val="000000"/>
          <w:sz w:val="24"/>
        </w:rPr>
        <w:t>.</w:t>
      </w:r>
    </w:p>
    <w:p w14:paraId="2904F8C8" w14:textId="77777777" w:rsidR="007518E4" w:rsidRPr="003533D6" w:rsidRDefault="007518E4" w:rsidP="00DA621D">
      <w:pPr>
        <w:spacing w:after="240"/>
        <w:ind w:left="0"/>
        <w:rPr>
          <w:rFonts w:ascii="Times New Roman Bold" w:hAnsi="Times New Roman Bold"/>
          <w:b/>
          <w:color w:val="92D050"/>
          <w:spacing w:val="-1"/>
          <w:sz w:val="24"/>
        </w:rPr>
      </w:pPr>
      <w:r w:rsidRPr="003533D6">
        <w:rPr>
          <w:rFonts w:ascii="Times New Roman Bold" w:hAnsi="Times New Roman Bold"/>
          <w:b/>
          <w:color w:val="92D050"/>
          <w:spacing w:val="-1"/>
          <w:sz w:val="24"/>
        </w:rPr>
        <w:t xml:space="preserve">19.2 Revenue </w:t>
      </w:r>
      <w:r>
        <w:rPr>
          <w:rFonts w:ascii="Times New Roman Bold" w:hAnsi="Times New Roman Bold"/>
          <w:b/>
          <w:color w:val="92D050"/>
          <w:spacing w:val="-1"/>
          <w:sz w:val="24"/>
        </w:rPr>
        <w:t>r</w:t>
      </w:r>
      <w:r w:rsidRPr="003533D6">
        <w:rPr>
          <w:rFonts w:ascii="Times New Roman Bold" w:hAnsi="Times New Roman Bold"/>
          <w:b/>
          <w:color w:val="92D050"/>
          <w:spacing w:val="-1"/>
          <w:sz w:val="24"/>
        </w:rPr>
        <w:t xml:space="preserve">isk </w:t>
      </w:r>
      <w:r>
        <w:rPr>
          <w:rFonts w:ascii="Times New Roman Bold" w:hAnsi="Times New Roman Bold"/>
          <w:b/>
          <w:color w:val="92D050"/>
          <w:spacing w:val="-1"/>
          <w:sz w:val="24"/>
        </w:rPr>
        <w:t>m</w:t>
      </w:r>
      <w:r w:rsidRPr="003533D6">
        <w:rPr>
          <w:rFonts w:ascii="Times New Roman Bold" w:hAnsi="Times New Roman Bold"/>
          <w:b/>
          <w:color w:val="92D050"/>
          <w:spacing w:val="-1"/>
          <w:sz w:val="24"/>
        </w:rPr>
        <w:t>anagement</w:t>
      </w:r>
    </w:p>
    <w:p w14:paraId="3EC8CDCC" w14:textId="77777777" w:rsidR="007518E4"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sz w:val="24"/>
        </w:rPr>
      </w:pPr>
      <w:r w:rsidRPr="00DA621D">
        <w:rPr>
          <w:rFonts w:ascii="Times New Roman" w:eastAsia="Calibri" w:hAnsi="Times New Roman"/>
          <w:b/>
          <w:sz w:val="24"/>
        </w:rPr>
        <w:t>Individual and business taxpayers in Lao PDR are identified with a unique Tax Identification Number</w:t>
      </w:r>
      <w:r w:rsidR="00DA621D">
        <w:rPr>
          <w:rFonts w:ascii="Times New Roman" w:eastAsia="Calibri" w:hAnsi="Times New Roman"/>
          <w:b/>
          <w:sz w:val="24"/>
        </w:rPr>
        <w:t xml:space="preserve">. </w:t>
      </w:r>
      <w:r w:rsidR="00DA621D" w:rsidRPr="00DA621D">
        <w:rPr>
          <w:rFonts w:ascii="Times New Roman" w:eastAsia="Calibri" w:hAnsi="Times New Roman"/>
          <w:sz w:val="24"/>
        </w:rPr>
        <w:t>This is</w:t>
      </w:r>
      <w:r w:rsidR="00DA621D">
        <w:rPr>
          <w:rFonts w:ascii="Times New Roman" w:eastAsia="Calibri" w:hAnsi="Times New Roman"/>
          <w:b/>
          <w:sz w:val="24"/>
        </w:rPr>
        <w:t xml:space="preserve"> </w:t>
      </w:r>
      <w:r>
        <w:rPr>
          <w:rFonts w:ascii="Times New Roman" w:eastAsia="Calibri" w:hAnsi="Times New Roman"/>
          <w:sz w:val="24"/>
        </w:rPr>
        <w:t>issued by the Tax administration at the time of the company registration</w:t>
      </w:r>
      <w:r w:rsidR="00DA621D">
        <w:rPr>
          <w:rFonts w:ascii="Times New Roman" w:eastAsia="Calibri" w:hAnsi="Times New Roman"/>
          <w:sz w:val="24"/>
        </w:rPr>
        <w:t>.</w:t>
      </w:r>
    </w:p>
    <w:p w14:paraId="388BED57" w14:textId="77777777" w:rsidR="007518E4" w:rsidRPr="001E7015"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sz w:val="24"/>
        </w:rPr>
      </w:pPr>
      <w:r w:rsidRPr="00DA621D">
        <w:rPr>
          <w:rFonts w:ascii="Times New Roman" w:eastAsia="Calibri" w:hAnsi="Times New Roman"/>
          <w:b/>
          <w:sz w:val="24"/>
        </w:rPr>
        <w:t>The Post-filing division within TD addresses some compliance risks with registered business companies</w:t>
      </w:r>
      <w:r w:rsidR="00DB0467">
        <w:rPr>
          <w:rFonts w:ascii="Times New Roman" w:eastAsia="Calibri" w:hAnsi="Times New Roman"/>
          <w:sz w:val="24"/>
        </w:rPr>
        <w:t xml:space="preserve">. </w:t>
      </w:r>
      <w:r w:rsidR="00DA621D">
        <w:rPr>
          <w:rFonts w:ascii="Times New Roman" w:eastAsia="Calibri" w:hAnsi="Times New Roman"/>
          <w:sz w:val="24"/>
        </w:rPr>
        <w:t>It</w:t>
      </w:r>
      <w:r w:rsidRPr="001E7015">
        <w:rPr>
          <w:rFonts w:ascii="Times New Roman" w:eastAsia="Calibri" w:hAnsi="Times New Roman"/>
          <w:sz w:val="24"/>
        </w:rPr>
        <w:t xml:space="preserve"> evaluates non-compliance risks on an ongoing basis based on the filing and payment information within the fiscal year. The e-tax system available since </w:t>
      </w:r>
      <w:r w:rsidRPr="001E7015">
        <w:rPr>
          <w:rFonts w:ascii="Times New Roman" w:eastAsia="Calibri" w:hAnsi="Times New Roman"/>
          <w:sz w:val="24"/>
        </w:rPr>
        <w:lastRenderedPageBreak/>
        <w:t xml:space="preserve">2017 in 7 provinces for filing and payment </w:t>
      </w:r>
      <w:r>
        <w:rPr>
          <w:rFonts w:ascii="Times New Roman" w:eastAsia="Calibri" w:hAnsi="Times New Roman"/>
          <w:sz w:val="24"/>
        </w:rPr>
        <w:t xml:space="preserve">is starting to </w:t>
      </w:r>
      <w:r w:rsidRPr="001E7015">
        <w:rPr>
          <w:rFonts w:ascii="Times New Roman" w:eastAsia="Calibri" w:hAnsi="Times New Roman"/>
          <w:sz w:val="24"/>
        </w:rPr>
        <w:t xml:space="preserve">allow the TD to establish an integrated approach to compliance based on accurate and comprehensive taxpayers’ information. </w:t>
      </w:r>
    </w:p>
    <w:p w14:paraId="6B1D0176" w14:textId="77777777" w:rsidR="007518E4" w:rsidRPr="002B2025" w:rsidRDefault="007518E4" w:rsidP="008037D9">
      <w:pPr>
        <w:pStyle w:val="ListParagraph"/>
        <w:numPr>
          <w:ilvl w:val="0"/>
          <w:numId w:val="80"/>
        </w:numPr>
        <w:tabs>
          <w:tab w:val="clear" w:pos="1288"/>
          <w:tab w:val="num" w:pos="720"/>
        </w:tabs>
        <w:spacing w:after="240"/>
        <w:ind w:left="0"/>
        <w:contextualSpacing w:val="0"/>
        <w:rPr>
          <w:rFonts w:ascii="Times New Roman" w:hAnsi="Times New Roman"/>
          <w:sz w:val="24"/>
        </w:rPr>
      </w:pPr>
      <w:r w:rsidRPr="00DA621D">
        <w:rPr>
          <w:rFonts w:ascii="Times New Roman" w:eastAsia="Calibri" w:hAnsi="Times New Roman"/>
          <w:b/>
          <w:color w:val="000000"/>
          <w:sz w:val="24"/>
        </w:rPr>
        <w:t>The TD is in the process of establishing criteria to identify Large Taxpayers, to develop a more systematic approach to taxpayers profiling, as a first step toward a basic risk-based approach</w:t>
      </w:r>
      <w:r w:rsidRPr="002B2025">
        <w:rPr>
          <w:rFonts w:ascii="Times New Roman" w:eastAsia="Calibri" w:hAnsi="Times New Roman"/>
          <w:color w:val="000000"/>
          <w:sz w:val="24"/>
        </w:rPr>
        <w:t xml:space="preserve">. </w:t>
      </w:r>
      <w:r w:rsidRPr="002B2025">
        <w:rPr>
          <w:rFonts w:ascii="Times New Roman" w:hAnsi="Times New Roman"/>
          <w:sz w:val="24"/>
        </w:rPr>
        <w:t>Currently, the TD does not have a systematic approach for the segmentation of taxpayers to fully</w:t>
      </w:r>
      <w:r w:rsidR="00DB0467">
        <w:rPr>
          <w:rFonts w:ascii="Times New Roman" w:hAnsi="Times New Roman"/>
          <w:sz w:val="24"/>
        </w:rPr>
        <w:t xml:space="preserve"> identify all Large Taxpayers. </w:t>
      </w:r>
      <w:r w:rsidRPr="002B2025">
        <w:rPr>
          <w:rFonts w:ascii="Times New Roman" w:hAnsi="Times New Roman"/>
          <w:sz w:val="24"/>
        </w:rPr>
        <w:t xml:space="preserve">It does, however, treat around 500 companies </w:t>
      </w:r>
      <w:r w:rsidR="00DB0467">
        <w:rPr>
          <w:rFonts w:ascii="Times New Roman" w:hAnsi="Times New Roman"/>
          <w:sz w:val="24"/>
        </w:rPr>
        <w:t>as large taxpayers</w:t>
      </w:r>
      <w:r w:rsidR="0051449A">
        <w:rPr>
          <w:rFonts w:ascii="Times New Roman" w:hAnsi="Times New Roman"/>
          <w:sz w:val="24"/>
        </w:rPr>
        <w:t xml:space="preserve"> but this is not a fully systemized into a Large Taxpayers Unit for administrative purposes</w:t>
      </w:r>
      <w:r w:rsidR="00DB0467">
        <w:rPr>
          <w:rFonts w:ascii="Times New Roman" w:hAnsi="Times New Roman"/>
          <w:sz w:val="24"/>
        </w:rPr>
        <w:t xml:space="preserve">. </w:t>
      </w:r>
      <w:r w:rsidR="0051449A">
        <w:rPr>
          <w:rFonts w:ascii="Times New Roman" w:hAnsi="Times New Roman"/>
          <w:sz w:val="24"/>
        </w:rPr>
        <w:t xml:space="preserve"> </w:t>
      </w:r>
      <w:r w:rsidRPr="002B2025">
        <w:rPr>
          <w:rFonts w:ascii="Times New Roman" w:hAnsi="Times New Roman"/>
          <w:sz w:val="24"/>
        </w:rPr>
        <w:t xml:space="preserve">Risk is assessed based on available single taxpayer’s data collected from filing and payments and there is a systematic follow up on the issues identified.  </w:t>
      </w:r>
    </w:p>
    <w:p w14:paraId="52CE0A6C" w14:textId="77777777" w:rsidR="007518E4" w:rsidRPr="001E7015" w:rsidRDefault="007518E4" w:rsidP="008037D9">
      <w:pPr>
        <w:pStyle w:val="ListParagraph"/>
        <w:numPr>
          <w:ilvl w:val="0"/>
          <w:numId w:val="80"/>
        </w:numPr>
        <w:tabs>
          <w:tab w:val="clear" w:pos="1288"/>
          <w:tab w:val="num" w:pos="720"/>
        </w:tabs>
        <w:spacing w:after="240"/>
        <w:ind w:left="0"/>
        <w:contextualSpacing w:val="0"/>
        <w:rPr>
          <w:rFonts w:ascii="Times New Roman" w:hAnsi="Times New Roman"/>
          <w:sz w:val="24"/>
        </w:rPr>
      </w:pPr>
      <w:r w:rsidRPr="00DA621D">
        <w:rPr>
          <w:rFonts w:ascii="Times New Roman" w:hAnsi="Times New Roman"/>
          <w:b/>
          <w:sz w:val="24"/>
        </w:rPr>
        <w:t>The critical issue for the tax administration is data availability and quality and access to historical data</w:t>
      </w:r>
      <w:r w:rsidRPr="001E7015">
        <w:rPr>
          <w:rFonts w:ascii="Times New Roman" w:hAnsi="Times New Roman"/>
          <w:sz w:val="24"/>
        </w:rPr>
        <w:t>. Several data sets exist, such as audit results, VAT return data, tax payment data, Income tax and Excise return data are available in electronic format and financial reporting data such as balance sheet and profit/loss statements are filed in hardcopy but there is no comprehensive electronic filing and database system to record taxpayers’ information. For domestic taxes, TD has a classification system of the tax</w:t>
      </w:r>
      <w:r>
        <w:rPr>
          <w:rFonts w:ascii="Times New Roman" w:hAnsi="Times New Roman"/>
          <w:sz w:val="24"/>
        </w:rPr>
        <w:t xml:space="preserve"> </w:t>
      </w:r>
      <w:r w:rsidRPr="001E7015">
        <w:rPr>
          <w:rFonts w:ascii="Times New Roman" w:hAnsi="Times New Roman"/>
          <w:sz w:val="24"/>
        </w:rPr>
        <w:t xml:space="preserve">base by sector, taxes and tracks compliance by company </w:t>
      </w:r>
      <w:proofErr w:type="gramStart"/>
      <w:r w:rsidRPr="001E7015">
        <w:rPr>
          <w:rFonts w:ascii="Times New Roman" w:hAnsi="Times New Roman"/>
          <w:sz w:val="24"/>
        </w:rPr>
        <w:t>on the basis of</w:t>
      </w:r>
      <w:proofErr w:type="gramEnd"/>
      <w:r w:rsidRPr="001E7015">
        <w:rPr>
          <w:rFonts w:ascii="Times New Roman" w:hAnsi="Times New Roman"/>
          <w:sz w:val="24"/>
        </w:rPr>
        <w:t xml:space="preserve"> the financial information available with a categorization for high risk (for example mining companies often not accessible), average risk and low risk of non-compliance. For example, at the central level, </w:t>
      </w:r>
      <w:r>
        <w:rPr>
          <w:rFonts w:ascii="Times New Roman" w:hAnsi="Times New Roman"/>
          <w:sz w:val="24"/>
        </w:rPr>
        <w:t xml:space="preserve">TD reported that </w:t>
      </w:r>
      <w:r w:rsidRPr="001E7015">
        <w:rPr>
          <w:rFonts w:ascii="Times New Roman" w:hAnsi="Times New Roman"/>
          <w:sz w:val="24"/>
        </w:rPr>
        <w:t xml:space="preserve">out of the approximately 500 companies that are registered, 200 are considered </w:t>
      </w:r>
      <w:r>
        <w:rPr>
          <w:rFonts w:ascii="Times New Roman" w:hAnsi="Times New Roman"/>
          <w:sz w:val="24"/>
        </w:rPr>
        <w:t xml:space="preserve">fully and systematically </w:t>
      </w:r>
      <w:r w:rsidRPr="001E7015">
        <w:rPr>
          <w:rFonts w:ascii="Times New Roman" w:hAnsi="Times New Roman"/>
          <w:sz w:val="24"/>
        </w:rPr>
        <w:t xml:space="preserve">compliant, </w:t>
      </w:r>
      <w:r>
        <w:rPr>
          <w:rFonts w:ascii="Times New Roman" w:hAnsi="Times New Roman"/>
          <w:sz w:val="24"/>
        </w:rPr>
        <w:t xml:space="preserve">200 are less compliant, </w:t>
      </w:r>
      <w:r w:rsidRPr="001E7015">
        <w:rPr>
          <w:rFonts w:ascii="Times New Roman" w:hAnsi="Times New Roman"/>
          <w:sz w:val="24"/>
        </w:rPr>
        <w:t xml:space="preserve">and 100 are </w:t>
      </w:r>
      <w:r>
        <w:rPr>
          <w:rFonts w:ascii="Times New Roman" w:hAnsi="Times New Roman"/>
          <w:sz w:val="24"/>
        </w:rPr>
        <w:t xml:space="preserve">considered as systematically </w:t>
      </w:r>
      <w:r w:rsidR="00DB0467">
        <w:rPr>
          <w:rFonts w:ascii="Times New Roman" w:hAnsi="Times New Roman"/>
          <w:sz w:val="24"/>
        </w:rPr>
        <w:t>problematic.</w:t>
      </w:r>
      <w:r w:rsidRPr="001E7015">
        <w:rPr>
          <w:rFonts w:ascii="Times New Roman" w:hAnsi="Times New Roman"/>
          <w:sz w:val="24"/>
        </w:rPr>
        <w:t xml:space="preserve"> The TD assesses its compliance rate against recorded tax at 90%.</w:t>
      </w:r>
    </w:p>
    <w:p w14:paraId="4572A322" w14:textId="77777777" w:rsidR="007518E4"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sz w:val="24"/>
        </w:rPr>
      </w:pPr>
      <w:r w:rsidRPr="00DA621D">
        <w:rPr>
          <w:rFonts w:ascii="Times New Roman" w:eastAsia="Calibri" w:hAnsi="Times New Roman"/>
          <w:b/>
          <w:sz w:val="24"/>
        </w:rPr>
        <w:t>The Customs Department is progressively adopting a basic risk management approach in customs control and trade facilitation, moving away from the 100 percent physical inspection.</w:t>
      </w:r>
      <w:r w:rsidRPr="001E7015">
        <w:rPr>
          <w:rFonts w:ascii="Times New Roman" w:eastAsia="Calibri" w:hAnsi="Times New Roman"/>
          <w:sz w:val="24"/>
        </w:rPr>
        <w:t xml:space="preserve"> A risk management committee has been established to review and update risk profiles and operationalize the Selectivity module and start implementing an introductory risk management system, based on UNCTAD’s Automated System for Customs Data (ASYCUDA) World. At present, the valuation and risk modules are still work in progress and only the manifest module is activated and piloted at the Vientiane </w:t>
      </w:r>
      <w:proofErr w:type="spellStart"/>
      <w:r w:rsidRPr="001E7015">
        <w:rPr>
          <w:rFonts w:ascii="Times New Roman" w:eastAsia="Calibri" w:hAnsi="Times New Roman"/>
          <w:sz w:val="24"/>
        </w:rPr>
        <w:t>Wattay</w:t>
      </w:r>
      <w:proofErr w:type="spellEnd"/>
      <w:r w:rsidRPr="001E7015">
        <w:rPr>
          <w:rFonts w:ascii="Times New Roman" w:eastAsia="Calibri" w:hAnsi="Times New Roman"/>
          <w:sz w:val="24"/>
        </w:rPr>
        <w:t xml:space="preserve"> airport. Additionally, the CD has finalized the assessment and is preparing guidelines to pilot the Authorized Economic Operator with four companies (including Lao Tobacco and Beer Lao). An important priority is to increase the ICT capacity to update the risk profiles and remove the manual processes in vetting customs declarations. </w:t>
      </w:r>
    </w:p>
    <w:p w14:paraId="59E91748" w14:textId="77777777" w:rsidR="007518E4" w:rsidRPr="001E7015"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sz w:val="24"/>
        </w:rPr>
      </w:pPr>
      <w:r w:rsidRPr="00DA621D">
        <w:rPr>
          <w:rFonts w:ascii="Times New Roman" w:eastAsia="Calibri" w:hAnsi="Times New Roman"/>
          <w:b/>
          <w:color w:val="000000"/>
          <w:sz w:val="24"/>
        </w:rPr>
        <w:t>The Laws stipulates the application of penalties and sanctions relating to payment of tax arrears</w:t>
      </w:r>
      <w:r w:rsidR="00DA621D">
        <w:rPr>
          <w:rFonts w:ascii="Times New Roman" w:eastAsia="Calibri" w:hAnsi="Times New Roman"/>
          <w:b/>
          <w:color w:val="000000"/>
          <w:sz w:val="24"/>
        </w:rPr>
        <w:t xml:space="preserve">. </w:t>
      </w:r>
      <w:r w:rsidR="00DA621D" w:rsidRPr="00DA621D">
        <w:rPr>
          <w:rFonts w:ascii="Times New Roman" w:eastAsia="Calibri" w:hAnsi="Times New Roman"/>
          <w:color w:val="000000"/>
          <w:sz w:val="24"/>
        </w:rPr>
        <w:t>This is covered</w:t>
      </w:r>
      <w:r>
        <w:rPr>
          <w:rFonts w:ascii="Times New Roman" w:eastAsia="Calibri" w:hAnsi="Times New Roman"/>
          <w:color w:val="000000"/>
          <w:sz w:val="24"/>
        </w:rPr>
        <w:t xml:space="preserve"> in Article </w:t>
      </w:r>
      <w:r w:rsidRPr="00B97FEB">
        <w:rPr>
          <w:rFonts w:ascii="Times New Roman" w:eastAsia="Calibri" w:hAnsi="Times New Roman"/>
          <w:color w:val="000000"/>
          <w:sz w:val="24"/>
        </w:rPr>
        <w:t xml:space="preserve">74 on </w:t>
      </w:r>
      <w:r>
        <w:rPr>
          <w:rFonts w:ascii="Times New Roman" w:eastAsia="Calibri" w:hAnsi="Times New Roman"/>
          <w:color w:val="000000"/>
          <w:sz w:val="24"/>
        </w:rPr>
        <w:t>Penalties and Sanctions and Article</w:t>
      </w:r>
      <w:r w:rsidRPr="00B97FEB">
        <w:rPr>
          <w:rFonts w:ascii="Times New Roman" w:eastAsia="Calibri" w:hAnsi="Times New Roman"/>
          <w:color w:val="000000"/>
          <w:sz w:val="24"/>
        </w:rPr>
        <w:t xml:space="preserve"> 80 on Rights of Tax authority staff, including the right to seize assets and bank accounts of taxpayers.</w:t>
      </w:r>
    </w:p>
    <w:p w14:paraId="5E2F0D61" w14:textId="77777777" w:rsidR="007518E4" w:rsidRPr="00C3518A"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rPr>
      </w:pPr>
      <w:r w:rsidRPr="00DA621D">
        <w:rPr>
          <w:rFonts w:ascii="Times New Roman" w:eastAsia="Calibri" w:hAnsi="Times New Roman"/>
          <w:b/>
          <w:color w:val="000000"/>
          <w:sz w:val="24"/>
        </w:rPr>
        <w:t>There is a Tax Identification Number system in place.</w:t>
      </w:r>
      <w:r w:rsidR="00DB0467">
        <w:rPr>
          <w:rFonts w:ascii="Times New Roman" w:eastAsia="Calibri" w:hAnsi="Times New Roman"/>
          <w:color w:val="000000"/>
          <w:sz w:val="24"/>
        </w:rPr>
        <w:t xml:space="preserve"> </w:t>
      </w:r>
      <w:r w:rsidRPr="00C3518A">
        <w:rPr>
          <w:rFonts w:ascii="Times New Roman" w:eastAsia="Calibri" w:hAnsi="Times New Roman"/>
          <w:color w:val="000000"/>
          <w:sz w:val="24"/>
        </w:rPr>
        <w:t>The TD</w:t>
      </w:r>
      <w:r w:rsidR="008B2A6D">
        <w:rPr>
          <w:rFonts w:ascii="Times New Roman" w:eastAsia="Calibri" w:hAnsi="Times New Roman"/>
          <w:color w:val="000000"/>
          <w:sz w:val="24"/>
        </w:rPr>
        <w:t xml:space="preserve"> which</w:t>
      </w:r>
      <w:r w:rsidRPr="00C3518A">
        <w:rPr>
          <w:rFonts w:ascii="Times New Roman" w:eastAsia="Calibri" w:hAnsi="Times New Roman"/>
          <w:color w:val="000000"/>
          <w:sz w:val="24"/>
        </w:rPr>
        <w:t xml:space="preserve"> collect</w:t>
      </w:r>
      <w:r w:rsidR="008B2A6D">
        <w:rPr>
          <w:rFonts w:ascii="Times New Roman" w:eastAsia="Calibri" w:hAnsi="Times New Roman"/>
          <w:color w:val="000000"/>
          <w:sz w:val="24"/>
        </w:rPr>
        <w:t>s more than 50% of revenues</w:t>
      </w:r>
      <w:r w:rsidRPr="00C3518A">
        <w:rPr>
          <w:rFonts w:ascii="Times New Roman" w:eastAsia="Calibri" w:hAnsi="Times New Roman"/>
          <w:color w:val="000000"/>
          <w:sz w:val="24"/>
        </w:rPr>
        <w:t xml:space="preserve"> does not yet have a system in place to prioritize and assesses complianc</w:t>
      </w:r>
      <w:r w:rsidR="00DB0467">
        <w:rPr>
          <w:rFonts w:ascii="Times New Roman" w:eastAsia="Calibri" w:hAnsi="Times New Roman"/>
          <w:color w:val="000000"/>
          <w:sz w:val="24"/>
        </w:rPr>
        <w:t xml:space="preserve">e risks by revenue categories. </w:t>
      </w:r>
      <w:r w:rsidRPr="00C3518A">
        <w:rPr>
          <w:rFonts w:ascii="Times New Roman" w:eastAsia="Calibri" w:hAnsi="Times New Roman"/>
          <w:color w:val="000000"/>
          <w:sz w:val="24"/>
        </w:rPr>
        <w:t xml:space="preserve">It does track some 500 large taxpayers to improve collection </w:t>
      </w:r>
      <w:r w:rsidR="00DB0467">
        <w:rPr>
          <w:rFonts w:ascii="Times New Roman" w:eastAsia="Calibri" w:hAnsi="Times New Roman"/>
          <w:color w:val="000000"/>
          <w:sz w:val="24"/>
        </w:rPr>
        <w:t xml:space="preserve">rate for registered taxpayers. </w:t>
      </w:r>
      <w:r w:rsidRPr="00C3518A">
        <w:rPr>
          <w:rFonts w:ascii="Times New Roman" w:eastAsia="Calibri" w:hAnsi="Times New Roman"/>
          <w:color w:val="000000"/>
          <w:sz w:val="24"/>
        </w:rPr>
        <w:t>There is no comprehensive risk management approach to compliance linking all the tax components (registration, filing, payment and refund) and no data available to measure or assess tax compliance.  Customs Department currently carried out physical inspection of</w:t>
      </w:r>
      <w:r w:rsidR="00DB0467">
        <w:rPr>
          <w:rFonts w:ascii="Times New Roman" w:eastAsia="Calibri" w:hAnsi="Times New Roman"/>
          <w:color w:val="000000"/>
          <w:sz w:val="24"/>
        </w:rPr>
        <w:t xml:space="preserve"> all imports. </w:t>
      </w:r>
      <w:r w:rsidRPr="00C3518A">
        <w:rPr>
          <w:rFonts w:ascii="Times New Roman" w:eastAsia="Calibri" w:hAnsi="Times New Roman"/>
          <w:color w:val="000000"/>
          <w:sz w:val="24"/>
        </w:rPr>
        <w:t xml:space="preserve">There are legal sanctions for </w:t>
      </w:r>
      <w:proofErr w:type="spellStart"/>
      <w:proofErr w:type="gramStart"/>
      <w:r w:rsidRPr="00C3518A">
        <w:rPr>
          <w:rFonts w:ascii="Times New Roman" w:eastAsia="Calibri" w:hAnsi="Times New Roman"/>
          <w:color w:val="000000"/>
          <w:sz w:val="24"/>
        </w:rPr>
        <w:t>Non compliance</w:t>
      </w:r>
      <w:proofErr w:type="spellEnd"/>
      <w:proofErr w:type="gramEnd"/>
      <w:r w:rsidRPr="00C3518A">
        <w:rPr>
          <w:rFonts w:ascii="Times New Roman" w:eastAsia="Calibri" w:hAnsi="Times New Roman"/>
          <w:color w:val="000000"/>
          <w:sz w:val="24"/>
        </w:rPr>
        <w:t xml:space="preserve">: Score D. </w:t>
      </w:r>
    </w:p>
    <w:p w14:paraId="4E21357A" w14:textId="77777777" w:rsidR="007518E4" w:rsidRPr="003533D6" w:rsidRDefault="007518E4" w:rsidP="008B2A6D">
      <w:pPr>
        <w:spacing w:after="240"/>
        <w:ind w:left="0"/>
        <w:rPr>
          <w:rFonts w:ascii="Times New Roman Bold" w:hAnsi="Times New Roman Bold"/>
          <w:b/>
          <w:color w:val="92D050"/>
          <w:spacing w:val="-1"/>
          <w:sz w:val="24"/>
        </w:rPr>
      </w:pPr>
      <w:r w:rsidRPr="003533D6">
        <w:rPr>
          <w:rFonts w:ascii="Times New Roman Bold" w:hAnsi="Times New Roman Bold"/>
          <w:b/>
          <w:color w:val="92D050"/>
          <w:spacing w:val="-1"/>
          <w:sz w:val="24"/>
        </w:rPr>
        <w:t xml:space="preserve">19.3 Revenue </w:t>
      </w:r>
      <w:r>
        <w:rPr>
          <w:rFonts w:ascii="Times New Roman Bold" w:hAnsi="Times New Roman Bold"/>
          <w:b/>
          <w:color w:val="92D050"/>
          <w:spacing w:val="-1"/>
          <w:sz w:val="24"/>
        </w:rPr>
        <w:t>a</w:t>
      </w:r>
      <w:r w:rsidRPr="003533D6">
        <w:rPr>
          <w:rFonts w:ascii="Times New Roman Bold" w:hAnsi="Times New Roman Bold"/>
          <w:b/>
          <w:color w:val="92D050"/>
          <w:spacing w:val="-1"/>
          <w:sz w:val="24"/>
        </w:rPr>
        <w:t xml:space="preserve">udit and </w:t>
      </w:r>
      <w:r>
        <w:rPr>
          <w:rFonts w:ascii="Times New Roman Bold" w:hAnsi="Times New Roman Bold"/>
          <w:b/>
          <w:color w:val="92D050"/>
          <w:spacing w:val="-1"/>
          <w:sz w:val="24"/>
        </w:rPr>
        <w:t>i</w:t>
      </w:r>
      <w:r w:rsidRPr="003533D6">
        <w:rPr>
          <w:rFonts w:ascii="Times New Roman Bold" w:hAnsi="Times New Roman Bold"/>
          <w:b/>
          <w:color w:val="92D050"/>
          <w:spacing w:val="-1"/>
          <w:sz w:val="24"/>
        </w:rPr>
        <w:t>nvestigation</w:t>
      </w:r>
    </w:p>
    <w:p w14:paraId="6B0D7118" w14:textId="77777777" w:rsidR="007518E4" w:rsidRDefault="007518E4" w:rsidP="008037D9">
      <w:pPr>
        <w:pStyle w:val="ListParagraph"/>
        <w:numPr>
          <w:ilvl w:val="0"/>
          <w:numId w:val="80"/>
        </w:numPr>
        <w:tabs>
          <w:tab w:val="clear" w:pos="1288"/>
          <w:tab w:val="num" w:pos="720"/>
        </w:tabs>
        <w:spacing w:after="240"/>
        <w:ind w:left="0"/>
        <w:contextualSpacing w:val="0"/>
        <w:rPr>
          <w:rFonts w:ascii="Times New Roman" w:hAnsi="Times New Roman"/>
          <w:sz w:val="24"/>
        </w:rPr>
      </w:pPr>
      <w:r w:rsidRPr="008B2A6D">
        <w:rPr>
          <w:rFonts w:ascii="Times New Roman" w:hAnsi="Times New Roman"/>
          <w:b/>
          <w:sz w:val="24"/>
        </w:rPr>
        <w:lastRenderedPageBreak/>
        <w:t>There is no formal prioritization of activities and taxpayers’ audit plan based on the risk assessment results</w:t>
      </w:r>
      <w:r w:rsidRPr="001E7015">
        <w:rPr>
          <w:rFonts w:ascii="Times New Roman" w:hAnsi="Times New Roman"/>
          <w:sz w:val="24"/>
        </w:rPr>
        <w:t>.</w:t>
      </w:r>
    </w:p>
    <w:p w14:paraId="7DB89582" w14:textId="77777777" w:rsidR="007518E4" w:rsidRPr="002B2025"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t>Article 91 of the 2015 Tax Law defines the rights and duties of the Tax Inspection authority and the development of audit plans</w:t>
      </w:r>
      <w:r w:rsidRPr="002B2025">
        <w:rPr>
          <w:rFonts w:ascii="Times New Roman" w:eastAsia="Calibri" w:hAnsi="Times New Roman"/>
          <w:color w:val="000000"/>
          <w:sz w:val="24"/>
        </w:rPr>
        <w:t>.</w:t>
      </w:r>
      <w:r>
        <w:rPr>
          <w:rFonts w:ascii="Times New Roman" w:eastAsia="Calibri" w:hAnsi="Times New Roman"/>
          <w:color w:val="000000"/>
          <w:sz w:val="24"/>
        </w:rPr>
        <w:t xml:space="preserve"> </w:t>
      </w:r>
      <w:r w:rsidRPr="002B2025">
        <w:rPr>
          <w:rFonts w:ascii="Times New Roman" w:eastAsia="Calibri" w:hAnsi="Times New Roman"/>
          <w:color w:val="000000"/>
          <w:sz w:val="24"/>
        </w:rPr>
        <w:t xml:space="preserve">As the division is not yet in place and </w:t>
      </w:r>
      <w:proofErr w:type="spellStart"/>
      <w:r w:rsidRPr="002B2025">
        <w:rPr>
          <w:rFonts w:ascii="Times New Roman" w:eastAsia="Calibri" w:hAnsi="Times New Roman"/>
          <w:color w:val="000000"/>
          <w:sz w:val="24"/>
        </w:rPr>
        <w:t>ToRs</w:t>
      </w:r>
      <w:proofErr w:type="spellEnd"/>
      <w:r w:rsidRPr="002B2025">
        <w:rPr>
          <w:rFonts w:ascii="Times New Roman" w:eastAsia="Calibri" w:hAnsi="Times New Roman"/>
          <w:color w:val="000000"/>
          <w:sz w:val="24"/>
        </w:rPr>
        <w:t xml:space="preserve"> have just been developed, the </w:t>
      </w:r>
      <w:r>
        <w:rPr>
          <w:rFonts w:ascii="Times New Roman" w:eastAsia="Calibri" w:hAnsi="Times New Roman"/>
          <w:color w:val="000000"/>
          <w:sz w:val="24"/>
        </w:rPr>
        <w:t xml:space="preserve">Post-Filing Division (PFD) </w:t>
      </w:r>
      <w:r w:rsidRPr="002B2025">
        <w:rPr>
          <w:rFonts w:ascii="Times New Roman" w:eastAsia="Calibri" w:hAnsi="Times New Roman"/>
          <w:color w:val="000000"/>
          <w:sz w:val="24"/>
        </w:rPr>
        <w:t xml:space="preserve">within TD is still responsible to carry out inspection visits during the fiscal year to identify and collect tax due. </w:t>
      </w:r>
    </w:p>
    <w:p w14:paraId="2D4C9CBB" w14:textId="77777777" w:rsidR="007518E4" w:rsidRPr="002B2025"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t>Investigations by the Post-Filing Division are carried throughout the year</w:t>
      </w:r>
      <w:r w:rsidR="008B2A6D">
        <w:rPr>
          <w:rFonts w:ascii="Times New Roman" w:eastAsia="Calibri" w:hAnsi="Times New Roman"/>
          <w:b/>
          <w:color w:val="000000"/>
          <w:sz w:val="24"/>
        </w:rPr>
        <w:t xml:space="preserve">. </w:t>
      </w:r>
      <w:r w:rsidR="008B2A6D" w:rsidRPr="008B2A6D">
        <w:rPr>
          <w:rFonts w:ascii="Times New Roman" w:eastAsia="Calibri" w:hAnsi="Times New Roman"/>
          <w:color w:val="000000"/>
          <w:sz w:val="24"/>
        </w:rPr>
        <w:t>M</w:t>
      </w:r>
      <w:r w:rsidRPr="002B2025">
        <w:rPr>
          <w:rFonts w:ascii="Times New Roman" w:eastAsia="Calibri" w:hAnsi="Times New Roman"/>
          <w:color w:val="000000"/>
          <w:sz w:val="24"/>
        </w:rPr>
        <w:t xml:space="preserve">ost of the investigations are completed in the year they are carried out but with retroactive adjustment (up to three years). </w:t>
      </w:r>
      <w:r w:rsidR="008B2A6D">
        <w:rPr>
          <w:rFonts w:ascii="Times New Roman" w:eastAsia="Calibri" w:hAnsi="Times New Roman"/>
          <w:color w:val="000000"/>
          <w:sz w:val="24"/>
        </w:rPr>
        <w:t xml:space="preserve"> </w:t>
      </w:r>
      <w:r w:rsidRPr="002B2025">
        <w:rPr>
          <w:rFonts w:ascii="Times New Roman" w:hAnsi="Times New Roman"/>
          <w:sz w:val="24"/>
        </w:rPr>
        <w:t xml:space="preserve">The PFD will take proactive actions to contact the companies to review and settle on the tax obligations and sign MoUs to settle a tax payment schedule. </w:t>
      </w:r>
      <w:r w:rsidRPr="002B2025">
        <w:rPr>
          <w:rFonts w:ascii="Times New Roman" w:eastAsia="Calibri" w:hAnsi="Times New Roman"/>
          <w:color w:val="000000"/>
          <w:sz w:val="24"/>
        </w:rPr>
        <w:t xml:space="preserve">The Division has 46 staff at the central level and 244 staff distributed at the provincial level and responsible for the investigations at their level. </w:t>
      </w:r>
      <w:r>
        <w:rPr>
          <w:rFonts w:ascii="Times New Roman" w:eastAsia="Calibri" w:hAnsi="Times New Roman"/>
          <w:color w:val="000000"/>
          <w:sz w:val="24"/>
        </w:rPr>
        <w:t xml:space="preserve"> </w:t>
      </w:r>
      <w:r w:rsidRPr="002B2025">
        <w:rPr>
          <w:rFonts w:ascii="Times New Roman" w:eastAsia="Calibri" w:hAnsi="Times New Roman"/>
          <w:color w:val="000000"/>
          <w:sz w:val="24"/>
        </w:rPr>
        <w:t>Post-clearance</w:t>
      </w:r>
      <w:r>
        <w:rPr>
          <w:rFonts w:ascii="Times New Roman" w:eastAsia="Calibri" w:hAnsi="Times New Roman"/>
          <w:color w:val="000000"/>
          <w:sz w:val="24"/>
        </w:rPr>
        <w:t xml:space="preserve"> </w:t>
      </w:r>
      <w:r w:rsidRPr="002B2025">
        <w:rPr>
          <w:rFonts w:ascii="Times New Roman" w:eastAsia="Calibri" w:hAnsi="Times New Roman"/>
          <w:color w:val="000000"/>
          <w:sz w:val="24"/>
        </w:rPr>
        <w:t>audits are planned</w:t>
      </w:r>
      <w:r>
        <w:rPr>
          <w:rFonts w:ascii="Times New Roman" w:eastAsia="Calibri" w:hAnsi="Times New Roman"/>
          <w:color w:val="000000"/>
          <w:sz w:val="24"/>
        </w:rPr>
        <w:t xml:space="preserve"> -</w:t>
      </w:r>
      <w:r w:rsidRPr="002B2025">
        <w:rPr>
          <w:rFonts w:ascii="Times New Roman" w:eastAsia="Calibri" w:hAnsi="Times New Roman"/>
          <w:color w:val="000000"/>
          <w:sz w:val="24"/>
        </w:rPr>
        <w:t xml:space="preserve"> </w:t>
      </w:r>
      <w:r>
        <w:rPr>
          <w:rFonts w:ascii="Times New Roman" w:eastAsia="Calibri" w:hAnsi="Times New Roman"/>
          <w:color w:val="000000"/>
          <w:sz w:val="24"/>
        </w:rPr>
        <w:t xml:space="preserve">after filing of tax returns - </w:t>
      </w:r>
      <w:r w:rsidRPr="002B2025">
        <w:rPr>
          <w:rFonts w:ascii="Times New Roman" w:eastAsia="Calibri" w:hAnsi="Times New Roman"/>
          <w:color w:val="000000"/>
          <w:sz w:val="24"/>
        </w:rPr>
        <w:t xml:space="preserve">according to the number of companies and identified cases but mostly driven by the cases identified during the year and the technical capacity and resources are limited. </w:t>
      </w:r>
    </w:p>
    <w:p w14:paraId="6F257930" w14:textId="77777777" w:rsidR="007518E4" w:rsidRPr="002B2025" w:rsidRDefault="007518E4" w:rsidP="008037D9">
      <w:pPr>
        <w:pStyle w:val="ListParagraph"/>
        <w:numPr>
          <w:ilvl w:val="0"/>
          <w:numId w:val="80"/>
        </w:numPr>
        <w:tabs>
          <w:tab w:val="clear" w:pos="1288"/>
          <w:tab w:val="num" w:pos="720"/>
        </w:tabs>
        <w:spacing w:after="24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t xml:space="preserve">At </w:t>
      </w:r>
      <w:r w:rsidR="008B2A6D">
        <w:rPr>
          <w:rFonts w:ascii="Times New Roman" w:eastAsia="Calibri" w:hAnsi="Times New Roman"/>
          <w:b/>
          <w:color w:val="000000"/>
          <w:sz w:val="24"/>
        </w:rPr>
        <w:t xml:space="preserve">the end of the fiscal year, </w:t>
      </w:r>
      <w:r w:rsidRPr="008B2A6D">
        <w:rPr>
          <w:rFonts w:ascii="Times New Roman" w:eastAsia="Calibri" w:hAnsi="Times New Roman"/>
          <w:b/>
          <w:color w:val="000000"/>
          <w:sz w:val="24"/>
        </w:rPr>
        <w:t>follow up is transferred to the Tax Revenue service division for further recovery of tax debt.</w:t>
      </w:r>
      <w:r w:rsidRPr="002B2025">
        <w:rPr>
          <w:rFonts w:ascii="Times New Roman" w:eastAsia="Calibri" w:hAnsi="Times New Roman"/>
          <w:color w:val="000000"/>
          <w:sz w:val="24"/>
        </w:rPr>
        <w:t xml:space="preserve"> </w:t>
      </w:r>
      <w:r>
        <w:rPr>
          <w:rFonts w:ascii="Times New Roman" w:eastAsia="Calibri" w:hAnsi="Times New Roman"/>
          <w:color w:val="000000"/>
          <w:sz w:val="24"/>
        </w:rPr>
        <w:t>An Internal I</w:t>
      </w:r>
      <w:r w:rsidRPr="002B2025">
        <w:rPr>
          <w:rFonts w:ascii="Times New Roman" w:eastAsia="Calibri" w:hAnsi="Times New Roman"/>
          <w:color w:val="000000"/>
          <w:sz w:val="24"/>
        </w:rPr>
        <w:t>nspection Division has also been established in 2017 to strengthen the internal control framework in the TD and carry out internal audits within the TD.  Each division in the TD receives a plan and performance targets each year and the PFD receives targets for the number of inspections and tax amount to collect.</w:t>
      </w:r>
      <w:r w:rsidRPr="002B2025">
        <w:rPr>
          <w:rFonts w:ascii="Times New Roman" w:hAnsi="Times New Roman"/>
          <w:sz w:val="24"/>
        </w:rPr>
        <w:t xml:space="preserve"> Art</w:t>
      </w:r>
      <w:r>
        <w:rPr>
          <w:rFonts w:ascii="Times New Roman" w:hAnsi="Times New Roman"/>
          <w:sz w:val="24"/>
        </w:rPr>
        <w:t>icle</w:t>
      </w:r>
      <w:r w:rsidRPr="002B2025">
        <w:rPr>
          <w:rFonts w:ascii="Times New Roman" w:hAnsi="Times New Roman"/>
          <w:sz w:val="24"/>
        </w:rPr>
        <w:t xml:space="preserve"> 97 of the Tax Law specifies all the </w:t>
      </w:r>
      <w:r w:rsidRPr="002B2025">
        <w:rPr>
          <w:rFonts w:ascii="Times New Roman" w:eastAsia="Calibri" w:hAnsi="Times New Roman"/>
          <w:color w:val="000000"/>
          <w:sz w:val="24"/>
        </w:rPr>
        <w:t>measures to be undertaken against violation of tax obligations by taxpayers.</w:t>
      </w:r>
    </w:p>
    <w:p w14:paraId="0BA71CAE" w14:textId="77777777" w:rsidR="007518E4" w:rsidRDefault="007518E4" w:rsidP="008037D9">
      <w:pPr>
        <w:pStyle w:val="ListParagraph"/>
        <w:numPr>
          <w:ilvl w:val="0"/>
          <w:numId w:val="80"/>
        </w:numPr>
        <w:tabs>
          <w:tab w:val="clear" w:pos="1288"/>
          <w:tab w:val="num" w:pos="720"/>
        </w:tabs>
        <w:spacing w:before="120" w:after="120"/>
        <w:ind w:left="0"/>
        <w:contextualSpacing w:val="0"/>
        <w:rPr>
          <w:rFonts w:ascii="Times New Roman" w:hAnsi="Times New Roman"/>
          <w:sz w:val="24"/>
        </w:rPr>
      </w:pPr>
      <w:r w:rsidRPr="008B2A6D">
        <w:rPr>
          <w:rFonts w:ascii="Times New Roman" w:hAnsi="Times New Roman"/>
          <w:b/>
          <w:sz w:val="24"/>
        </w:rPr>
        <w:t>The inspection summary for the period 2013 to 2017 on follow up activities undertaken by the Post-Filing Division is as follows</w:t>
      </w:r>
      <w:r w:rsidRPr="002B2025">
        <w:rPr>
          <w:rFonts w:ascii="Times New Roman" w:hAnsi="Times New Roman"/>
          <w:sz w:val="24"/>
        </w:rPr>
        <w:t>:</w:t>
      </w:r>
    </w:p>
    <w:p w14:paraId="2503E49A" w14:textId="792FD9C0" w:rsidR="007518E4" w:rsidRPr="00F73C06" w:rsidRDefault="007518E4" w:rsidP="00DB0467">
      <w:pPr>
        <w:pStyle w:val="ListParagraph"/>
        <w:spacing w:before="120"/>
        <w:ind w:left="0"/>
        <w:contextualSpacing w:val="0"/>
        <w:jc w:val="center"/>
        <w:rPr>
          <w:rFonts w:ascii="Times New Roman" w:hAnsi="Times New Roman"/>
          <w:sz w:val="24"/>
        </w:rPr>
      </w:pPr>
      <w:r w:rsidRPr="00F73C06">
        <w:rPr>
          <w:rFonts w:ascii="Times New Roman" w:eastAsia="Calibri" w:hAnsi="Times New Roman"/>
          <w:b/>
        </w:rPr>
        <w:t xml:space="preserve">Table 3.19.3: TD Revenue Post-Clearance Audits </w:t>
      </w:r>
      <w:r w:rsidRPr="00F73C06">
        <w:rPr>
          <w:rFonts w:ascii="Times New Roman" w:eastAsia="Calibri" w:hAnsi="Times New Roman"/>
          <w:bCs/>
          <w:color w:val="000000"/>
        </w:rPr>
        <w:t xml:space="preserve">(million </w:t>
      </w:r>
      <w:r w:rsidR="006C28B8">
        <w:rPr>
          <w:rFonts w:ascii="Times New Roman" w:eastAsia="Calibri" w:hAnsi="Times New Roman"/>
          <w:bCs/>
          <w:color w:val="000000"/>
        </w:rPr>
        <w:t>K</w:t>
      </w:r>
      <w:r w:rsidRPr="00F73C06">
        <w:rPr>
          <w:rFonts w:ascii="Times New Roman" w:eastAsia="Calibri" w:hAnsi="Times New Roman"/>
          <w:bCs/>
          <w:color w:val="000000"/>
        </w:rPr>
        <w:t>ip)</w:t>
      </w:r>
    </w:p>
    <w:tbl>
      <w:tblPr>
        <w:tblW w:w="9000" w:type="dxa"/>
        <w:tblInd w:w="108" w:type="dxa"/>
        <w:shd w:val="clear" w:color="auto" w:fill="FFFFFF"/>
        <w:tblCellMar>
          <w:left w:w="10" w:type="dxa"/>
          <w:right w:w="10" w:type="dxa"/>
        </w:tblCellMar>
        <w:tblLook w:val="0000" w:firstRow="0" w:lastRow="0" w:firstColumn="0" w:lastColumn="0" w:noHBand="0" w:noVBand="0"/>
      </w:tblPr>
      <w:tblGrid>
        <w:gridCol w:w="4397"/>
        <w:gridCol w:w="1250"/>
        <w:gridCol w:w="1080"/>
        <w:gridCol w:w="1299"/>
        <w:gridCol w:w="974"/>
      </w:tblGrid>
      <w:tr w:rsidR="007518E4" w:rsidRPr="0061551D" w14:paraId="7FDF92EA" w14:textId="77777777" w:rsidTr="00DB0467">
        <w:trPr>
          <w:trHeight w:val="50"/>
        </w:trPr>
        <w:tc>
          <w:tcPr>
            <w:tcW w:w="4397" w:type="dxa"/>
            <w:tcBorders>
              <w:top w:val="single" w:sz="4" w:space="0" w:color="auto"/>
              <w:left w:val="single" w:sz="4" w:space="0" w:color="auto"/>
              <w:bottom w:val="single" w:sz="4" w:space="0" w:color="auto"/>
              <w:right w:val="single" w:sz="4" w:space="0" w:color="auto"/>
            </w:tcBorders>
            <w:shd w:val="clear" w:color="000000" w:fill="D9D9D9"/>
            <w:tcMar>
              <w:top w:w="0" w:type="dxa"/>
              <w:left w:w="108" w:type="dxa"/>
              <w:bottom w:w="0" w:type="dxa"/>
              <w:right w:w="108" w:type="dxa"/>
            </w:tcMar>
            <w:vAlign w:val="bottom"/>
          </w:tcPr>
          <w:p w14:paraId="2165B3ED" w14:textId="77777777" w:rsidR="007518E4" w:rsidRPr="00DB0467" w:rsidRDefault="007518E4" w:rsidP="007518E4">
            <w:pPr>
              <w:spacing w:before="0"/>
              <w:jc w:val="center"/>
              <w:rPr>
                <w:rFonts w:ascii="Times New Roman" w:hAnsi="Times New Roman"/>
              </w:rPr>
            </w:pPr>
            <w:r w:rsidRPr="00DB0467">
              <w:rPr>
                <w:rFonts w:ascii="Times New Roman" w:hAnsi="Times New Roman"/>
                <w:szCs w:val="22"/>
              </w:rPr>
              <w:t>Audit type</w:t>
            </w:r>
          </w:p>
        </w:tc>
        <w:tc>
          <w:tcPr>
            <w:tcW w:w="4603" w:type="dxa"/>
            <w:gridSpan w:val="4"/>
            <w:tcBorders>
              <w:top w:val="single" w:sz="4" w:space="0" w:color="auto"/>
              <w:left w:val="nil"/>
              <w:bottom w:val="single" w:sz="4" w:space="0" w:color="auto"/>
              <w:right w:val="single" w:sz="4" w:space="0" w:color="auto"/>
            </w:tcBorders>
            <w:shd w:val="clear" w:color="000000" w:fill="D9D9D9"/>
            <w:noWrap/>
            <w:tcMar>
              <w:top w:w="0" w:type="dxa"/>
              <w:left w:w="108" w:type="dxa"/>
              <w:bottom w:w="0" w:type="dxa"/>
              <w:right w:w="108" w:type="dxa"/>
            </w:tcMar>
            <w:vAlign w:val="bottom"/>
          </w:tcPr>
          <w:p w14:paraId="55B4459E" w14:textId="77777777" w:rsidR="007518E4" w:rsidRPr="00DB0467" w:rsidRDefault="007518E4" w:rsidP="007518E4">
            <w:pPr>
              <w:spacing w:before="0"/>
              <w:jc w:val="center"/>
              <w:rPr>
                <w:rFonts w:ascii="Times New Roman" w:hAnsi="Times New Roman"/>
                <w:bCs/>
              </w:rPr>
            </w:pPr>
            <w:r w:rsidRPr="00DB0467">
              <w:rPr>
                <w:rFonts w:ascii="Times New Roman" w:hAnsi="Times New Roman"/>
                <w:bCs/>
                <w:szCs w:val="22"/>
              </w:rPr>
              <w:t>Number of Audits</w:t>
            </w:r>
          </w:p>
        </w:tc>
      </w:tr>
      <w:tr w:rsidR="007518E4" w:rsidRPr="0061551D" w14:paraId="6DA88EA2" w14:textId="77777777" w:rsidTr="00DB0467">
        <w:trPr>
          <w:trHeight w:val="101"/>
        </w:trPr>
        <w:tc>
          <w:tcPr>
            <w:tcW w:w="4397"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F141704" w14:textId="77777777" w:rsidR="007518E4" w:rsidRPr="00DB0467" w:rsidRDefault="007518E4" w:rsidP="008B2A6D">
            <w:pPr>
              <w:spacing w:before="0"/>
              <w:ind w:left="0"/>
              <w:rPr>
                <w:rFonts w:ascii="Times New Roman" w:hAnsi="Times New Roman"/>
                <w:bCs/>
              </w:rPr>
            </w:pPr>
          </w:p>
        </w:tc>
        <w:tc>
          <w:tcPr>
            <w:tcW w:w="125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bottom"/>
          </w:tcPr>
          <w:p w14:paraId="00C3BF9C" w14:textId="77777777" w:rsidR="007518E4" w:rsidRPr="00DB0467" w:rsidRDefault="007518E4" w:rsidP="008B2A6D">
            <w:pPr>
              <w:spacing w:before="0"/>
              <w:ind w:left="0"/>
              <w:jc w:val="center"/>
              <w:rPr>
                <w:rFonts w:ascii="Times New Roman" w:hAnsi="Times New Roman"/>
                <w:bCs/>
              </w:rPr>
            </w:pPr>
            <w:r w:rsidRPr="00DB0467">
              <w:rPr>
                <w:rFonts w:ascii="Times New Roman" w:hAnsi="Times New Roman"/>
                <w:bCs/>
                <w:szCs w:val="22"/>
              </w:rPr>
              <w:t>2013/14</w:t>
            </w:r>
          </w:p>
        </w:tc>
        <w:tc>
          <w:tcPr>
            <w:tcW w:w="1080"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09A7E43" w14:textId="77777777" w:rsidR="007518E4" w:rsidRPr="00DB0467" w:rsidRDefault="007518E4" w:rsidP="008B2A6D">
            <w:pPr>
              <w:spacing w:before="0"/>
              <w:ind w:left="0"/>
              <w:jc w:val="center"/>
              <w:rPr>
                <w:rFonts w:ascii="Times New Roman" w:hAnsi="Times New Roman"/>
                <w:bCs/>
              </w:rPr>
            </w:pPr>
            <w:r w:rsidRPr="00DB0467">
              <w:rPr>
                <w:rFonts w:ascii="Times New Roman" w:hAnsi="Times New Roman"/>
                <w:bCs/>
                <w:szCs w:val="22"/>
              </w:rPr>
              <w:t>2014/15</w:t>
            </w:r>
          </w:p>
        </w:tc>
        <w:tc>
          <w:tcPr>
            <w:tcW w:w="1299" w:type="dxa"/>
            <w:tcBorders>
              <w:top w:val="nil"/>
              <w:left w:val="single" w:sz="4" w:space="0" w:color="auto"/>
              <w:bottom w:val="single" w:sz="4" w:space="0" w:color="auto"/>
              <w:right w:val="single" w:sz="4" w:space="0" w:color="auto"/>
            </w:tcBorders>
            <w:shd w:val="clear" w:color="000000" w:fill="FFFFFF"/>
            <w:vAlign w:val="bottom"/>
          </w:tcPr>
          <w:p w14:paraId="71EAD230" w14:textId="77777777" w:rsidR="007518E4" w:rsidRPr="00DB0467" w:rsidRDefault="007518E4" w:rsidP="008B2A6D">
            <w:pPr>
              <w:spacing w:before="0"/>
              <w:ind w:left="0"/>
              <w:jc w:val="center"/>
              <w:rPr>
                <w:rFonts w:ascii="Times New Roman" w:hAnsi="Times New Roman"/>
                <w:bCs/>
              </w:rPr>
            </w:pPr>
            <w:r w:rsidRPr="00DB0467">
              <w:rPr>
                <w:rFonts w:ascii="Times New Roman" w:hAnsi="Times New Roman"/>
                <w:bCs/>
                <w:szCs w:val="22"/>
              </w:rPr>
              <w:t>2015/16</w:t>
            </w:r>
          </w:p>
        </w:tc>
        <w:tc>
          <w:tcPr>
            <w:tcW w:w="974" w:type="dxa"/>
            <w:tcBorders>
              <w:top w:val="nil"/>
              <w:left w:val="single" w:sz="4" w:space="0" w:color="auto"/>
              <w:bottom w:val="single" w:sz="4" w:space="0" w:color="auto"/>
              <w:right w:val="single" w:sz="4" w:space="0" w:color="auto"/>
            </w:tcBorders>
            <w:shd w:val="clear" w:color="000000" w:fill="FFFFFF"/>
            <w:vAlign w:val="bottom"/>
          </w:tcPr>
          <w:p w14:paraId="588E7EEF" w14:textId="77777777" w:rsidR="007518E4" w:rsidRPr="00DB0467" w:rsidRDefault="007518E4" w:rsidP="008B2A6D">
            <w:pPr>
              <w:spacing w:before="0"/>
              <w:ind w:left="0"/>
              <w:jc w:val="center"/>
              <w:rPr>
                <w:rFonts w:ascii="Times New Roman" w:hAnsi="Times New Roman"/>
                <w:bCs/>
              </w:rPr>
            </w:pPr>
            <w:r w:rsidRPr="00DB0467">
              <w:rPr>
                <w:rFonts w:ascii="Times New Roman" w:hAnsi="Times New Roman"/>
                <w:bCs/>
                <w:szCs w:val="22"/>
              </w:rPr>
              <w:t>2017</w:t>
            </w:r>
          </w:p>
        </w:tc>
      </w:tr>
      <w:tr w:rsidR="007518E4" w:rsidRPr="0061551D" w14:paraId="0C62CF9D" w14:textId="77777777" w:rsidTr="00DB0467">
        <w:trPr>
          <w:trHeight w:val="101"/>
        </w:trPr>
        <w:tc>
          <w:tcPr>
            <w:tcW w:w="4397"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674C7B2" w14:textId="77777777" w:rsidR="007518E4" w:rsidRPr="00DB0467" w:rsidRDefault="007518E4" w:rsidP="008B2A6D">
            <w:pPr>
              <w:spacing w:before="0"/>
              <w:ind w:left="0"/>
              <w:rPr>
                <w:rFonts w:ascii="Times New Roman" w:hAnsi="Times New Roman"/>
                <w:bCs/>
              </w:rPr>
            </w:pPr>
            <w:r w:rsidRPr="00DB0467">
              <w:rPr>
                <w:rFonts w:ascii="Times New Roman" w:hAnsi="Times New Roman"/>
                <w:bCs/>
                <w:szCs w:val="22"/>
              </w:rPr>
              <w:t>Planned inspection visits</w:t>
            </w:r>
          </w:p>
        </w:tc>
        <w:tc>
          <w:tcPr>
            <w:tcW w:w="125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14:paraId="791DF8C3"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191</w:t>
            </w:r>
          </w:p>
        </w:tc>
        <w:tc>
          <w:tcPr>
            <w:tcW w:w="1080"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0DDD4FD9"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156</w:t>
            </w:r>
          </w:p>
        </w:tc>
        <w:tc>
          <w:tcPr>
            <w:tcW w:w="1299" w:type="dxa"/>
            <w:tcBorders>
              <w:top w:val="nil"/>
              <w:left w:val="single" w:sz="4" w:space="0" w:color="auto"/>
              <w:bottom w:val="single" w:sz="4" w:space="0" w:color="auto"/>
              <w:right w:val="single" w:sz="4" w:space="0" w:color="auto"/>
            </w:tcBorders>
            <w:shd w:val="clear" w:color="000000" w:fill="FFFFFF"/>
          </w:tcPr>
          <w:p w14:paraId="7E4CE6CF"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137</w:t>
            </w:r>
          </w:p>
        </w:tc>
        <w:tc>
          <w:tcPr>
            <w:tcW w:w="974" w:type="dxa"/>
            <w:tcBorders>
              <w:top w:val="nil"/>
              <w:left w:val="single" w:sz="4" w:space="0" w:color="auto"/>
              <w:bottom w:val="single" w:sz="4" w:space="0" w:color="auto"/>
              <w:right w:val="single" w:sz="4" w:space="0" w:color="auto"/>
            </w:tcBorders>
            <w:shd w:val="clear" w:color="000000" w:fill="FFFFFF"/>
          </w:tcPr>
          <w:p w14:paraId="673F8F21"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133</w:t>
            </w:r>
          </w:p>
        </w:tc>
      </w:tr>
      <w:tr w:rsidR="007518E4" w:rsidRPr="0061551D" w14:paraId="62D00D8C" w14:textId="77777777" w:rsidTr="00DB0467">
        <w:trPr>
          <w:trHeight w:val="170"/>
        </w:trPr>
        <w:tc>
          <w:tcPr>
            <w:tcW w:w="4397"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45C37FB8" w14:textId="77777777" w:rsidR="007518E4" w:rsidRPr="00DB0467" w:rsidRDefault="007518E4" w:rsidP="008B2A6D">
            <w:pPr>
              <w:spacing w:before="0"/>
              <w:ind w:left="0"/>
              <w:rPr>
                <w:rFonts w:ascii="Times New Roman" w:hAnsi="Times New Roman"/>
                <w:bCs/>
              </w:rPr>
            </w:pPr>
            <w:r w:rsidRPr="00DB0467">
              <w:rPr>
                <w:rFonts w:ascii="Times New Roman" w:hAnsi="Times New Roman"/>
                <w:bCs/>
                <w:szCs w:val="22"/>
              </w:rPr>
              <w:t xml:space="preserve">Completed </w:t>
            </w:r>
          </w:p>
        </w:tc>
        <w:tc>
          <w:tcPr>
            <w:tcW w:w="125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14:paraId="78078CD5"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260</w:t>
            </w:r>
          </w:p>
        </w:tc>
        <w:tc>
          <w:tcPr>
            <w:tcW w:w="1080"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4B2C329"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189</w:t>
            </w:r>
          </w:p>
        </w:tc>
        <w:tc>
          <w:tcPr>
            <w:tcW w:w="1299" w:type="dxa"/>
            <w:tcBorders>
              <w:top w:val="nil"/>
              <w:left w:val="single" w:sz="4" w:space="0" w:color="auto"/>
              <w:bottom w:val="single" w:sz="4" w:space="0" w:color="auto"/>
              <w:right w:val="single" w:sz="4" w:space="0" w:color="auto"/>
            </w:tcBorders>
            <w:shd w:val="clear" w:color="000000" w:fill="FFFFFF"/>
          </w:tcPr>
          <w:p w14:paraId="68F5D86E"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176</w:t>
            </w:r>
          </w:p>
        </w:tc>
        <w:tc>
          <w:tcPr>
            <w:tcW w:w="974" w:type="dxa"/>
            <w:tcBorders>
              <w:top w:val="nil"/>
              <w:left w:val="single" w:sz="4" w:space="0" w:color="auto"/>
              <w:bottom w:val="single" w:sz="4" w:space="0" w:color="auto"/>
              <w:right w:val="single" w:sz="4" w:space="0" w:color="auto"/>
            </w:tcBorders>
            <w:shd w:val="clear" w:color="000000" w:fill="FFFFFF"/>
          </w:tcPr>
          <w:p w14:paraId="3A7CDA50"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155</w:t>
            </w:r>
          </w:p>
        </w:tc>
      </w:tr>
      <w:tr w:rsidR="007518E4" w:rsidRPr="0061551D" w14:paraId="5C692061" w14:textId="77777777" w:rsidTr="00DB0467">
        <w:trPr>
          <w:trHeight w:val="170"/>
        </w:trPr>
        <w:tc>
          <w:tcPr>
            <w:tcW w:w="4397"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62A48F92" w14:textId="77777777" w:rsidR="007518E4" w:rsidRPr="00DB0467" w:rsidRDefault="007518E4" w:rsidP="008B2A6D">
            <w:pPr>
              <w:spacing w:before="0"/>
              <w:ind w:left="0"/>
              <w:rPr>
                <w:rFonts w:ascii="Times New Roman" w:hAnsi="Times New Roman"/>
                <w:bCs/>
              </w:rPr>
            </w:pPr>
            <w:r w:rsidRPr="00DB0467">
              <w:rPr>
                <w:rFonts w:ascii="Times New Roman" w:hAnsi="Times New Roman"/>
                <w:bCs/>
                <w:szCs w:val="22"/>
              </w:rPr>
              <w:t>Percentage completed</w:t>
            </w:r>
          </w:p>
        </w:tc>
        <w:tc>
          <w:tcPr>
            <w:tcW w:w="125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14:paraId="5E24BA77"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136%</w:t>
            </w:r>
          </w:p>
        </w:tc>
        <w:tc>
          <w:tcPr>
            <w:tcW w:w="1080"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2124CAF"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121%</w:t>
            </w:r>
          </w:p>
        </w:tc>
        <w:tc>
          <w:tcPr>
            <w:tcW w:w="1299" w:type="dxa"/>
            <w:tcBorders>
              <w:top w:val="nil"/>
              <w:left w:val="single" w:sz="4" w:space="0" w:color="auto"/>
              <w:bottom w:val="single" w:sz="4" w:space="0" w:color="auto"/>
              <w:right w:val="single" w:sz="4" w:space="0" w:color="auto"/>
            </w:tcBorders>
            <w:shd w:val="clear" w:color="000000" w:fill="FFFFFF"/>
          </w:tcPr>
          <w:p w14:paraId="5314AD2A"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128%</w:t>
            </w:r>
          </w:p>
        </w:tc>
        <w:tc>
          <w:tcPr>
            <w:tcW w:w="974" w:type="dxa"/>
            <w:tcBorders>
              <w:top w:val="nil"/>
              <w:left w:val="single" w:sz="4" w:space="0" w:color="auto"/>
              <w:bottom w:val="single" w:sz="4" w:space="0" w:color="auto"/>
              <w:right w:val="single" w:sz="4" w:space="0" w:color="auto"/>
            </w:tcBorders>
            <w:shd w:val="clear" w:color="000000" w:fill="FFFFFF"/>
          </w:tcPr>
          <w:p w14:paraId="5B440B0F"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116%</w:t>
            </w:r>
          </w:p>
        </w:tc>
      </w:tr>
      <w:tr w:rsidR="007518E4" w:rsidRPr="0061551D" w14:paraId="19059828" w14:textId="77777777" w:rsidTr="00DB0467">
        <w:trPr>
          <w:trHeight w:val="170"/>
        </w:trPr>
        <w:tc>
          <w:tcPr>
            <w:tcW w:w="4397"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480C1296" w14:textId="77777777" w:rsidR="007518E4" w:rsidRPr="00DB0467" w:rsidRDefault="007518E4" w:rsidP="008B2A6D">
            <w:pPr>
              <w:spacing w:before="0"/>
              <w:ind w:left="0"/>
              <w:rPr>
                <w:rFonts w:ascii="Times New Roman" w:hAnsi="Times New Roman"/>
                <w:bCs/>
              </w:rPr>
            </w:pPr>
            <w:r w:rsidRPr="00DB0467">
              <w:rPr>
                <w:rFonts w:ascii="Times New Roman" w:hAnsi="Times New Roman"/>
                <w:bCs/>
                <w:szCs w:val="22"/>
              </w:rPr>
              <w:t xml:space="preserve">Tax amount collected through signed MoU </w:t>
            </w:r>
          </w:p>
        </w:tc>
        <w:tc>
          <w:tcPr>
            <w:tcW w:w="125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14:paraId="1231ED2C"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138,782</w:t>
            </w:r>
          </w:p>
        </w:tc>
        <w:tc>
          <w:tcPr>
            <w:tcW w:w="1080"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20645AF2"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188, 042</w:t>
            </w:r>
          </w:p>
        </w:tc>
        <w:tc>
          <w:tcPr>
            <w:tcW w:w="1299" w:type="dxa"/>
            <w:tcBorders>
              <w:top w:val="nil"/>
              <w:left w:val="single" w:sz="4" w:space="0" w:color="auto"/>
              <w:bottom w:val="single" w:sz="4" w:space="0" w:color="auto"/>
              <w:right w:val="single" w:sz="4" w:space="0" w:color="auto"/>
            </w:tcBorders>
            <w:shd w:val="clear" w:color="000000" w:fill="FFFFFF"/>
          </w:tcPr>
          <w:p w14:paraId="4501C4F7"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235,706</w:t>
            </w:r>
          </w:p>
        </w:tc>
        <w:tc>
          <w:tcPr>
            <w:tcW w:w="974" w:type="dxa"/>
            <w:tcBorders>
              <w:top w:val="nil"/>
              <w:left w:val="single" w:sz="4" w:space="0" w:color="auto"/>
              <w:bottom w:val="single" w:sz="4" w:space="0" w:color="auto"/>
              <w:right w:val="single" w:sz="4" w:space="0" w:color="auto"/>
            </w:tcBorders>
            <w:shd w:val="clear" w:color="000000" w:fill="FFFFFF"/>
          </w:tcPr>
          <w:p w14:paraId="6FEE0368"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302,112</w:t>
            </w:r>
          </w:p>
        </w:tc>
      </w:tr>
      <w:tr w:rsidR="007518E4" w:rsidRPr="0061551D" w14:paraId="08BD0491" w14:textId="77777777" w:rsidTr="00DB0467">
        <w:trPr>
          <w:trHeight w:val="233"/>
        </w:trPr>
        <w:tc>
          <w:tcPr>
            <w:tcW w:w="439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06AAF540" w14:textId="77777777" w:rsidR="007518E4" w:rsidRPr="00DB0467" w:rsidRDefault="007518E4" w:rsidP="008B2A6D">
            <w:pPr>
              <w:spacing w:before="0"/>
              <w:ind w:left="0"/>
              <w:rPr>
                <w:rFonts w:ascii="Times New Roman" w:hAnsi="Times New Roman"/>
                <w:bCs/>
              </w:rPr>
            </w:pPr>
            <w:r w:rsidRPr="00DB0467">
              <w:rPr>
                <w:rFonts w:ascii="Times New Roman" w:hAnsi="Times New Roman"/>
                <w:bCs/>
                <w:szCs w:val="22"/>
              </w:rPr>
              <w:t>Number of companies fined</w:t>
            </w:r>
          </w:p>
        </w:tc>
        <w:tc>
          <w:tcPr>
            <w:tcW w:w="1250"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14:paraId="678F4CFF"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4</w:t>
            </w:r>
          </w:p>
        </w:tc>
        <w:tc>
          <w:tcPr>
            <w:tcW w:w="10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F89CE0A"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13</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14:paraId="64B25C0D"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35</w:t>
            </w:r>
          </w:p>
        </w:tc>
        <w:tc>
          <w:tcPr>
            <w:tcW w:w="974" w:type="dxa"/>
            <w:tcBorders>
              <w:top w:val="single" w:sz="4" w:space="0" w:color="auto"/>
              <w:left w:val="single" w:sz="4" w:space="0" w:color="auto"/>
              <w:bottom w:val="single" w:sz="4" w:space="0" w:color="auto"/>
              <w:right w:val="single" w:sz="4" w:space="0" w:color="auto"/>
            </w:tcBorders>
            <w:shd w:val="clear" w:color="000000" w:fill="FFFFFF"/>
          </w:tcPr>
          <w:p w14:paraId="298259D5"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38</w:t>
            </w:r>
          </w:p>
        </w:tc>
      </w:tr>
      <w:tr w:rsidR="007518E4" w:rsidRPr="0061551D" w14:paraId="6689951D" w14:textId="77777777" w:rsidTr="00DB0467">
        <w:trPr>
          <w:trHeight w:val="233"/>
        </w:trPr>
        <w:tc>
          <w:tcPr>
            <w:tcW w:w="439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664ED64" w14:textId="77777777" w:rsidR="007518E4" w:rsidRPr="00DB0467" w:rsidRDefault="007518E4" w:rsidP="008B2A6D">
            <w:pPr>
              <w:spacing w:before="0"/>
              <w:ind w:left="0"/>
              <w:rPr>
                <w:rFonts w:ascii="Times New Roman" w:hAnsi="Times New Roman"/>
                <w:bCs/>
              </w:rPr>
            </w:pPr>
            <w:r w:rsidRPr="00DB0467">
              <w:rPr>
                <w:rFonts w:ascii="Times New Roman" w:hAnsi="Times New Roman"/>
                <w:bCs/>
                <w:szCs w:val="22"/>
              </w:rPr>
              <w:t>Penalty to be collected</w:t>
            </w:r>
          </w:p>
        </w:tc>
        <w:tc>
          <w:tcPr>
            <w:tcW w:w="1250"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14:paraId="78F3F070"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326</w:t>
            </w:r>
          </w:p>
        </w:tc>
        <w:tc>
          <w:tcPr>
            <w:tcW w:w="10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15BF418"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222.8</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14:paraId="7FB01CD9"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16,677.6</w:t>
            </w:r>
          </w:p>
        </w:tc>
        <w:tc>
          <w:tcPr>
            <w:tcW w:w="974" w:type="dxa"/>
            <w:tcBorders>
              <w:top w:val="single" w:sz="4" w:space="0" w:color="auto"/>
              <w:left w:val="single" w:sz="4" w:space="0" w:color="auto"/>
              <w:bottom w:val="single" w:sz="4" w:space="0" w:color="auto"/>
              <w:right w:val="single" w:sz="4" w:space="0" w:color="auto"/>
            </w:tcBorders>
            <w:shd w:val="clear" w:color="000000" w:fill="FFFFFF"/>
          </w:tcPr>
          <w:p w14:paraId="224FB2C3"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17,277.9</w:t>
            </w:r>
          </w:p>
        </w:tc>
      </w:tr>
    </w:tbl>
    <w:p w14:paraId="472A752B" w14:textId="77777777" w:rsidR="007518E4" w:rsidRPr="0077140F" w:rsidRDefault="007518E4" w:rsidP="007518E4">
      <w:pPr>
        <w:pStyle w:val="ListParagraph"/>
        <w:autoSpaceDE w:val="0"/>
        <w:autoSpaceDN w:val="0"/>
        <w:adjustRightInd w:val="0"/>
        <w:spacing w:before="0"/>
        <w:ind w:left="0"/>
        <w:contextualSpacing w:val="0"/>
        <w:rPr>
          <w:rFonts w:ascii="Times New Roman" w:hAnsi="Times New Roman"/>
          <w:color w:val="000000"/>
          <w:sz w:val="20"/>
          <w:szCs w:val="20"/>
          <w:lang w:val="en-MY"/>
        </w:rPr>
      </w:pPr>
      <w:r w:rsidRPr="0077140F">
        <w:rPr>
          <w:rFonts w:ascii="Times New Roman" w:hAnsi="Times New Roman"/>
          <w:color w:val="000000"/>
          <w:sz w:val="20"/>
          <w:szCs w:val="20"/>
          <w:lang w:val="en-MY"/>
        </w:rPr>
        <w:t>Source- PFD data as of December 2018</w:t>
      </w:r>
    </w:p>
    <w:p w14:paraId="42DDC139" w14:textId="77777777" w:rsidR="007518E4" w:rsidRPr="00F73C06" w:rsidRDefault="007518E4" w:rsidP="008037D9">
      <w:pPr>
        <w:pStyle w:val="ListParagraph"/>
        <w:numPr>
          <w:ilvl w:val="0"/>
          <w:numId w:val="80"/>
        </w:numPr>
        <w:tabs>
          <w:tab w:val="clear" w:pos="1288"/>
          <w:tab w:val="num" w:pos="720"/>
        </w:tabs>
        <w:spacing w:before="120" w:after="12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t xml:space="preserve">With respect to Customs Department, the development of ASYCUDA with its risk assessment module will allow segmentation of importers into </w:t>
      </w:r>
      <w:r w:rsidR="008B2A6D" w:rsidRPr="008B2A6D">
        <w:rPr>
          <w:rFonts w:ascii="Times New Roman" w:eastAsia="Calibri" w:hAnsi="Times New Roman"/>
          <w:b/>
          <w:color w:val="000000"/>
          <w:sz w:val="24"/>
        </w:rPr>
        <w:t>channels</w:t>
      </w:r>
      <w:r w:rsidR="008B2A6D">
        <w:rPr>
          <w:rFonts w:ascii="Times New Roman" w:eastAsia="Calibri" w:hAnsi="Times New Roman"/>
          <w:color w:val="000000"/>
          <w:sz w:val="24"/>
        </w:rPr>
        <w:t xml:space="preserve">.  These will cover </w:t>
      </w:r>
      <w:r>
        <w:rPr>
          <w:rFonts w:ascii="Times New Roman" w:eastAsia="Calibri" w:hAnsi="Times New Roman"/>
          <w:color w:val="000000"/>
          <w:sz w:val="24"/>
        </w:rPr>
        <w:t>Red (physical and documentation check), Green (no check), Yellow (documentation check) and Blue (p</w:t>
      </w:r>
      <w:r w:rsidR="00DB0467">
        <w:rPr>
          <w:rFonts w:ascii="Times New Roman" w:eastAsia="Calibri" w:hAnsi="Times New Roman"/>
          <w:color w:val="000000"/>
          <w:sz w:val="24"/>
        </w:rPr>
        <w:t xml:space="preserve">ost clearance check) Channels. </w:t>
      </w:r>
      <w:r>
        <w:rPr>
          <w:rFonts w:ascii="Times New Roman" w:eastAsia="Calibri" w:hAnsi="Times New Roman"/>
          <w:color w:val="000000"/>
          <w:sz w:val="24"/>
        </w:rPr>
        <w:t xml:space="preserve">At present, all imports are subject to physical inspection which is a time consuming and </w:t>
      </w:r>
      <w:proofErr w:type="spellStart"/>
      <w:proofErr w:type="gramStart"/>
      <w:r>
        <w:rPr>
          <w:rFonts w:ascii="Times New Roman" w:eastAsia="Calibri" w:hAnsi="Times New Roman"/>
          <w:color w:val="000000"/>
          <w:sz w:val="24"/>
        </w:rPr>
        <w:t>non risk</w:t>
      </w:r>
      <w:proofErr w:type="spellEnd"/>
      <w:proofErr w:type="gramEnd"/>
      <w:r>
        <w:rPr>
          <w:rFonts w:ascii="Times New Roman" w:eastAsia="Calibri" w:hAnsi="Times New Roman"/>
          <w:color w:val="000000"/>
          <w:sz w:val="24"/>
        </w:rPr>
        <w:t xml:space="preserve"> approach to customs audit.</w:t>
      </w:r>
    </w:p>
    <w:p w14:paraId="504A6FF0" w14:textId="77777777" w:rsidR="007518E4" w:rsidRPr="00C3518A" w:rsidRDefault="007518E4" w:rsidP="008037D9">
      <w:pPr>
        <w:pStyle w:val="ListParagraph"/>
        <w:numPr>
          <w:ilvl w:val="0"/>
          <w:numId w:val="80"/>
        </w:numPr>
        <w:tabs>
          <w:tab w:val="clear" w:pos="1288"/>
          <w:tab w:val="num" w:pos="720"/>
        </w:tabs>
        <w:spacing w:before="120" w:after="12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t xml:space="preserve">While the audit process at both the Tax Department and Customs Department is currently being modernized to incorporate a focused </w:t>
      </w:r>
      <w:proofErr w:type="gramStart"/>
      <w:r w:rsidRPr="008B2A6D">
        <w:rPr>
          <w:rFonts w:ascii="Times New Roman" w:eastAsia="Calibri" w:hAnsi="Times New Roman"/>
          <w:b/>
          <w:color w:val="000000"/>
          <w:sz w:val="24"/>
        </w:rPr>
        <w:t>risk based</w:t>
      </w:r>
      <w:proofErr w:type="gramEnd"/>
      <w:r w:rsidRPr="008B2A6D">
        <w:rPr>
          <w:rFonts w:ascii="Times New Roman" w:eastAsia="Calibri" w:hAnsi="Times New Roman"/>
          <w:b/>
          <w:color w:val="000000"/>
          <w:sz w:val="24"/>
        </w:rPr>
        <w:t xml:space="preserve"> selection process, there is an audit process in place that is based on a plan and these are implemented fully</w:t>
      </w:r>
      <w:r w:rsidRPr="00C3518A">
        <w:rPr>
          <w:rFonts w:ascii="Times New Roman" w:eastAsia="Calibri" w:hAnsi="Times New Roman"/>
          <w:color w:val="000000"/>
          <w:sz w:val="24"/>
        </w:rPr>
        <w:t>.  Score C</w:t>
      </w:r>
    </w:p>
    <w:p w14:paraId="52B527EC" w14:textId="77777777" w:rsidR="007518E4" w:rsidRDefault="007518E4" w:rsidP="008B2A6D">
      <w:pPr>
        <w:spacing w:before="120" w:after="120"/>
        <w:ind w:left="0"/>
        <w:rPr>
          <w:rFonts w:ascii="Times New Roman Bold" w:hAnsi="Times New Roman Bold"/>
          <w:b/>
          <w:color w:val="92D050"/>
          <w:spacing w:val="-1"/>
          <w:sz w:val="24"/>
        </w:rPr>
      </w:pPr>
      <w:r w:rsidRPr="003C0DEB">
        <w:rPr>
          <w:rFonts w:ascii="Times New Roman Bold" w:hAnsi="Times New Roman Bold"/>
          <w:b/>
          <w:color w:val="92D050"/>
          <w:spacing w:val="-1"/>
          <w:sz w:val="24"/>
        </w:rPr>
        <w:t xml:space="preserve">19.4 Revenue </w:t>
      </w:r>
      <w:r>
        <w:rPr>
          <w:rFonts w:ascii="Times New Roman Bold" w:hAnsi="Times New Roman Bold"/>
          <w:b/>
          <w:color w:val="92D050"/>
          <w:spacing w:val="-1"/>
          <w:sz w:val="24"/>
        </w:rPr>
        <w:t>a</w:t>
      </w:r>
      <w:r w:rsidRPr="003C0DEB">
        <w:rPr>
          <w:rFonts w:ascii="Times New Roman Bold" w:hAnsi="Times New Roman Bold"/>
          <w:b/>
          <w:color w:val="92D050"/>
          <w:spacing w:val="-1"/>
          <w:sz w:val="24"/>
        </w:rPr>
        <w:t xml:space="preserve">rrears </w:t>
      </w:r>
      <w:r>
        <w:rPr>
          <w:rFonts w:ascii="Times New Roman Bold" w:hAnsi="Times New Roman Bold"/>
          <w:b/>
          <w:color w:val="92D050"/>
          <w:spacing w:val="-1"/>
          <w:sz w:val="24"/>
        </w:rPr>
        <w:t>m</w:t>
      </w:r>
      <w:r w:rsidRPr="003C0DEB">
        <w:rPr>
          <w:rFonts w:ascii="Times New Roman Bold" w:hAnsi="Times New Roman Bold"/>
          <w:b/>
          <w:color w:val="92D050"/>
          <w:spacing w:val="-1"/>
          <w:sz w:val="24"/>
        </w:rPr>
        <w:t xml:space="preserve">onitoring </w:t>
      </w:r>
    </w:p>
    <w:p w14:paraId="0AC96B7E" w14:textId="77777777" w:rsidR="007518E4" w:rsidRDefault="007518E4" w:rsidP="008037D9">
      <w:pPr>
        <w:pStyle w:val="ListParagraph"/>
        <w:numPr>
          <w:ilvl w:val="0"/>
          <w:numId w:val="80"/>
        </w:numPr>
        <w:tabs>
          <w:tab w:val="clear" w:pos="1288"/>
          <w:tab w:val="num" w:pos="720"/>
        </w:tabs>
        <w:spacing w:before="120" w:after="12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lastRenderedPageBreak/>
        <w:t>Tax arrears</w:t>
      </w:r>
      <w:r w:rsidRPr="008B2A6D">
        <w:rPr>
          <w:rStyle w:val="FootnoteReference"/>
          <w:rFonts w:ascii="Times New Roman" w:eastAsia="Calibri" w:hAnsi="Times New Roman"/>
          <w:b/>
          <w:color w:val="000000"/>
          <w:sz w:val="24"/>
        </w:rPr>
        <w:footnoteReference w:id="41"/>
      </w:r>
      <w:r w:rsidRPr="008B2A6D">
        <w:rPr>
          <w:rFonts w:ascii="Times New Roman" w:eastAsia="Calibri" w:hAnsi="Times New Roman"/>
          <w:b/>
          <w:color w:val="000000"/>
          <w:sz w:val="24"/>
        </w:rPr>
        <w:t xml:space="preserve"> recorded by the TD cover the tax debts for the public and private sector</w:t>
      </w:r>
      <w:r w:rsidRPr="00B97FEB">
        <w:rPr>
          <w:rFonts w:ascii="Times New Roman" w:eastAsia="Calibri" w:hAnsi="Times New Roman"/>
          <w:color w:val="000000"/>
          <w:sz w:val="24"/>
        </w:rPr>
        <w:t xml:space="preserve">. </w:t>
      </w:r>
      <w:r>
        <w:rPr>
          <w:rFonts w:ascii="Times New Roman" w:eastAsia="Calibri" w:hAnsi="Times New Roman"/>
          <w:color w:val="000000"/>
          <w:sz w:val="24"/>
        </w:rPr>
        <w:t xml:space="preserve">Customs arrears are not an issue with the current inspection system. </w:t>
      </w:r>
      <w:r w:rsidRPr="00B97FEB">
        <w:rPr>
          <w:rFonts w:ascii="Times New Roman" w:eastAsia="Calibri" w:hAnsi="Times New Roman"/>
          <w:color w:val="000000"/>
          <w:sz w:val="24"/>
        </w:rPr>
        <w:t xml:space="preserve">Tax arrears from SOEs and from the construction companies </w:t>
      </w:r>
      <w:r>
        <w:rPr>
          <w:rFonts w:ascii="Times New Roman" w:eastAsia="Calibri" w:hAnsi="Times New Roman"/>
          <w:color w:val="000000"/>
          <w:sz w:val="24"/>
        </w:rPr>
        <w:t xml:space="preserve">are cleared </w:t>
      </w:r>
      <w:r w:rsidRPr="00B97FEB">
        <w:rPr>
          <w:rFonts w:ascii="Times New Roman" w:eastAsia="Calibri" w:hAnsi="Times New Roman"/>
          <w:color w:val="000000"/>
          <w:sz w:val="24"/>
        </w:rPr>
        <w:t xml:space="preserve">under the </w:t>
      </w:r>
      <w:r w:rsidRPr="00B97FEB">
        <w:rPr>
          <w:rFonts w:ascii="Times New Roman" w:eastAsia="ヒラギノ角ゴ Pro W3" w:hAnsi="Times New Roman"/>
          <w:color w:val="000000"/>
          <w:sz w:val="24"/>
          <w:lang w:eastAsia="en-IN"/>
        </w:rPr>
        <w:t>government’s triangle-debt-diversion disbursement initiative</w:t>
      </w:r>
      <w:r w:rsidRPr="00B97FEB">
        <w:rPr>
          <w:rFonts w:ascii="Times New Roman" w:eastAsia="Calibri" w:hAnsi="Times New Roman"/>
          <w:color w:val="000000"/>
          <w:sz w:val="24"/>
        </w:rPr>
        <w:t xml:space="preserve">, whereby all suppliers with a debt to be paid by the government should not have outstanding tax obligations, failure of which portion of the contract payments would be withheld.  </w:t>
      </w:r>
    </w:p>
    <w:p w14:paraId="6C2D83AF" w14:textId="77777777" w:rsidR="007518E4" w:rsidRPr="00EB3763" w:rsidRDefault="007518E4" w:rsidP="008037D9">
      <w:pPr>
        <w:pStyle w:val="ListParagraph"/>
        <w:numPr>
          <w:ilvl w:val="0"/>
          <w:numId w:val="80"/>
        </w:numPr>
        <w:tabs>
          <w:tab w:val="clear" w:pos="1288"/>
          <w:tab w:val="num" w:pos="720"/>
        </w:tabs>
        <w:autoSpaceDE w:val="0"/>
        <w:autoSpaceDN w:val="0"/>
        <w:adjustRightInd w:val="0"/>
        <w:spacing w:before="120" w:after="120"/>
        <w:ind w:left="0"/>
        <w:contextualSpacing w:val="0"/>
        <w:rPr>
          <w:rFonts w:ascii="Times New Roman" w:eastAsia="Calibri" w:hAnsi="Times New Roman"/>
          <w:color w:val="000000"/>
          <w:sz w:val="24"/>
        </w:rPr>
      </w:pPr>
      <w:r w:rsidRPr="008B2A6D">
        <w:rPr>
          <w:rFonts w:ascii="Times New Roman" w:eastAsia="Calibri" w:hAnsi="Times New Roman"/>
          <w:b/>
          <w:color w:val="000000"/>
          <w:sz w:val="24"/>
        </w:rPr>
        <w:t>This stock of arrears represents the amounts of taxes identified and recognized as due by taxpayers.</w:t>
      </w:r>
      <w:r w:rsidRPr="00EB3763">
        <w:rPr>
          <w:rFonts w:ascii="Times New Roman" w:eastAsia="Calibri" w:hAnsi="Times New Roman"/>
          <w:color w:val="000000"/>
          <w:sz w:val="24"/>
        </w:rPr>
        <w:t xml:space="preserve"> </w:t>
      </w:r>
      <w:r>
        <w:rPr>
          <w:rFonts w:ascii="Times New Roman" w:eastAsia="Calibri" w:hAnsi="Times New Roman"/>
          <w:color w:val="000000"/>
          <w:sz w:val="24"/>
        </w:rPr>
        <w:t>I</w:t>
      </w:r>
      <w:r w:rsidRPr="00EB3763">
        <w:rPr>
          <w:rFonts w:ascii="Times New Roman" w:eastAsia="Calibri" w:hAnsi="Times New Roman"/>
          <w:color w:val="000000"/>
          <w:sz w:val="24"/>
        </w:rPr>
        <w:t xml:space="preserve">nformation provided by the PFD on total stock of arrears as at 10 December 2018 is as follows: </w:t>
      </w:r>
    </w:p>
    <w:p w14:paraId="2921B248" w14:textId="77777777" w:rsidR="007518E4" w:rsidRPr="00EB3763" w:rsidRDefault="007518E4" w:rsidP="00DB0467">
      <w:pPr>
        <w:spacing w:before="120"/>
        <w:ind w:hanging="539"/>
        <w:jc w:val="center"/>
        <w:rPr>
          <w:rFonts w:ascii="Times New Roman" w:eastAsia="Calibri" w:hAnsi="Times New Roman"/>
          <w:color w:val="000000"/>
        </w:rPr>
      </w:pPr>
      <w:r w:rsidRPr="00EB3763">
        <w:rPr>
          <w:rFonts w:ascii="Times New Roman" w:eastAsia="Calibri" w:hAnsi="Times New Roman"/>
          <w:b/>
          <w:color w:val="000000"/>
        </w:rPr>
        <w:t>Table 3.19.4:  Revenue arrears as of December 2018 (million kip)</w:t>
      </w:r>
    </w:p>
    <w:tbl>
      <w:tblPr>
        <w:tblW w:w="0" w:type="auto"/>
        <w:tblLook w:val="04A0" w:firstRow="1" w:lastRow="0" w:firstColumn="1" w:lastColumn="0" w:noHBand="0" w:noVBand="1"/>
      </w:tblPr>
      <w:tblGrid>
        <w:gridCol w:w="4499"/>
        <w:gridCol w:w="1800"/>
        <w:gridCol w:w="2717"/>
      </w:tblGrid>
      <w:tr w:rsidR="007518E4" w:rsidRPr="00DB0467" w14:paraId="6A996B0E" w14:textId="77777777" w:rsidTr="007518E4">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1489B" w14:textId="77777777" w:rsidR="007518E4" w:rsidRPr="00DB0467" w:rsidRDefault="007518E4" w:rsidP="007518E4">
            <w:pPr>
              <w:spacing w:before="0"/>
              <w:rPr>
                <w:rFonts w:ascii="Times New Roman" w:hAnsi="Times New Roman"/>
              </w:rPr>
            </w:pPr>
            <w:r w:rsidRPr="00DB0467">
              <w:rPr>
                <w:rFonts w:ascii="Times New Roman" w:hAnsi="Times New Roman"/>
                <w:szCs w:val="22"/>
              </w:rPr>
              <w:t>Domestic tax arrears per FY</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B0A9E" w14:textId="77777777" w:rsidR="007518E4" w:rsidRPr="00DB0467" w:rsidRDefault="007518E4" w:rsidP="007518E4">
            <w:pPr>
              <w:spacing w:before="0"/>
              <w:rPr>
                <w:rFonts w:ascii="Times New Roman" w:hAnsi="Times New Roman"/>
              </w:rPr>
            </w:pPr>
            <w:r w:rsidRPr="00DB0467">
              <w:rPr>
                <w:rFonts w:ascii="Times New Roman" w:hAnsi="Times New Roman"/>
                <w:szCs w:val="22"/>
              </w:rPr>
              <w:t xml:space="preserve">Total Arrears </w:t>
            </w:r>
          </w:p>
        </w:tc>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A344F6" w14:textId="77777777" w:rsidR="007518E4" w:rsidRPr="00DB0467" w:rsidRDefault="007518E4" w:rsidP="007518E4">
            <w:pPr>
              <w:spacing w:before="0"/>
              <w:rPr>
                <w:rFonts w:ascii="Times New Roman" w:hAnsi="Times New Roman"/>
              </w:rPr>
            </w:pPr>
            <w:r w:rsidRPr="00DB0467">
              <w:rPr>
                <w:rFonts w:ascii="Times New Roman" w:hAnsi="Times New Roman"/>
                <w:szCs w:val="22"/>
              </w:rPr>
              <w:t>Arrears (&gt;12 months old)</w:t>
            </w:r>
          </w:p>
        </w:tc>
      </w:tr>
      <w:tr w:rsidR="007518E4" w:rsidRPr="00DB0467" w14:paraId="4D957961" w14:textId="77777777" w:rsidTr="007518E4">
        <w:tc>
          <w:tcPr>
            <w:tcW w:w="4500" w:type="dxa"/>
            <w:tcBorders>
              <w:top w:val="single" w:sz="4" w:space="0" w:color="auto"/>
              <w:left w:val="single" w:sz="4" w:space="0" w:color="auto"/>
              <w:bottom w:val="single" w:sz="4" w:space="0" w:color="auto"/>
              <w:right w:val="single" w:sz="4" w:space="0" w:color="auto"/>
            </w:tcBorders>
            <w:vAlign w:val="center"/>
          </w:tcPr>
          <w:p w14:paraId="1AACE230"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 xml:space="preserve"> 2011/12</w:t>
            </w:r>
          </w:p>
        </w:tc>
        <w:tc>
          <w:tcPr>
            <w:tcW w:w="1800" w:type="dxa"/>
            <w:tcBorders>
              <w:top w:val="single" w:sz="4" w:space="0" w:color="auto"/>
              <w:left w:val="single" w:sz="4" w:space="0" w:color="auto"/>
              <w:bottom w:val="single" w:sz="4" w:space="0" w:color="auto"/>
              <w:right w:val="single" w:sz="4" w:space="0" w:color="auto"/>
            </w:tcBorders>
          </w:tcPr>
          <w:p w14:paraId="756E06B4"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61,986.9</w:t>
            </w:r>
          </w:p>
        </w:tc>
        <w:tc>
          <w:tcPr>
            <w:tcW w:w="2718" w:type="dxa"/>
            <w:tcBorders>
              <w:top w:val="single" w:sz="4" w:space="0" w:color="auto"/>
              <w:left w:val="single" w:sz="4" w:space="0" w:color="auto"/>
              <w:bottom w:val="single" w:sz="4" w:space="0" w:color="auto"/>
              <w:right w:val="single" w:sz="4" w:space="0" w:color="auto"/>
            </w:tcBorders>
          </w:tcPr>
          <w:p w14:paraId="19041B3C"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61,986</w:t>
            </w:r>
          </w:p>
        </w:tc>
      </w:tr>
      <w:tr w:rsidR="007518E4" w:rsidRPr="00DB0467" w14:paraId="77F3ABC4" w14:textId="77777777" w:rsidTr="007518E4">
        <w:trPr>
          <w:trHeight w:val="251"/>
        </w:trPr>
        <w:tc>
          <w:tcPr>
            <w:tcW w:w="4500" w:type="dxa"/>
            <w:tcBorders>
              <w:top w:val="single" w:sz="4" w:space="0" w:color="auto"/>
              <w:left w:val="single" w:sz="4" w:space="0" w:color="auto"/>
              <w:bottom w:val="single" w:sz="4" w:space="0" w:color="auto"/>
              <w:right w:val="single" w:sz="4" w:space="0" w:color="auto"/>
            </w:tcBorders>
            <w:vAlign w:val="center"/>
          </w:tcPr>
          <w:p w14:paraId="7A5E5AFF"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 xml:space="preserve"> 2012/2013</w:t>
            </w:r>
          </w:p>
        </w:tc>
        <w:tc>
          <w:tcPr>
            <w:tcW w:w="1800" w:type="dxa"/>
            <w:tcBorders>
              <w:top w:val="single" w:sz="4" w:space="0" w:color="auto"/>
              <w:left w:val="single" w:sz="4" w:space="0" w:color="auto"/>
              <w:bottom w:val="single" w:sz="4" w:space="0" w:color="auto"/>
              <w:right w:val="single" w:sz="4" w:space="0" w:color="auto"/>
            </w:tcBorders>
          </w:tcPr>
          <w:p w14:paraId="10D5E3E6"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5,698.8</w:t>
            </w:r>
          </w:p>
        </w:tc>
        <w:tc>
          <w:tcPr>
            <w:tcW w:w="2718" w:type="dxa"/>
            <w:tcBorders>
              <w:top w:val="single" w:sz="4" w:space="0" w:color="auto"/>
              <w:left w:val="single" w:sz="4" w:space="0" w:color="auto"/>
              <w:bottom w:val="single" w:sz="4" w:space="0" w:color="auto"/>
              <w:right w:val="single" w:sz="4" w:space="0" w:color="auto"/>
            </w:tcBorders>
          </w:tcPr>
          <w:p w14:paraId="78949A62"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5,698.8</w:t>
            </w:r>
          </w:p>
        </w:tc>
      </w:tr>
      <w:tr w:rsidR="007518E4" w:rsidRPr="00DB0467" w14:paraId="64EB97FE" w14:textId="77777777" w:rsidTr="007518E4">
        <w:tc>
          <w:tcPr>
            <w:tcW w:w="4500" w:type="dxa"/>
            <w:tcBorders>
              <w:top w:val="single" w:sz="4" w:space="0" w:color="auto"/>
              <w:left w:val="single" w:sz="4" w:space="0" w:color="auto"/>
              <w:bottom w:val="single" w:sz="4" w:space="0" w:color="auto"/>
              <w:right w:val="single" w:sz="4" w:space="0" w:color="auto"/>
            </w:tcBorders>
            <w:vAlign w:val="center"/>
          </w:tcPr>
          <w:p w14:paraId="5A117C4E"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 xml:space="preserve"> 2013/14</w:t>
            </w:r>
          </w:p>
        </w:tc>
        <w:tc>
          <w:tcPr>
            <w:tcW w:w="1800" w:type="dxa"/>
            <w:tcBorders>
              <w:top w:val="single" w:sz="4" w:space="0" w:color="auto"/>
              <w:left w:val="single" w:sz="4" w:space="0" w:color="auto"/>
              <w:bottom w:val="single" w:sz="4" w:space="0" w:color="auto"/>
              <w:right w:val="single" w:sz="4" w:space="0" w:color="auto"/>
            </w:tcBorders>
          </w:tcPr>
          <w:p w14:paraId="6BDAB126"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8,226.7</w:t>
            </w:r>
          </w:p>
        </w:tc>
        <w:tc>
          <w:tcPr>
            <w:tcW w:w="2718" w:type="dxa"/>
            <w:tcBorders>
              <w:top w:val="single" w:sz="4" w:space="0" w:color="auto"/>
              <w:left w:val="single" w:sz="4" w:space="0" w:color="auto"/>
              <w:bottom w:val="single" w:sz="4" w:space="0" w:color="auto"/>
              <w:right w:val="single" w:sz="4" w:space="0" w:color="auto"/>
            </w:tcBorders>
          </w:tcPr>
          <w:p w14:paraId="3FCADF76"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8,226.7</w:t>
            </w:r>
          </w:p>
        </w:tc>
      </w:tr>
      <w:tr w:rsidR="007518E4" w:rsidRPr="00DB0467" w14:paraId="520128FB" w14:textId="77777777" w:rsidTr="007518E4">
        <w:tc>
          <w:tcPr>
            <w:tcW w:w="4500" w:type="dxa"/>
            <w:tcBorders>
              <w:top w:val="single" w:sz="4" w:space="0" w:color="auto"/>
              <w:left w:val="single" w:sz="4" w:space="0" w:color="auto"/>
              <w:bottom w:val="single" w:sz="4" w:space="0" w:color="auto"/>
              <w:right w:val="single" w:sz="4" w:space="0" w:color="auto"/>
            </w:tcBorders>
            <w:vAlign w:val="center"/>
          </w:tcPr>
          <w:p w14:paraId="3D32DB38"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 xml:space="preserve"> 2014/15</w:t>
            </w:r>
          </w:p>
        </w:tc>
        <w:tc>
          <w:tcPr>
            <w:tcW w:w="1800" w:type="dxa"/>
            <w:tcBorders>
              <w:top w:val="single" w:sz="4" w:space="0" w:color="auto"/>
              <w:left w:val="single" w:sz="4" w:space="0" w:color="auto"/>
              <w:bottom w:val="single" w:sz="4" w:space="0" w:color="auto"/>
              <w:right w:val="single" w:sz="4" w:space="0" w:color="auto"/>
            </w:tcBorders>
          </w:tcPr>
          <w:p w14:paraId="6310B50E"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36,357.2</w:t>
            </w:r>
          </w:p>
        </w:tc>
        <w:tc>
          <w:tcPr>
            <w:tcW w:w="2718" w:type="dxa"/>
            <w:tcBorders>
              <w:top w:val="single" w:sz="4" w:space="0" w:color="auto"/>
              <w:left w:val="single" w:sz="4" w:space="0" w:color="auto"/>
              <w:bottom w:val="single" w:sz="4" w:space="0" w:color="auto"/>
              <w:right w:val="single" w:sz="4" w:space="0" w:color="auto"/>
            </w:tcBorders>
          </w:tcPr>
          <w:p w14:paraId="12FEBF64"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36,357.2</w:t>
            </w:r>
          </w:p>
        </w:tc>
      </w:tr>
      <w:tr w:rsidR="007518E4" w:rsidRPr="00DB0467" w14:paraId="3C7E901A" w14:textId="77777777" w:rsidTr="007518E4">
        <w:tc>
          <w:tcPr>
            <w:tcW w:w="4500" w:type="dxa"/>
            <w:tcBorders>
              <w:top w:val="single" w:sz="4" w:space="0" w:color="auto"/>
              <w:left w:val="single" w:sz="4" w:space="0" w:color="auto"/>
              <w:bottom w:val="single" w:sz="4" w:space="0" w:color="auto"/>
              <w:right w:val="single" w:sz="4" w:space="0" w:color="auto"/>
            </w:tcBorders>
            <w:vAlign w:val="center"/>
          </w:tcPr>
          <w:p w14:paraId="118E143B"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 xml:space="preserve"> 2015/16</w:t>
            </w:r>
          </w:p>
        </w:tc>
        <w:tc>
          <w:tcPr>
            <w:tcW w:w="1800" w:type="dxa"/>
            <w:tcBorders>
              <w:top w:val="single" w:sz="4" w:space="0" w:color="auto"/>
              <w:left w:val="single" w:sz="4" w:space="0" w:color="auto"/>
              <w:bottom w:val="single" w:sz="4" w:space="0" w:color="auto"/>
              <w:right w:val="single" w:sz="4" w:space="0" w:color="auto"/>
            </w:tcBorders>
          </w:tcPr>
          <w:p w14:paraId="12AAD641"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94,049.1</w:t>
            </w:r>
          </w:p>
        </w:tc>
        <w:tc>
          <w:tcPr>
            <w:tcW w:w="2718" w:type="dxa"/>
            <w:tcBorders>
              <w:top w:val="single" w:sz="4" w:space="0" w:color="auto"/>
              <w:left w:val="single" w:sz="4" w:space="0" w:color="auto"/>
              <w:bottom w:val="single" w:sz="4" w:space="0" w:color="auto"/>
              <w:right w:val="single" w:sz="4" w:space="0" w:color="auto"/>
            </w:tcBorders>
          </w:tcPr>
          <w:p w14:paraId="3EEA45A5"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94,049.1</w:t>
            </w:r>
          </w:p>
        </w:tc>
      </w:tr>
      <w:tr w:rsidR="007518E4" w:rsidRPr="00DB0467" w14:paraId="0F9D1C24" w14:textId="77777777" w:rsidTr="007518E4">
        <w:tc>
          <w:tcPr>
            <w:tcW w:w="4500" w:type="dxa"/>
            <w:tcBorders>
              <w:top w:val="single" w:sz="4" w:space="0" w:color="auto"/>
              <w:left w:val="single" w:sz="4" w:space="0" w:color="auto"/>
              <w:bottom w:val="single" w:sz="4" w:space="0" w:color="auto"/>
              <w:right w:val="single" w:sz="4" w:space="0" w:color="auto"/>
            </w:tcBorders>
          </w:tcPr>
          <w:p w14:paraId="5E6B0205"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 xml:space="preserve"> 2017</w:t>
            </w:r>
          </w:p>
        </w:tc>
        <w:tc>
          <w:tcPr>
            <w:tcW w:w="1800" w:type="dxa"/>
            <w:tcBorders>
              <w:top w:val="single" w:sz="4" w:space="0" w:color="auto"/>
              <w:left w:val="single" w:sz="4" w:space="0" w:color="auto"/>
              <w:bottom w:val="single" w:sz="4" w:space="0" w:color="auto"/>
              <w:right w:val="single" w:sz="4" w:space="0" w:color="auto"/>
            </w:tcBorders>
          </w:tcPr>
          <w:p w14:paraId="4A396C15"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1,068.2</w:t>
            </w:r>
          </w:p>
        </w:tc>
        <w:tc>
          <w:tcPr>
            <w:tcW w:w="2718" w:type="dxa"/>
            <w:tcBorders>
              <w:top w:val="single" w:sz="4" w:space="0" w:color="auto"/>
              <w:left w:val="single" w:sz="4" w:space="0" w:color="auto"/>
              <w:bottom w:val="single" w:sz="4" w:space="0" w:color="auto"/>
              <w:right w:val="single" w:sz="4" w:space="0" w:color="auto"/>
            </w:tcBorders>
          </w:tcPr>
          <w:p w14:paraId="17F43B8C" w14:textId="77777777" w:rsidR="007518E4" w:rsidRPr="00DB0467" w:rsidRDefault="007518E4" w:rsidP="008B2A6D">
            <w:pPr>
              <w:spacing w:before="0"/>
              <w:ind w:left="0"/>
              <w:jc w:val="center"/>
              <w:rPr>
                <w:rFonts w:ascii="Times New Roman" w:hAnsi="Times New Roman"/>
              </w:rPr>
            </w:pPr>
          </w:p>
        </w:tc>
      </w:tr>
      <w:tr w:rsidR="007518E4" w:rsidRPr="00DB0467" w14:paraId="12196602" w14:textId="77777777" w:rsidTr="007518E4">
        <w:tc>
          <w:tcPr>
            <w:tcW w:w="4500" w:type="dxa"/>
            <w:tcBorders>
              <w:top w:val="single" w:sz="4" w:space="0" w:color="auto"/>
              <w:left w:val="single" w:sz="4" w:space="0" w:color="auto"/>
              <w:bottom w:val="single" w:sz="4" w:space="0" w:color="auto"/>
              <w:right w:val="single" w:sz="4" w:space="0" w:color="auto"/>
            </w:tcBorders>
          </w:tcPr>
          <w:p w14:paraId="194D3FFC"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Total arrears from Tax Department</w:t>
            </w:r>
          </w:p>
        </w:tc>
        <w:tc>
          <w:tcPr>
            <w:tcW w:w="1800" w:type="dxa"/>
            <w:tcBorders>
              <w:top w:val="single" w:sz="4" w:space="0" w:color="auto"/>
              <w:left w:val="single" w:sz="4" w:space="0" w:color="auto"/>
              <w:bottom w:val="single" w:sz="4" w:space="0" w:color="auto"/>
              <w:right w:val="single" w:sz="4" w:space="0" w:color="auto"/>
            </w:tcBorders>
          </w:tcPr>
          <w:p w14:paraId="439C7526"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207,387.1</w:t>
            </w:r>
          </w:p>
        </w:tc>
        <w:tc>
          <w:tcPr>
            <w:tcW w:w="2718" w:type="dxa"/>
            <w:tcBorders>
              <w:top w:val="single" w:sz="4" w:space="0" w:color="auto"/>
              <w:left w:val="single" w:sz="4" w:space="0" w:color="auto"/>
              <w:bottom w:val="single" w:sz="4" w:space="0" w:color="auto"/>
              <w:right w:val="single" w:sz="4" w:space="0" w:color="auto"/>
            </w:tcBorders>
          </w:tcPr>
          <w:p w14:paraId="6446FB09"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206,318.9</w:t>
            </w:r>
          </w:p>
        </w:tc>
      </w:tr>
      <w:tr w:rsidR="007518E4" w:rsidRPr="00DB0467" w14:paraId="67B54AB0" w14:textId="77777777" w:rsidTr="008B2A6D">
        <w:tc>
          <w:tcPr>
            <w:tcW w:w="4500" w:type="dxa"/>
            <w:tcBorders>
              <w:top w:val="single" w:sz="4" w:space="0" w:color="auto"/>
              <w:left w:val="single" w:sz="4" w:space="0" w:color="auto"/>
              <w:bottom w:val="single" w:sz="4" w:space="0" w:color="auto"/>
              <w:right w:val="single" w:sz="4" w:space="0" w:color="auto"/>
            </w:tcBorders>
          </w:tcPr>
          <w:p w14:paraId="736B171E"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Total revenue FY2015/16</w:t>
            </w:r>
            <w:r w:rsidRPr="00DB0467">
              <w:rPr>
                <w:rStyle w:val="FootnoteReference"/>
                <w:rFonts w:ascii="Times New Roman" w:hAnsi="Times New Roman"/>
                <w:b/>
                <w:color w:val="000000"/>
                <w:szCs w:val="22"/>
              </w:rPr>
              <w:footnoteReference w:id="42"/>
            </w:r>
          </w:p>
        </w:tc>
        <w:tc>
          <w:tcPr>
            <w:tcW w:w="1800" w:type="dxa"/>
            <w:tcBorders>
              <w:top w:val="single" w:sz="4" w:space="0" w:color="auto"/>
              <w:left w:val="single" w:sz="4" w:space="0" w:color="auto"/>
              <w:bottom w:val="single" w:sz="4" w:space="0" w:color="auto"/>
              <w:right w:val="single" w:sz="4" w:space="0" w:color="auto"/>
            </w:tcBorders>
          </w:tcPr>
          <w:p w14:paraId="6E62C32C"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20,367,047</w:t>
            </w:r>
          </w:p>
        </w:tc>
        <w:tc>
          <w:tcPr>
            <w:tcW w:w="2718" w:type="dxa"/>
            <w:tcBorders>
              <w:top w:val="single" w:sz="4" w:space="0" w:color="auto"/>
              <w:left w:val="single" w:sz="4" w:space="0" w:color="auto"/>
              <w:bottom w:val="single" w:sz="4" w:space="0" w:color="auto"/>
              <w:right w:val="single" w:sz="4" w:space="0" w:color="auto"/>
            </w:tcBorders>
          </w:tcPr>
          <w:p w14:paraId="5DE650C4" w14:textId="77777777" w:rsidR="007518E4" w:rsidRPr="00DB0467" w:rsidRDefault="007518E4" w:rsidP="008B2A6D">
            <w:pPr>
              <w:spacing w:before="0"/>
              <w:ind w:left="0"/>
              <w:jc w:val="center"/>
              <w:rPr>
                <w:rFonts w:ascii="Times New Roman" w:hAnsi="Times New Roman"/>
              </w:rPr>
            </w:pPr>
          </w:p>
        </w:tc>
      </w:tr>
      <w:tr w:rsidR="007518E4" w:rsidRPr="00DB0467" w14:paraId="7C6ADFCB" w14:textId="77777777" w:rsidTr="008B2A6D">
        <w:tc>
          <w:tcPr>
            <w:tcW w:w="4500" w:type="dxa"/>
            <w:tcBorders>
              <w:top w:val="single" w:sz="4" w:space="0" w:color="auto"/>
              <w:left w:val="single" w:sz="4" w:space="0" w:color="auto"/>
              <w:bottom w:val="single" w:sz="4" w:space="0" w:color="auto"/>
              <w:right w:val="single" w:sz="4" w:space="0" w:color="auto"/>
            </w:tcBorders>
            <w:shd w:val="clear" w:color="auto" w:fill="auto"/>
          </w:tcPr>
          <w:p w14:paraId="30FF39D3" w14:textId="77777777" w:rsidR="007518E4" w:rsidRPr="00DB0467" w:rsidRDefault="007518E4" w:rsidP="008B2A6D">
            <w:pPr>
              <w:spacing w:before="0"/>
              <w:ind w:left="0"/>
              <w:rPr>
                <w:rFonts w:ascii="Times New Roman" w:hAnsi="Times New Roman"/>
              </w:rPr>
            </w:pPr>
            <w:r w:rsidRPr="00DB0467">
              <w:rPr>
                <w:rFonts w:ascii="Times New Roman" w:hAnsi="Times New Roman"/>
                <w:szCs w:val="22"/>
              </w:rPr>
              <w:t>Arrears as % of total revenue collected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A5A1F1B"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1%</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7E682546" w14:textId="77777777" w:rsidR="007518E4" w:rsidRPr="00DB0467" w:rsidRDefault="007518E4" w:rsidP="008B2A6D">
            <w:pPr>
              <w:spacing w:before="0"/>
              <w:ind w:left="0"/>
              <w:jc w:val="center"/>
              <w:rPr>
                <w:rFonts w:ascii="Times New Roman" w:hAnsi="Times New Roman"/>
              </w:rPr>
            </w:pPr>
            <w:r w:rsidRPr="00DB0467">
              <w:rPr>
                <w:rFonts w:ascii="Times New Roman" w:hAnsi="Times New Roman"/>
                <w:szCs w:val="22"/>
              </w:rPr>
              <w:t>99%</w:t>
            </w:r>
          </w:p>
        </w:tc>
      </w:tr>
    </w:tbl>
    <w:p w14:paraId="2B186835" w14:textId="77777777" w:rsidR="007518E4" w:rsidRPr="008B2A6D" w:rsidRDefault="007518E4" w:rsidP="007518E4">
      <w:pPr>
        <w:spacing w:before="0"/>
        <w:rPr>
          <w:rFonts w:ascii="Times New Roman" w:eastAsia="ヒラギノ角ゴ Pro W3" w:hAnsi="Times New Roman"/>
          <w:color w:val="000000"/>
          <w:sz w:val="20"/>
          <w:szCs w:val="20"/>
          <w:lang w:eastAsia="en-IN"/>
        </w:rPr>
      </w:pPr>
      <w:r w:rsidRPr="008B2A6D">
        <w:rPr>
          <w:rFonts w:ascii="Times New Roman" w:eastAsia="ヒラギノ角ゴ Pro W3" w:hAnsi="Times New Roman"/>
          <w:color w:val="000000"/>
          <w:sz w:val="20"/>
          <w:szCs w:val="20"/>
          <w:lang w:eastAsia="en-IN"/>
        </w:rPr>
        <w:t>Source: PFD data received in December 2018</w:t>
      </w:r>
    </w:p>
    <w:p w14:paraId="62627DA9" w14:textId="77777777" w:rsidR="007518E4" w:rsidRPr="00EB3763"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b/>
          <w:color w:val="000000"/>
          <w:sz w:val="24"/>
        </w:rPr>
      </w:pPr>
      <w:r w:rsidRPr="008B2A6D">
        <w:rPr>
          <w:rFonts w:ascii="Times New Roman" w:eastAsia="Calibri" w:hAnsi="Times New Roman"/>
          <w:b/>
          <w:color w:val="000000"/>
          <w:sz w:val="24"/>
        </w:rPr>
        <w:t xml:space="preserve">Article 71 of the Tax Law </w:t>
      </w:r>
      <w:r w:rsidR="008B2A6D">
        <w:rPr>
          <w:rFonts w:ascii="Times New Roman" w:eastAsia="Calibri" w:hAnsi="Times New Roman"/>
          <w:b/>
          <w:color w:val="000000"/>
          <w:sz w:val="24"/>
        </w:rPr>
        <w:t>covers t</w:t>
      </w:r>
      <w:r w:rsidRPr="008B2A6D">
        <w:rPr>
          <w:rFonts w:ascii="Times New Roman" w:eastAsia="Calibri" w:hAnsi="Times New Roman"/>
          <w:b/>
          <w:color w:val="000000"/>
          <w:sz w:val="24"/>
        </w:rPr>
        <w:t>he Writing-</w:t>
      </w:r>
      <w:r w:rsidR="008B2A6D">
        <w:rPr>
          <w:rFonts w:ascii="Times New Roman" w:eastAsia="Calibri" w:hAnsi="Times New Roman"/>
          <w:b/>
          <w:color w:val="000000"/>
          <w:sz w:val="24"/>
        </w:rPr>
        <w:t xml:space="preserve">Off of </w:t>
      </w:r>
      <w:r w:rsidRPr="008B2A6D">
        <w:rPr>
          <w:rFonts w:ascii="Times New Roman" w:eastAsia="Calibri" w:hAnsi="Times New Roman"/>
          <w:b/>
          <w:color w:val="000000"/>
          <w:sz w:val="24"/>
        </w:rPr>
        <w:t>Uncollectable Tax</w:t>
      </w:r>
      <w:r w:rsidR="00DB0467">
        <w:rPr>
          <w:rFonts w:ascii="Times New Roman" w:eastAsia="Calibri" w:hAnsi="Times New Roman"/>
          <w:color w:val="000000"/>
          <w:sz w:val="24"/>
        </w:rPr>
        <w:t>.</w:t>
      </w:r>
      <w:r w:rsidR="008B2A6D" w:rsidRPr="008B2A6D">
        <w:rPr>
          <w:rFonts w:ascii="Times New Roman" w:eastAsia="Calibri" w:hAnsi="Times New Roman"/>
          <w:color w:val="000000"/>
          <w:sz w:val="24"/>
        </w:rPr>
        <w:t xml:space="preserve"> It</w:t>
      </w:r>
      <w:r w:rsidRPr="00EB3763">
        <w:rPr>
          <w:rFonts w:ascii="Times New Roman" w:eastAsia="Calibri" w:hAnsi="Times New Roman"/>
          <w:color w:val="000000"/>
          <w:sz w:val="24"/>
        </w:rPr>
        <w:t xml:space="preserve"> stipulates that: “If the taxpayer has been disappeared or died without any remaining assets, [the tax administration] shall coordinate with local administration and other relevant sectors to find a consensus before reporting to the Minister of Finance for consideration to issue a decision on writing</w:t>
      </w:r>
      <w:r>
        <w:rPr>
          <w:rFonts w:ascii="Times New Roman" w:eastAsia="Calibri" w:hAnsi="Times New Roman"/>
          <w:color w:val="000000"/>
          <w:sz w:val="24"/>
        </w:rPr>
        <w:t>-</w:t>
      </w:r>
      <w:r w:rsidRPr="00EB3763">
        <w:rPr>
          <w:rFonts w:ascii="Times New Roman" w:hAnsi="Times New Roman"/>
          <w:sz w:val="24"/>
          <w:lang w:val="en-MY"/>
        </w:rPr>
        <w:t xml:space="preserve">off such taxes.”  </w:t>
      </w:r>
    </w:p>
    <w:p w14:paraId="777BB660" w14:textId="77777777" w:rsidR="007518E4" w:rsidRPr="00EB3763"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b/>
          <w:color w:val="000000"/>
          <w:sz w:val="24"/>
        </w:rPr>
      </w:pPr>
      <w:r w:rsidRPr="008B2A6D">
        <w:rPr>
          <w:rFonts w:ascii="Times New Roman" w:eastAsia="Calibri" w:hAnsi="Times New Roman"/>
          <w:b/>
          <w:color w:val="000000"/>
          <w:sz w:val="24"/>
          <w:lang w:val="en-MY"/>
        </w:rPr>
        <w:t>However, t</w:t>
      </w:r>
      <w:r w:rsidRPr="008B2A6D">
        <w:rPr>
          <w:rFonts w:ascii="Times New Roman" w:eastAsia="Calibri" w:hAnsi="Times New Roman"/>
          <w:b/>
          <w:color w:val="000000"/>
          <w:sz w:val="24"/>
        </w:rPr>
        <w:t>here is at present no clear definition of collectability or any criteria for write-off by the TD</w:t>
      </w:r>
      <w:r w:rsidRPr="00EB3763">
        <w:rPr>
          <w:rFonts w:ascii="Times New Roman" w:eastAsia="Calibri" w:hAnsi="Times New Roman"/>
          <w:color w:val="000000"/>
          <w:sz w:val="24"/>
        </w:rPr>
        <w:t>. The amount of tax debts which are more than 12 months old and still outstanding as at December 2018 is estimated as 99 percent of the recorded tax debts, with more than half of those arrears were for the fiscal year 2014/15 and 2015/2016. It mainly corresponds to the identification of outstanding debts and settlement of debt with construction companies, but no detailed information was available on the activities undertaken to collect or balance these outstanding amounts against the repayment of state debts.</w:t>
      </w:r>
    </w:p>
    <w:p w14:paraId="601075FC" w14:textId="77777777" w:rsidR="007518E4" w:rsidRDefault="007518E4" w:rsidP="008037D9">
      <w:pPr>
        <w:pStyle w:val="ListParagraph"/>
        <w:numPr>
          <w:ilvl w:val="0"/>
          <w:numId w:val="80"/>
        </w:numPr>
        <w:tabs>
          <w:tab w:val="clear" w:pos="1288"/>
          <w:tab w:val="num" w:pos="720"/>
        </w:tabs>
        <w:autoSpaceDE w:val="0"/>
        <w:autoSpaceDN w:val="0"/>
        <w:adjustRightInd w:val="0"/>
        <w:spacing w:after="240"/>
        <w:ind w:left="0"/>
        <w:contextualSpacing w:val="0"/>
        <w:rPr>
          <w:rFonts w:ascii="Times New Roman" w:hAnsi="Times New Roman"/>
          <w:color w:val="000000"/>
          <w:sz w:val="24"/>
        </w:rPr>
      </w:pPr>
      <w:r w:rsidRPr="008B2A6D">
        <w:rPr>
          <w:rFonts w:ascii="Times New Roman" w:hAnsi="Times New Roman"/>
          <w:b/>
          <w:color w:val="000000"/>
          <w:sz w:val="24"/>
        </w:rPr>
        <w:t>The total stock of revenue arrears as of December 2018 was 1% of the total revenue collection, and 99 percent has been outstanding for more than 12 months</w:t>
      </w:r>
      <w:r w:rsidRPr="00EB3763">
        <w:rPr>
          <w:rFonts w:ascii="Times New Roman" w:hAnsi="Times New Roman"/>
          <w:color w:val="000000"/>
          <w:sz w:val="24"/>
        </w:rPr>
        <w:t>: Score D.</w:t>
      </w:r>
    </w:p>
    <w:p w14:paraId="728B4126" w14:textId="77777777" w:rsidR="007518E4" w:rsidRPr="00511DED" w:rsidRDefault="007518E4" w:rsidP="008037D9">
      <w:pPr>
        <w:pStyle w:val="ListParagraph"/>
        <w:numPr>
          <w:ilvl w:val="0"/>
          <w:numId w:val="80"/>
        </w:numPr>
        <w:tabs>
          <w:tab w:val="clear" w:pos="1288"/>
          <w:tab w:val="num" w:pos="720"/>
        </w:tabs>
        <w:spacing w:after="240"/>
        <w:ind w:left="0"/>
        <w:contextualSpacing w:val="0"/>
        <w:rPr>
          <w:rFonts w:ascii="Times New Roman" w:eastAsia="ヒラギノ角ゴ Pro W3" w:hAnsi="Times New Roman"/>
          <w:b/>
          <w:color w:val="000000"/>
          <w:sz w:val="24"/>
          <w:lang w:eastAsia="en-IN"/>
        </w:rPr>
      </w:pPr>
      <w:r w:rsidRPr="008B2A6D">
        <w:rPr>
          <w:rFonts w:ascii="Times New Roman" w:hAnsi="Times New Roman"/>
          <w:b/>
          <w:sz w:val="24"/>
        </w:rPr>
        <w:t>Over the past year with IMF assistance, the TD developed a Development Plan for Tax Administration (DPTA).</w:t>
      </w:r>
      <w:r w:rsidRPr="00511DED">
        <w:rPr>
          <w:rFonts w:ascii="Times New Roman" w:hAnsi="Times New Roman"/>
          <w:sz w:val="24"/>
        </w:rPr>
        <w:t xml:space="preserve"> The DPTA is aimed at improving revenues through strengthening the legislative framework, strengthening compliance, improving the use of technology and building staff and institutional capacity. Action plans were developed to support the eleven objectives contained in the DPTA. At the same time the TD is embarking on its reform efforts, the government has requested IMF assistance in developing an MTRS for </w:t>
      </w:r>
      <w:r w:rsidRPr="00511DED">
        <w:rPr>
          <w:rFonts w:ascii="Times New Roman" w:hAnsi="Times New Roman"/>
          <w:sz w:val="24"/>
        </w:rPr>
        <w:lastRenderedPageBreak/>
        <w:t xml:space="preserve">the 2021-2025 planning period. Reform is underway </w:t>
      </w:r>
      <w:proofErr w:type="gramStart"/>
      <w:r w:rsidRPr="00511DED">
        <w:rPr>
          <w:rFonts w:ascii="Times New Roman" w:hAnsi="Times New Roman"/>
          <w:sz w:val="24"/>
        </w:rPr>
        <w:t>in the area of</w:t>
      </w:r>
      <w:proofErr w:type="gramEnd"/>
      <w:r w:rsidRPr="00511DED">
        <w:rPr>
          <w:rFonts w:ascii="Times New Roman" w:hAnsi="Times New Roman"/>
          <w:sz w:val="24"/>
        </w:rPr>
        <w:t xml:space="preserve"> legislative amendments to reflect desired policy changes, as well as tax and customs administration improvements. The government has requested the MTRS be completed by March 2019 to allow time for MoF approval prior to undertaking broader stakeholder consultation on the MTRS and to inform the development of the 9th National Socio-Economic Development Plan (NSEDP) 2021-2025, which will be submitted to the National Assembly in 2020. A technical assistance (TA) program has been approved to support elements of the reform plan. Approval has been received from the Government of Japan to continue assistance. </w:t>
      </w:r>
    </w:p>
    <w:p w14:paraId="634F51A1" w14:textId="77777777" w:rsidR="007518E4" w:rsidRPr="00511DED" w:rsidRDefault="007518E4" w:rsidP="008037D9">
      <w:pPr>
        <w:pStyle w:val="ListParagraph"/>
        <w:numPr>
          <w:ilvl w:val="0"/>
          <w:numId w:val="80"/>
        </w:numPr>
        <w:tabs>
          <w:tab w:val="clear" w:pos="1288"/>
          <w:tab w:val="num" w:pos="720"/>
        </w:tabs>
        <w:spacing w:after="240"/>
        <w:ind w:left="0"/>
        <w:contextualSpacing w:val="0"/>
        <w:rPr>
          <w:rFonts w:ascii="Times New Roman" w:eastAsia="ヒラギノ角ゴ Pro W3" w:hAnsi="Times New Roman"/>
          <w:b/>
          <w:color w:val="000000"/>
          <w:sz w:val="24"/>
          <w:lang w:eastAsia="en-IN"/>
        </w:rPr>
      </w:pPr>
      <w:r w:rsidRPr="008B2A6D">
        <w:rPr>
          <w:rFonts w:ascii="Times New Roman" w:hAnsi="Times New Roman"/>
          <w:b/>
          <w:sz w:val="24"/>
        </w:rPr>
        <w:t xml:space="preserve">The </w:t>
      </w:r>
      <w:proofErr w:type="spellStart"/>
      <w:r w:rsidRPr="008B2A6D">
        <w:rPr>
          <w:rFonts w:ascii="Times New Roman" w:hAnsi="Times New Roman"/>
          <w:b/>
          <w:sz w:val="24"/>
        </w:rPr>
        <w:t>TaxRIS</w:t>
      </w:r>
      <w:proofErr w:type="spellEnd"/>
      <w:r w:rsidRPr="008B2A6D">
        <w:rPr>
          <w:rFonts w:ascii="Times New Roman" w:hAnsi="Times New Roman"/>
          <w:b/>
          <w:sz w:val="24"/>
        </w:rPr>
        <w:t>, an integrated Tax Administration System has recently been launched with support from the Korean government in November 2018</w:t>
      </w:r>
      <w:r w:rsidR="00DB0467">
        <w:rPr>
          <w:rFonts w:ascii="Times New Roman" w:hAnsi="Times New Roman"/>
          <w:sz w:val="24"/>
        </w:rPr>
        <w:t xml:space="preserve">. </w:t>
      </w:r>
      <w:r w:rsidR="008B2A6D">
        <w:rPr>
          <w:rFonts w:ascii="Times New Roman" w:hAnsi="Times New Roman"/>
          <w:sz w:val="24"/>
        </w:rPr>
        <w:t xml:space="preserve">It has </w:t>
      </w:r>
      <w:r w:rsidRPr="00511DED">
        <w:rPr>
          <w:rFonts w:ascii="Times New Roman" w:hAnsi="Times New Roman"/>
          <w:sz w:val="24"/>
        </w:rPr>
        <w:t>the goal to integrate all components of the tax administration at central and provincial level into one covering taxpa</w:t>
      </w:r>
      <w:r>
        <w:rPr>
          <w:rFonts w:ascii="Times New Roman" w:hAnsi="Times New Roman"/>
          <w:sz w:val="24"/>
        </w:rPr>
        <w:t>yer information, tax filing,</w:t>
      </w:r>
      <w:r w:rsidRPr="00781005">
        <w:rPr>
          <w:rFonts w:ascii="Times New Roman" w:hAnsi="Times New Roman"/>
          <w:sz w:val="24"/>
        </w:rPr>
        <w:t xml:space="preserve"> </w:t>
      </w:r>
      <w:r w:rsidRPr="009B68FD">
        <w:rPr>
          <w:rFonts w:ascii="Times New Roman" w:hAnsi="Times New Roman"/>
          <w:sz w:val="24"/>
        </w:rPr>
        <w:t>tax collection, tax audit, assessment data and taxpayer services.</w:t>
      </w:r>
    </w:p>
    <w:p w14:paraId="74FB6D05" w14:textId="77777777" w:rsidR="007518E4" w:rsidRDefault="007518E4" w:rsidP="002C0FBC">
      <w:pPr>
        <w:pStyle w:val="Heading3"/>
        <w:spacing w:after="240"/>
        <w:ind w:left="0"/>
        <w:rPr>
          <w:rFonts w:ascii="Times New Roman" w:eastAsia="Calibri" w:hAnsi="Times New Roman"/>
          <w:b w:val="0"/>
          <w:bCs w:val="0"/>
          <w:color w:val="84C346"/>
          <w:spacing w:val="-1"/>
          <w:szCs w:val="28"/>
        </w:rPr>
      </w:pPr>
      <w:bookmarkStart w:id="83" w:name="_Toc518901805"/>
      <w:bookmarkStart w:id="84" w:name="_Toc4149000"/>
      <w:r w:rsidRPr="00FE6ED4">
        <w:rPr>
          <w:rFonts w:ascii="Times New Roman" w:eastAsia="Calibri" w:hAnsi="Times New Roman"/>
          <w:color w:val="84C346"/>
          <w:spacing w:val="-1"/>
          <w:szCs w:val="28"/>
        </w:rPr>
        <w:t xml:space="preserve">PI-20. Accounting for </w:t>
      </w:r>
      <w:r>
        <w:rPr>
          <w:rFonts w:ascii="Times New Roman" w:eastAsia="Calibri" w:hAnsi="Times New Roman"/>
          <w:color w:val="84C346"/>
          <w:spacing w:val="-1"/>
          <w:szCs w:val="28"/>
        </w:rPr>
        <w:t>r</w:t>
      </w:r>
      <w:r w:rsidRPr="00FE6ED4">
        <w:rPr>
          <w:rFonts w:ascii="Times New Roman" w:eastAsia="Calibri" w:hAnsi="Times New Roman"/>
          <w:color w:val="84C346"/>
          <w:spacing w:val="-1"/>
          <w:szCs w:val="28"/>
        </w:rPr>
        <w:t>evenue</w:t>
      </w:r>
      <w:bookmarkEnd w:id="83"/>
      <w:bookmarkEnd w:id="84"/>
    </w:p>
    <w:p w14:paraId="6C92495B" w14:textId="77777777" w:rsidR="007518E4" w:rsidRPr="00BA505F" w:rsidRDefault="007518E4" w:rsidP="008037D9">
      <w:pPr>
        <w:pStyle w:val="ListParagraph"/>
        <w:numPr>
          <w:ilvl w:val="0"/>
          <w:numId w:val="81"/>
        </w:numPr>
        <w:spacing w:after="240"/>
        <w:contextualSpacing w:val="0"/>
        <w:rPr>
          <w:rFonts w:ascii="Times New Roman" w:hAnsi="Times New Roman"/>
          <w:sz w:val="24"/>
          <w:szCs w:val="21"/>
        </w:rPr>
      </w:pPr>
      <w:r w:rsidRPr="002C0FBC">
        <w:rPr>
          <w:rFonts w:ascii="Times New Roman" w:eastAsia="Calibri" w:hAnsi="Times New Roman"/>
          <w:b/>
          <w:sz w:val="24"/>
          <w:szCs w:val="21"/>
        </w:rPr>
        <w:t>This indicator assesses the procedures for recording and reporting revenue collections, consolidating revenues collected, and reconciling the tax revenue accounts.</w:t>
      </w:r>
      <w:r w:rsidRPr="00BA505F">
        <w:rPr>
          <w:rFonts w:ascii="Times New Roman" w:eastAsia="Calibri" w:hAnsi="Times New Roman"/>
          <w:sz w:val="24"/>
          <w:szCs w:val="21"/>
        </w:rPr>
        <w:t xml:space="preserve"> It covers both tax revenues and non-tax revenues collected by the central government</w:t>
      </w:r>
      <w:r w:rsidRPr="00BA505F">
        <w:rPr>
          <w:rFonts w:ascii="Times New Roman" w:hAnsi="Times New Roman"/>
          <w:sz w:val="24"/>
          <w:szCs w:val="21"/>
        </w:rPr>
        <w:t>.  The assessment period is at time of the assessment.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1187"/>
        <w:gridCol w:w="5017"/>
      </w:tblGrid>
      <w:tr w:rsidR="007518E4" w:rsidRPr="004A7D27" w14:paraId="4C4F34F5" w14:textId="77777777" w:rsidTr="007518E4">
        <w:trPr>
          <w:trHeight w:val="397"/>
          <w:jc w:val="center"/>
        </w:trPr>
        <w:tc>
          <w:tcPr>
            <w:tcW w:w="1560" w:type="pct"/>
            <w:shd w:val="clear" w:color="auto" w:fill="D9D9D9"/>
            <w:vAlign w:val="center"/>
          </w:tcPr>
          <w:p w14:paraId="431521AB" w14:textId="77777777" w:rsidR="007518E4" w:rsidRPr="00BA505F" w:rsidRDefault="007518E4" w:rsidP="00DB0467">
            <w:pPr>
              <w:spacing w:before="0"/>
              <w:ind w:hanging="539"/>
              <w:jc w:val="center"/>
              <w:rPr>
                <w:rFonts w:ascii="Times New Roman" w:hAnsi="Times New Roman"/>
              </w:rPr>
            </w:pPr>
            <w:r w:rsidRPr="00BA505F">
              <w:rPr>
                <w:rFonts w:ascii="Times New Roman" w:hAnsi="Times New Roman"/>
              </w:rPr>
              <w:t>Indicator/Dimension</w:t>
            </w:r>
          </w:p>
        </w:tc>
        <w:tc>
          <w:tcPr>
            <w:tcW w:w="658" w:type="pct"/>
            <w:shd w:val="clear" w:color="auto" w:fill="D9D9D9"/>
            <w:vAlign w:val="center"/>
          </w:tcPr>
          <w:p w14:paraId="1CB96F78" w14:textId="77777777" w:rsidR="007518E4" w:rsidRPr="00BA505F" w:rsidRDefault="007518E4" w:rsidP="002C0FBC">
            <w:pPr>
              <w:spacing w:before="0"/>
              <w:ind w:left="0"/>
              <w:jc w:val="center"/>
              <w:rPr>
                <w:rFonts w:ascii="Times New Roman" w:hAnsi="Times New Roman"/>
              </w:rPr>
            </w:pPr>
            <w:r w:rsidRPr="00BA505F">
              <w:rPr>
                <w:rFonts w:ascii="Times New Roman" w:hAnsi="Times New Roman"/>
              </w:rPr>
              <w:t>Score</w:t>
            </w:r>
          </w:p>
        </w:tc>
        <w:tc>
          <w:tcPr>
            <w:tcW w:w="2782" w:type="pct"/>
            <w:shd w:val="clear" w:color="auto" w:fill="D9D9D9"/>
            <w:vAlign w:val="center"/>
          </w:tcPr>
          <w:p w14:paraId="10F619FA" w14:textId="77777777" w:rsidR="007518E4" w:rsidRPr="00BA505F" w:rsidRDefault="007518E4" w:rsidP="00DB0467">
            <w:pPr>
              <w:spacing w:before="0"/>
              <w:ind w:hanging="539"/>
              <w:jc w:val="center"/>
              <w:rPr>
                <w:rFonts w:ascii="Times New Roman" w:hAnsi="Times New Roman"/>
              </w:rPr>
            </w:pPr>
            <w:r w:rsidRPr="00BA505F">
              <w:rPr>
                <w:rFonts w:ascii="Times New Roman" w:hAnsi="Times New Roman"/>
              </w:rPr>
              <w:t>Brief Explanation</w:t>
            </w:r>
          </w:p>
        </w:tc>
      </w:tr>
      <w:tr w:rsidR="007518E4" w:rsidRPr="004A7D27" w14:paraId="6C4A76D2" w14:textId="77777777" w:rsidTr="007518E4">
        <w:trPr>
          <w:trHeight w:val="647"/>
          <w:jc w:val="center"/>
        </w:trPr>
        <w:tc>
          <w:tcPr>
            <w:tcW w:w="1560" w:type="pct"/>
            <w:vAlign w:val="center"/>
          </w:tcPr>
          <w:p w14:paraId="15AF6A22" w14:textId="77777777" w:rsidR="007518E4" w:rsidRPr="00BA505F" w:rsidRDefault="007518E4" w:rsidP="00DB0467">
            <w:pPr>
              <w:spacing w:before="0"/>
              <w:ind w:left="0"/>
              <w:jc w:val="left"/>
              <w:rPr>
                <w:rFonts w:ascii="Times New Roman" w:hAnsi="Times New Roman"/>
              </w:rPr>
            </w:pPr>
            <w:r w:rsidRPr="00BA505F">
              <w:rPr>
                <w:rFonts w:ascii="Times New Roman" w:hAnsi="Times New Roman"/>
                <w:bCs/>
              </w:rPr>
              <w:t xml:space="preserve">PI-20 Accounting for revenues </w:t>
            </w:r>
          </w:p>
        </w:tc>
        <w:tc>
          <w:tcPr>
            <w:tcW w:w="658" w:type="pct"/>
            <w:vAlign w:val="center"/>
          </w:tcPr>
          <w:p w14:paraId="058746A3" w14:textId="77777777" w:rsidR="007518E4" w:rsidRPr="00BA505F" w:rsidRDefault="00D43145" w:rsidP="002C0FBC">
            <w:pPr>
              <w:spacing w:before="0"/>
              <w:ind w:left="0"/>
              <w:jc w:val="center"/>
              <w:rPr>
                <w:rFonts w:ascii="Times New Roman" w:hAnsi="Times New Roman"/>
              </w:rPr>
            </w:pPr>
            <w:r>
              <w:rPr>
                <w:rFonts w:ascii="Times New Roman" w:hAnsi="Times New Roman"/>
              </w:rPr>
              <w:t>B</w:t>
            </w:r>
          </w:p>
        </w:tc>
        <w:tc>
          <w:tcPr>
            <w:tcW w:w="2782" w:type="pct"/>
            <w:vAlign w:val="center"/>
          </w:tcPr>
          <w:p w14:paraId="31AD9C1B" w14:textId="77777777" w:rsidR="007518E4" w:rsidRPr="00BA505F" w:rsidRDefault="007518E4" w:rsidP="002C0FBC">
            <w:pPr>
              <w:spacing w:before="0"/>
              <w:ind w:left="0"/>
              <w:rPr>
                <w:rFonts w:ascii="Times New Roman" w:hAnsi="Times New Roman"/>
              </w:rPr>
            </w:pPr>
            <w:r w:rsidRPr="00BA505F">
              <w:rPr>
                <w:rFonts w:ascii="Times New Roman" w:hAnsi="Times New Roman"/>
              </w:rPr>
              <w:t>Dimensions combined by Method M1 (weakest link).</w:t>
            </w:r>
          </w:p>
        </w:tc>
      </w:tr>
      <w:tr w:rsidR="007518E4" w:rsidRPr="004A7D27" w14:paraId="5CA4B2FD" w14:textId="77777777" w:rsidTr="007518E4">
        <w:trPr>
          <w:trHeight w:val="647"/>
          <w:jc w:val="center"/>
        </w:trPr>
        <w:tc>
          <w:tcPr>
            <w:tcW w:w="1560" w:type="pct"/>
            <w:vAlign w:val="center"/>
          </w:tcPr>
          <w:p w14:paraId="7FBD4D46" w14:textId="77777777" w:rsidR="007518E4" w:rsidRPr="00BA505F" w:rsidRDefault="007518E4" w:rsidP="00DB0467">
            <w:pPr>
              <w:spacing w:before="0"/>
              <w:ind w:left="0"/>
              <w:jc w:val="left"/>
              <w:rPr>
                <w:rFonts w:ascii="Times New Roman" w:hAnsi="Times New Roman"/>
                <w:color w:val="000000"/>
              </w:rPr>
            </w:pPr>
            <w:r w:rsidRPr="00BA505F">
              <w:rPr>
                <w:rFonts w:ascii="Times New Roman" w:hAnsi="Times New Roman"/>
                <w:color w:val="000000"/>
              </w:rPr>
              <w:t>20.1 Information on revenue collections</w:t>
            </w:r>
          </w:p>
        </w:tc>
        <w:tc>
          <w:tcPr>
            <w:tcW w:w="658" w:type="pct"/>
            <w:vAlign w:val="center"/>
          </w:tcPr>
          <w:p w14:paraId="1C4A615B" w14:textId="77777777" w:rsidR="007518E4" w:rsidRPr="00BA505F" w:rsidRDefault="007518E4" w:rsidP="002C0FBC">
            <w:pPr>
              <w:spacing w:before="0"/>
              <w:ind w:left="0"/>
              <w:jc w:val="center"/>
              <w:rPr>
                <w:rFonts w:ascii="Times New Roman" w:hAnsi="Times New Roman"/>
              </w:rPr>
            </w:pPr>
            <w:r w:rsidRPr="00BA505F">
              <w:rPr>
                <w:rFonts w:ascii="Times New Roman" w:hAnsi="Times New Roman"/>
              </w:rPr>
              <w:t>B</w:t>
            </w:r>
          </w:p>
        </w:tc>
        <w:tc>
          <w:tcPr>
            <w:tcW w:w="2782" w:type="pct"/>
            <w:vAlign w:val="center"/>
          </w:tcPr>
          <w:p w14:paraId="6C859B53" w14:textId="77777777" w:rsidR="007518E4" w:rsidRPr="00BA505F" w:rsidRDefault="007518E4" w:rsidP="002C0FBC">
            <w:pPr>
              <w:spacing w:before="0"/>
              <w:ind w:left="0"/>
              <w:rPr>
                <w:rFonts w:ascii="Times New Roman" w:hAnsi="Times New Roman"/>
                <w:lang w:eastAsia="en-IN"/>
              </w:rPr>
            </w:pPr>
            <w:r w:rsidRPr="00BA505F">
              <w:rPr>
                <w:rFonts w:ascii="Times New Roman" w:hAnsi="Times New Roman"/>
                <w:lang w:eastAsia="en-IN"/>
              </w:rPr>
              <w:t xml:space="preserve">Monthly consolidated reports on all of the central government revenues are prepared by the </w:t>
            </w:r>
            <w:r>
              <w:rPr>
                <w:rFonts w:ascii="Times New Roman" w:hAnsi="Times New Roman"/>
                <w:lang w:eastAsia="en-IN"/>
              </w:rPr>
              <w:t>Treasury Department</w:t>
            </w:r>
            <w:r w:rsidRPr="00BA505F">
              <w:rPr>
                <w:rFonts w:ascii="Times New Roman" w:hAnsi="Times New Roman"/>
                <w:lang w:eastAsia="en-IN"/>
              </w:rPr>
              <w:t xml:space="preserve"> showing revenue breakdown by </w:t>
            </w:r>
            <w:proofErr w:type="gramStart"/>
            <w:r w:rsidRPr="00BA505F">
              <w:rPr>
                <w:rFonts w:ascii="Times New Roman" w:hAnsi="Times New Roman"/>
                <w:lang w:eastAsia="en-IN"/>
              </w:rPr>
              <w:t>type, and</w:t>
            </w:r>
            <w:proofErr w:type="gramEnd"/>
            <w:r w:rsidRPr="00BA505F">
              <w:rPr>
                <w:rFonts w:ascii="Times New Roman" w:hAnsi="Times New Roman"/>
                <w:lang w:eastAsia="en-IN"/>
              </w:rPr>
              <w:t xml:space="preserve"> submitted to MoF.</w:t>
            </w:r>
          </w:p>
        </w:tc>
      </w:tr>
      <w:tr w:rsidR="007518E4" w:rsidRPr="004A7D27" w14:paraId="6D9FF582" w14:textId="77777777" w:rsidTr="007518E4">
        <w:trPr>
          <w:trHeight w:val="548"/>
          <w:jc w:val="center"/>
        </w:trPr>
        <w:tc>
          <w:tcPr>
            <w:tcW w:w="1560" w:type="pct"/>
            <w:vAlign w:val="center"/>
          </w:tcPr>
          <w:p w14:paraId="35738D38" w14:textId="77777777" w:rsidR="007518E4" w:rsidRPr="00BA505F" w:rsidRDefault="007518E4" w:rsidP="00DB0467">
            <w:pPr>
              <w:spacing w:before="0"/>
              <w:ind w:left="0"/>
              <w:jc w:val="left"/>
              <w:rPr>
                <w:rFonts w:ascii="Times New Roman" w:hAnsi="Times New Roman"/>
                <w:color w:val="000000"/>
              </w:rPr>
            </w:pPr>
            <w:r w:rsidRPr="00BA505F">
              <w:rPr>
                <w:rFonts w:ascii="Times New Roman" w:hAnsi="Times New Roman"/>
                <w:color w:val="000000"/>
              </w:rPr>
              <w:t>20.2 Transfer of revenue collections</w:t>
            </w:r>
          </w:p>
        </w:tc>
        <w:tc>
          <w:tcPr>
            <w:tcW w:w="658" w:type="pct"/>
            <w:vAlign w:val="center"/>
          </w:tcPr>
          <w:p w14:paraId="2CFD7A1B" w14:textId="77777777" w:rsidR="007518E4" w:rsidRPr="00BA505F" w:rsidRDefault="00D43145" w:rsidP="002C0FBC">
            <w:pPr>
              <w:spacing w:before="0"/>
              <w:ind w:left="0"/>
              <w:jc w:val="center"/>
              <w:rPr>
                <w:rFonts w:ascii="Times New Roman" w:hAnsi="Times New Roman"/>
              </w:rPr>
            </w:pPr>
            <w:r>
              <w:rPr>
                <w:rFonts w:ascii="Times New Roman" w:hAnsi="Times New Roman"/>
              </w:rPr>
              <w:t>A</w:t>
            </w:r>
          </w:p>
        </w:tc>
        <w:tc>
          <w:tcPr>
            <w:tcW w:w="2782" w:type="pct"/>
            <w:vAlign w:val="center"/>
          </w:tcPr>
          <w:p w14:paraId="134232B5" w14:textId="77777777" w:rsidR="007518E4" w:rsidRPr="00BA505F" w:rsidRDefault="007518E4" w:rsidP="002C0FBC">
            <w:pPr>
              <w:spacing w:before="0"/>
              <w:ind w:left="0"/>
              <w:rPr>
                <w:rFonts w:ascii="Times New Roman" w:hAnsi="Times New Roman"/>
                <w:lang w:eastAsia="en-IN"/>
              </w:rPr>
            </w:pPr>
            <w:r w:rsidRPr="00BA505F">
              <w:rPr>
                <w:rFonts w:ascii="Times New Roman" w:hAnsi="Times New Roman"/>
                <w:lang w:eastAsia="en-IN"/>
              </w:rPr>
              <w:t xml:space="preserve">Revenue collections for more than 75% of total revenue are transferred </w:t>
            </w:r>
            <w:r w:rsidR="00815608">
              <w:rPr>
                <w:rFonts w:ascii="Times New Roman" w:hAnsi="Times New Roman"/>
                <w:lang w:eastAsia="en-IN"/>
              </w:rPr>
              <w:t>daily (f</w:t>
            </w:r>
            <w:r w:rsidR="002C33F6">
              <w:rPr>
                <w:rFonts w:ascii="Times New Roman" w:hAnsi="Times New Roman"/>
                <w:lang w:eastAsia="en-IN"/>
              </w:rPr>
              <w:t xml:space="preserve">rom </w:t>
            </w:r>
            <w:r w:rsidR="00815608">
              <w:rPr>
                <w:rFonts w:ascii="Times New Roman" w:hAnsi="Times New Roman"/>
                <w:lang w:eastAsia="en-IN"/>
              </w:rPr>
              <w:t>Tax and Customs departments</w:t>
            </w:r>
            <w:r w:rsidR="00D43145">
              <w:rPr>
                <w:rFonts w:ascii="Times New Roman" w:hAnsi="Times New Roman"/>
                <w:lang w:eastAsia="en-IN"/>
              </w:rPr>
              <w:t>,</w:t>
            </w:r>
            <w:r w:rsidR="00C30762">
              <w:rPr>
                <w:rFonts w:ascii="Times New Roman" w:hAnsi="Times New Roman"/>
                <w:lang w:eastAsia="en-IN"/>
              </w:rPr>
              <w:t xml:space="preserve"> </w:t>
            </w:r>
            <w:r w:rsidR="002C33F6">
              <w:rPr>
                <w:rFonts w:ascii="Times New Roman" w:hAnsi="Times New Roman"/>
                <w:lang w:eastAsia="en-IN"/>
              </w:rPr>
              <w:t xml:space="preserve">SOE and other revenue collecting </w:t>
            </w:r>
            <w:r w:rsidR="00D43145">
              <w:rPr>
                <w:rFonts w:ascii="Times New Roman" w:hAnsi="Times New Roman"/>
                <w:lang w:eastAsia="en-IN"/>
              </w:rPr>
              <w:t xml:space="preserve">departments </w:t>
            </w:r>
            <w:r w:rsidR="002C33F6">
              <w:rPr>
                <w:rFonts w:ascii="Times New Roman" w:hAnsi="Times New Roman"/>
                <w:lang w:eastAsia="en-IN"/>
              </w:rPr>
              <w:t xml:space="preserve">into </w:t>
            </w:r>
            <w:r w:rsidR="00815608">
              <w:rPr>
                <w:rFonts w:ascii="Times New Roman" w:hAnsi="Times New Roman"/>
                <w:lang w:eastAsia="en-IN"/>
              </w:rPr>
              <w:t>the Treasury</w:t>
            </w:r>
            <w:r w:rsidR="00C30762">
              <w:rPr>
                <w:rFonts w:ascii="Times New Roman" w:hAnsi="Times New Roman"/>
                <w:lang w:eastAsia="en-IN"/>
              </w:rPr>
              <w:t xml:space="preserve"> </w:t>
            </w:r>
            <w:r w:rsidRPr="00BA505F">
              <w:rPr>
                <w:rFonts w:ascii="Times New Roman" w:hAnsi="Times New Roman"/>
                <w:lang w:eastAsia="en-IN"/>
              </w:rPr>
              <w:t>Accounts</w:t>
            </w:r>
            <w:r w:rsidR="00D43145">
              <w:rPr>
                <w:rFonts w:ascii="Times New Roman" w:hAnsi="Times New Roman"/>
                <w:lang w:eastAsia="en-IN"/>
              </w:rPr>
              <w:t xml:space="preserve"> with commercial banks</w:t>
            </w:r>
          </w:p>
        </w:tc>
      </w:tr>
      <w:tr w:rsidR="007518E4" w:rsidRPr="004A7D27" w14:paraId="0F448BC1" w14:textId="77777777" w:rsidTr="007518E4">
        <w:trPr>
          <w:trHeight w:val="530"/>
          <w:jc w:val="center"/>
        </w:trPr>
        <w:tc>
          <w:tcPr>
            <w:tcW w:w="1560" w:type="pct"/>
            <w:vAlign w:val="center"/>
          </w:tcPr>
          <w:p w14:paraId="2C9A7F6D" w14:textId="77777777" w:rsidR="007518E4" w:rsidRPr="00BA505F" w:rsidRDefault="007518E4" w:rsidP="00DB0467">
            <w:pPr>
              <w:spacing w:before="0"/>
              <w:ind w:left="0"/>
              <w:jc w:val="left"/>
              <w:rPr>
                <w:rFonts w:ascii="Times New Roman" w:hAnsi="Times New Roman"/>
                <w:color w:val="000000"/>
              </w:rPr>
            </w:pPr>
            <w:r w:rsidRPr="00BA505F">
              <w:rPr>
                <w:rFonts w:ascii="Times New Roman" w:hAnsi="Times New Roman"/>
                <w:color w:val="000000"/>
              </w:rPr>
              <w:t>20.3 Revenue accounts reconciliation</w:t>
            </w:r>
          </w:p>
        </w:tc>
        <w:tc>
          <w:tcPr>
            <w:tcW w:w="658" w:type="pct"/>
            <w:vAlign w:val="center"/>
          </w:tcPr>
          <w:p w14:paraId="3E175489" w14:textId="77777777" w:rsidR="007518E4" w:rsidRPr="00BA505F" w:rsidRDefault="007518E4" w:rsidP="002C0FBC">
            <w:pPr>
              <w:spacing w:before="0"/>
              <w:ind w:left="0"/>
              <w:jc w:val="center"/>
              <w:rPr>
                <w:rFonts w:ascii="Times New Roman" w:hAnsi="Times New Roman"/>
              </w:rPr>
            </w:pPr>
            <w:r>
              <w:rPr>
                <w:rFonts w:ascii="Times New Roman" w:hAnsi="Times New Roman"/>
              </w:rPr>
              <w:t>C</w:t>
            </w:r>
          </w:p>
        </w:tc>
        <w:tc>
          <w:tcPr>
            <w:tcW w:w="2782" w:type="pct"/>
            <w:vAlign w:val="center"/>
          </w:tcPr>
          <w:p w14:paraId="2012E0BE" w14:textId="77777777" w:rsidR="007518E4" w:rsidRPr="00BA505F" w:rsidRDefault="007518E4" w:rsidP="002C0FBC">
            <w:pPr>
              <w:spacing w:before="0"/>
              <w:ind w:left="0"/>
              <w:rPr>
                <w:rFonts w:ascii="Times New Roman" w:eastAsia="ヒラギノ角ゴ Pro W3" w:hAnsi="Times New Roman"/>
                <w:color w:val="000000"/>
                <w:lang w:eastAsia="en-IN"/>
              </w:rPr>
            </w:pPr>
            <w:r w:rsidRPr="00FB4FEE">
              <w:rPr>
                <w:rFonts w:ascii="Times New Roman" w:hAnsi="Times New Roman"/>
                <w:lang w:eastAsia="en-IN"/>
              </w:rPr>
              <w:t>At the central level, the reconciliation process is done for assessments</w:t>
            </w:r>
            <w:r w:rsidR="002C33F6">
              <w:rPr>
                <w:rFonts w:ascii="Times New Roman" w:hAnsi="Times New Roman"/>
                <w:lang w:eastAsia="en-IN"/>
              </w:rPr>
              <w:t>/charges</w:t>
            </w:r>
            <w:r w:rsidRPr="00FB4FEE">
              <w:rPr>
                <w:rFonts w:ascii="Times New Roman" w:hAnsi="Times New Roman"/>
                <w:lang w:eastAsia="en-IN"/>
              </w:rPr>
              <w:t xml:space="preserve">, collections, arrears and transfers to the Treasury </w:t>
            </w:r>
            <w:proofErr w:type="gramStart"/>
            <w:r w:rsidRPr="00FB4FEE">
              <w:rPr>
                <w:rFonts w:ascii="Times New Roman" w:hAnsi="Times New Roman"/>
                <w:lang w:eastAsia="en-IN"/>
              </w:rPr>
              <w:t>on a monthly basis</w:t>
            </w:r>
            <w:proofErr w:type="gramEnd"/>
            <w:r w:rsidRPr="00FB4FEE">
              <w:rPr>
                <w:rFonts w:ascii="Times New Roman" w:hAnsi="Times New Roman"/>
                <w:lang w:eastAsia="en-IN"/>
              </w:rPr>
              <w:t>, and corresponding monthly reports are prepared. However</w:t>
            </w:r>
            <w:r w:rsidR="00921730">
              <w:rPr>
                <w:rFonts w:ascii="Times New Roman" w:hAnsi="Times New Roman"/>
                <w:lang w:eastAsia="en-IN"/>
              </w:rPr>
              <w:t>,</w:t>
            </w:r>
            <w:r w:rsidRPr="00FB4FEE">
              <w:rPr>
                <w:rFonts w:ascii="Times New Roman" w:hAnsi="Times New Roman"/>
                <w:lang w:eastAsia="en-IN"/>
              </w:rPr>
              <w:t xml:space="preserve"> the information on reconciliation is limited by the lack of integration of the data systems and manual processes involved in the recording and reporting of the revenue transactions</w:t>
            </w:r>
            <w:r w:rsidR="002C33F6">
              <w:rPr>
                <w:rFonts w:ascii="Times New Roman" w:hAnsi="Times New Roman"/>
                <w:lang w:eastAsia="en-IN"/>
              </w:rPr>
              <w:t xml:space="preserve"> for revenues outside the Tax and Customs departments and</w:t>
            </w:r>
            <w:r w:rsidRPr="00FB4FEE">
              <w:rPr>
                <w:rFonts w:ascii="Times New Roman" w:hAnsi="Times New Roman"/>
                <w:lang w:eastAsia="en-IN"/>
              </w:rPr>
              <w:t xml:space="preserve"> at the provincial level, although the amounts processed at that</w:t>
            </w:r>
            <w:r w:rsidR="002C33F6">
              <w:rPr>
                <w:rFonts w:ascii="Times New Roman" w:hAnsi="Times New Roman"/>
                <w:lang w:eastAsia="en-IN"/>
              </w:rPr>
              <w:t xml:space="preserve"> latter</w:t>
            </w:r>
            <w:r w:rsidRPr="00FB4FEE">
              <w:rPr>
                <w:rFonts w:ascii="Times New Roman" w:hAnsi="Times New Roman"/>
                <w:lang w:eastAsia="en-IN"/>
              </w:rPr>
              <w:t xml:space="preserve"> level </w:t>
            </w:r>
            <w:r w:rsidR="002C33F6">
              <w:rPr>
                <w:rFonts w:ascii="Times New Roman" w:hAnsi="Times New Roman"/>
                <w:lang w:eastAsia="en-IN"/>
              </w:rPr>
              <w:t>are</w:t>
            </w:r>
            <w:r w:rsidRPr="00FB4FEE">
              <w:rPr>
                <w:rFonts w:ascii="Times New Roman" w:hAnsi="Times New Roman"/>
                <w:lang w:eastAsia="en-IN"/>
              </w:rPr>
              <w:t xml:space="preserve"> assessed as </w:t>
            </w:r>
            <w:r>
              <w:rPr>
                <w:rFonts w:ascii="Times New Roman" w:hAnsi="Times New Roman"/>
                <w:lang w:eastAsia="en-IN"/>
              </w:rPr>
              <w:t>less</w:t>
            </w:r>
            <w:r w:rsidRPr="00FB4FEE">
              <w:rPr>
                <w:rFonts w:ascii="Times New Roman" w:hAnsi="Times New Roman"/>
                <w:lang w:eastAsia="en-IN"/>
              </w:rPr>
              <w:t xml:space="preserve"> significant</w:t>
            </w:r>
            <w:r>
              <w:rPr>
                <w:rFonts w:ascii="Times New Roman" w:hAnsi="Times New Roman"/>
                <w:lang w:eastAsia="en-IN"/>
              </w:rPr>
              <w:t>.</w:t>
            </w:r>
          </w:p>
        </w:tc>
      </w:tr>
    </w:tbl>
    <w:p w14:paraId="53B21D77" w14:textId="77777777" w:rsidR="007518E4" w:rsidRPr="003533D6" w:rsidRDefault="007518E4" w:rsidP="002C0FBC">
      <w:pPr>
        <w:spacing w:after="240"/>
        <w:ind w:left="0"/>
        <w:rPr>
          <w:rFonts w:ascii="Times New Roman Bold" w:hAnsi="Times New Roman Bold"/>
          <w:b/>
          <w:color w:val="92D050"/>
          <w:spacing w:val="-1"/>
          <w:sz w:val="24"/>
        </w:rPr>
      </w:pPr>
      <w:r w:rsidRPr="003533D6">
        <w:rPr>
          <w:rFonts w:ascii="Times New Roman Bold" w:hAnsi="Times New Roman Bold"/>
          <w:b/>
          <w:color w:val="92D050"/>
          <w:spacing w:val="-1"/>
          <w:sz w:val="24"/>
        </w:rPr>
        <w:t xml:space="preserve">20.1 Information on </w:t>
      </w:r>
      <w:r>
        <w:rPr>
          <w:rFonts w:ascii="Times New Roman Bold" w:hAnsi="Times New Roman Bold"/>
          <w:b/>
          <w:color w:val="92D050"/>
          <w:spacing w:val="-1"/>
          <w:sz w:val="24"/>
        </w:rPr>
        <w:t>r</w:t>
      </w:r>
      <w:r w:rsidRPr="003533D6">
        <w:rPr>
          <w:rFonts w:ascii="Times New Roman Bold" w:hAnsi="Times New Roman Bold"/>
          <w:b/>
          <w:color w:val="92D050"/>
          <w:spacing w:val="-1"/>
          <w:sz w:val="24"/>
        </w:rPr>
        <w:t xml:space="preserve">evenue </w:t>
      </w:r>
      <w:r>
        <w:rPr>
          <w:rFonts w:ascii="Times New Roman Bold" w:hAnsi="Times New Roman Bold"/>
          <w:b/>
          <w:color w:val="92D050"/>
          <w:spacing w:val="-1"/>
          <w:sz w:val="24"/>
        </w:rPr>
        <w:t>c</w:t>
      </w:r>
      <w:r w:rsidRPr="003533D6">
        <w:rPr>
          <w:rFonts w:ascii="Times New Roman Bold" w:hAnsi="Times New Roman Bold"/>
          <w:b/>
          <w:color w:val="92D050"/>
          <w:spacing w:val="-1"/>
          <w:sz w:val="24"/>
        </w:rPr>
        <w:t>ollections</w:t>
      </w:r>
    </w:p>
    <w:p w14:paraId="73213A77" w14:textId="77777777" w:rsidR="007518E4" w:rsidRPr="00CA6294" w:rsidRDefault="007518E4" w:rsidP="008037D9">
      <w:pPr>
        <w:pStyle w:val="Default"/>
        <w:numPr>
          <w:ilvl w:val="0"/>
          <w:numId w:val="81"/>
        </w:numPr>
        <w:rPr>
          <w:rFonts w:ascii="Times New Roman" w:hAnsi="Times New Roman" w:cs="Times New Roman"/>
          <w:iCs/>
        </w:rPr>
      </w:pPr>
      <w:r w:rsidRPr="002C0FBC">
        <w:rPr>
          <w:rFonts w:ascii="Times New Roman" w:hAnsi="Times New Roman" w:cs="Times New Roman"/>
          <w:b/>
          <w:iCs/>
        </w:rPr>
        <w:t xml:space="preserve">In line with the 2017 Decision on Organization and Operations of the National Treasury, the Treasury Department </w:t>
      </w:r>
      <w:r w:rsidR="002C0FBC" w:rsidRPr="002C0FBC">
        <w:rPr>
          <w:rFonts w:ascii="Times New Roman" w:hAnsi="Times New Roman" w:cs="Times New Roman"/>
          <w:b/>
          <w:iCs/>
        </w:rPr>
        <w:t xml:space="preserve">is responsible for centralizing and monitoring the </w:t>
      </w:r>
      <w:r w:rsidR="002C0FBC" w:rsidRPr="002C0FBC">
        <w:rPr>
          <w:rFonts w:ascii="Times New Roman" w:hAnsi="Times New Roman" w:cs="Times New Roman"/>
          <w:b/>
          <w:iCs/>
        </w:rPr>
        <w:lastRenderedPageBreak/>
        <w:t>collection and deposit of all domestic tax and non-tax revenue</w:t>
      </w:r>
      <w:r w:rsidR="00DB0467">
        <w:rPr>
          <w:rFonts w:ascii="Times New Roman" w:hAnsi="Times New Roman" w:cs="Times New Roman"/>
          <w:iCs/>
        </w:rPr>
        <w:t xml:space="preserve">. </w:t>
      </w:r>
      <w:r w:rsidR="002C0FBC">
        <w:rPr>
          <w:rFonts w:ascii="Times New Roman" w:hAnsi="Times New Roman" w:cs="Times New Roman"/>
          <w:iCs/>
        </w:rPr>
        <w:t xml:space="preserve">This is carried out by </w:t>
      </w:r>
      <w:r w:rsidRPr="00CA6294">
        <w:rPr>
          <w:rFonts w:ascii="Times New Roman" w:hAnsi="Times New Roman" w:cs="Times New Roman"/>
          <w:iCs/>
        </w:rPr>
        <w:t>its three divisions namely, the Treasury’s Operations division, Accounting Unit, Planning and Cash management division</w:t>
      </w:r>
      <w:r w:rsidR="00921730">
        <w:rPr>
          <w:rFonts w:ascii="Times New Roman" w:hAnsi="Times New Roman" w:cs="Times New Roman"/>
          <w:iCs/>
        </w:rPr>
        <w:t xml:space="preserve">. </w:t>
      </w:r>
      <w:r w:rsidRPr="00CA6294">
        <w:rPr>
          <w:rFonts w:ascii="Times New Roman" w:hAnsi="Times New Roman" w:cs="Times New Roman"/>
          <w:iCs/>
        </w:rPr>
        <w:t xml:space="preserve">At central government level, domestic revenue collection covers the revenue from the main collecting agencies, Tax, Customs, SOE and State Assets Management departments, all centralized under MOF. It also consolidates the revenue from provinces and technical revenue from the line ministries. </w:t>
      </w:r>
    </w:p>
    <w:p w14:paraId="5CCCD812" w14:textId="77777777" w:rsidR="007518E4" w:rsidRPr="00CA6294" w:rsidRDefault="007518E4" w:rsidP="008037D9">
      <w:pPr>
        <w:pStyle w:val="Default"/>
        <w:numPr>
          <w:ilvl w:val="0"/>
          <w:numId w:val="81"/>
        </w:numPr>
        <w:rPr>
          <w:rFonts w:ascii="Times New Roman" w:hAnsi="Times New Roman" w:cs="Times New Roman"/>
          <w:iCs/>
        </w:rPr>
      </w:pPr>
      <w:r w:rsidRPr="002C0FBC">
        <w:rPr>
          <w:rFonts w:ascii="Times New Roman" w:hAnsi="Times New Roman" w:cs="Times New Roman"/>
          <w:b/>
          <w:iCs/>
        </w:rPr>
        <w:t>The Treasury Department collects revenue data from various sources</w:t>
      </w:r>
      <w:r w:rsidR="00DB0467">
        <w:rPr>
          <w:rFonts w:ascii="Times New Roman" w:hAnsi="Times New Roman" w:cs="Times New Roman"/>
          <w:iCs/>
        </w:rPr>
        <w:t xml:space="preserve">. </w:t>
      </w:r>
      <w:r w:rsidR="002C0FBC" w:rsidRPr="002C0FBC">
        <w:rPr>
          <w:rFonts w:ascii="Times New Roman" w:hAnsi="Times New Roman" w:cs="Times New Roman"/>
          <w:iCs/>
        </w:rPr>
        <w:t>S</w:t>
      </w:r>
      <w:r w:rsidRPr="00CA6294">
        <w:rPr>
          <w:rFonts w:ascii="Times New Roman" w:hAnsi="Times New Roman" w:cs="Times New Roman"/>
          <w:iCs/>
        </w:rPr>
        <w:t xml:space="preserve">everal systems provide support to the revenue management processes, either automatically through interface links and web services or manually, as follows: </w:t>
      </w:r>
    </w:p>
    <w:p w14:paraId="398A19A9" w14:textId="77777777" w:rsidR="007518E4" w:rsidRPr="00CA6294" w:rsidRDefault="007518E4" w:rsidP="00DB0467">
      <w:pPr>
        <w:pStyle w:val="ListParagraph"/>
        <w:numPr>
          <w:ilvl w:val="0"/>
          <w:numId w:val="63"/>
        </w:numPr>
        <w:autoSpaceDE w:val="0"/>
        <w:autoSpaceDN w:val="0"/>
        <w:adjustRightInd w:val="0"/>
        <w:spacing w:before="0" w:after="120"/>
        <w:contextualSpacing w:val="0"/>
        <w:rPr>
          <w:rFonts w:ascii="Times New Roman" w:hAnsi="Times New Roman"/>
          <w:iCs/>
          <w:color w:val="000000"/>
          <w:sz w:val="24"/>
        </w:rPr>
      </w:pPr>
      <w:r w:rsidRPr="00CA6294">
        <w:rPr>
          <w:rFonts w:ascii="Times New Roman" w:hAnsi="Times New Roman"/>
          <w:iCs/>
          <w:color w:val="000000"/>
          <w:sz w:val="24"/>
        </w:rPr>
        <w:t>the Customs department provide information in real time through an interface link with the ASYCUDA module used for Customs duties management and has been implemented at 24 border crossings,</w:t>
      </w:r>
    </w:p>
    <w:p w14:paraId="02072A30" w14:textId="77777777" w:rsidR="007518E4" w:rsidRPr="00CA6294" w:rsidRDefault="007518E4" w:rsidP="00DB0467">
      <w:pPr>
        <w:pStyle w:val="ListParagraph"/>
        <w:numPr>
          <w:ilvl w:val="0"/>
          <w:numId w:val="63"/>
        </w:numPr>
        <w:autoSpaceDE w:val="0"/>
        <w:autoSpaceDN w:val="0"/>
        <w:adjustRightInd w:val="0"/>
        <w:spacing w:before="0" w:after="120"/>
        <w:contextualSpacing w:val="0"/>
        <w:rPr>
          <w:rFonts w:ascii="Times New Roman" w:hAnsi="Times New Roman"/>
          <w:iCs/>
          <w:color w:val="000000"/>
          <w:sz w:val="24"/>
        </w:rPr>
      </w:pPr>
      <w:r w:rsidRPr="00CA6294">
        <w:rPr>
          <w:rFonts w:ascii="Times New Roman" w:hAnsi="Times New Roman"/>
          <w:iCs/>
          <w:color w:val="000000"/>
          <w:sz w:val="24"/>
        </w:rPr>
        <w:t xml:space="preserve">the Tax Department have been using several systems, the Lao Tax Information System (LAOTIS), the Tax Management Information System (TMIS) interfaced with GFIS and parts of </w:t>
      </w:r>
      <w:proofErr w:type="spellStart"/>
      <w:r w:rsidRPr="00CA6294">
        <w:rPr>
          <w:rFonts w:ascii="Times New Roman" w:hAnsi="Times New Roman"/>
          <w:iCs/>
          <w:color w:val="000000"/>
          <w:sz w:val="24"/>
        </w:rPr>
        <w:t>GENTax</w:t>
      </w:r>
      <w:proofErr w:type="spellEnd"/>
      <w:r w:rsidRPr="00CA6294">
        <w:rPr>
          <w:rFonts w:ascii="Times New Roman" w:hAnsi="Times New Roman"/>
          <w:iCs/>
          <w:color w:val="000000"/>
          <w:sz w:val="24"/>
        </w:rPr>
        <w:t xml:space="preserve"> (tax collection module) that had been acquired in 2016. The recently launched </w:t>
      </w:r>
      <w:proofErr w:type="spellStart"/>
      <w:r w:rsidRPr="00CA6294">
        <w:rPr>
          <w:rFonts w:ascii="Times New Roman" w:hAnsi="Times New Roman"/>
          <w:iCs/>
          <w:color w:val="000000"/>
          <w:sz w:val="24"/>
        </w:rPr>
        <w:t>TaxRIS</w:t>
      </w:r>
      <w:proofErr w:type="spellEnd"/>
      <w:r w:rsidRPr="00CA6294">
        <w:rPr>
          <w:rFonts w:ascii="Times New Roman" w:hAnsi="Times New Roman"/>
          <w:iCs/>
          <w:color w:val="000000"/>
          <w:sz w:val="24"/>
        </w:rPr>
        <w:t>, a new integrated TAX system based on a Korean software, is piloting a filing and payment modules and is intended to replace all other systems.</w:t>
      </w:r>
    </w:p>
    <w:p w14:paraId="67EA12FB" w14:textId="77777777" w:rsidR="007518E4" w:rsidRPr="00BA505F" w:rsidRDefault="007518E4" w:rsidP="00DB0467">
      <w:pPr>
        <w:pStyle w:val="ListParagraph"/>
        <w:numPr>
          <w:ilvl w:val="0"/>
          <w:numId w:val="63"/>
        </w:numPr>
        <w:autoSpaceDE w:val="0"/>
        <w:autoSpaceDN w:val="0"/>
        <w:adjustRightInd w:val="0"/>
        <w:spacing w:before="0" w:after="120"/>
        <w:contextualSpacing w:val="0"/>
        <w:rPr>
          <w:rFonts w:ascii="Times New Roman" w:hAnsi="Times New Roman"/>
          <w:iCs/>
          <w:color w:val="000000"/>
          <w:sz w:val="24"/>
        </w:rPr>
      </w:pPr>
      <w:r w:rsidRPr="00BA505F">
        <w:rPr>
          <w:rFonts w:ascii="Times New Roman" w:hAnsi="Times New Roman"/>
          <w:iCs/>
          <w:color w:val="000000"/>
          <w:sz w:val="24"/>
        </w:rPr>
        <w:t>th</w:t>
      </w:r>
      <w:r w:rsidR="00A213B1">
        <w:rPr>
          <w:rFonts w:ascii="Times New Roman" w:hAnsi="Times New Roman"/>
          <w:iCs/>
          <w:color w:val="000000"/>
          <w:sz w:val="24"/>
        </w:rPr>
        <w:t>e State Assets Management and SO</w:t>
      </w:r>
      <w:r w:rsidRPr="00BA505F">
        <w:rPr>
          <w:rFonts w:ascii="Times New Roman" w:hAnsi="Times New Roman"/>
          <w:iCs/>
          <w:color w:val="000000"/>
          <w:sz w:val="24"/>
        </w:rPr>
        <w:t xml:space="preserve">E departments have no systems interfaced with the GFIS and send their reports manually to </w:t>
      </w:r>
      <w:r>
        <w:rPr>
          <w:rFonts w:ascii="Times New Roman" w:hAnsi="Times New Roman"/>
          <w:iCs/>
          <w:color w:val="000000"/>
          <w:sz w:val="24"/>
        </w:rPr>
        <w:t xml:space="preserve">the Treasury Department </w:t>
      </w:r>
      <w:r w:rsidRPr="00BA505F">
        <w:rPr>
          <w:rFonts w:ascii="Times New Roman" w:hAnsi="Times New Roman"/>
          <w:iCs/>
          <w:color w:val="000000"/>
          <w:sz w:val="24"/>
        </w:rPr>
        <w:t xml:space="preserve">on a weekly basis. </w:t>
      </w:r>
    </w:p>
    <w:p w14:paraId="19E71316" w14:textId="77777777" w:rsidR="007518E4" w:rsidRPr="00BA505F" w:rsidRDefault="007518E4" w:rsidP="00DB0467">
      <w:pPr>
        <w:pStyle w:val="ListParagraph"/>
        <w:numPr>
          <w:ilvl w:val="0"/>
          <w:numId w:val="63"/>
        </w:numPr>
        <w:autoSpaceDE w:val="0"/>
        <w:autoSpaceDN w:val="0"/>
        <w:adjustRightInd w:val="0"/>
        <w:spacing w:before="0" w:after="120"/>
        <w:contextualSpacing w:val="0"/>
        <w:rPr>
          <w:rFonts w:ascii="Times New Roman" w:hAnsi="Times New Roman"/>
          <w:iCs/>
          <w:color w:val="000000"/>
          <w:sz w:val="24"/>
        </w:rPr>
      </w:pPr>
      <w:r w:rsidRPr="00BA505F">
        <w:rPr>
          <w:rFonts w:ascii="Times New Roman" w:hAnsi="Times New Roman"/>
          <w:iCs/>
          <w:color w:val="000000"/>
          <w:sz w:val="24"/>
        </w:rPr>
        <w:t xml:space="preserve">line ministries also generate own technical revenue, revenue from extra-budgetary funds, and Donor funds. Since 2016, as most extra-budgetary funds have been consolidated into the State Budget, their accounts have been transferred to the Central Bank of Lao or if funds are still received on commercial banks, they are also automatically transferred to BoL and </w:t>
      </w:r>
      <w:proofErr w:type="gramStart"/>
      <w:r w:rsidRPr="00BA505F">
        <w:rPr>
          <w:rFonts w:ascii="Times New Roman" w:hAnsi="Times New Roman"/>
          <w:iCs/>
          <w:color w:val="000000"/>
          <w:sz w:val="24"/>
        </w:rPr>
        <w:t>have to</w:t>
      </w:r>
      <w:proofErr w:type="gramEnd"/>
      <w:r w:rsidRPr="00BA505F">
        <w:rPr>
          <w:rFonts w:ascii="Times New Roman" w:hAnsi="Times New Roman"/>
          <w:iCs/>
          <w:color w:val="000000"/>
          <w:sz w:val="24"/>
        </w:rPr>
        <w:t xml:space="preserve"> be channeled and transactions recorded through Treasury before payments can be authorized. Revenue data is available from the commercial banks on a weekly basis.</w:t>
      </w:r>
    </w:p>
    <w:p w14:paraId="50D3ECB0" w14:textId="77777777" w:rsidR="007518E4" w:rsidRPr="00BA505F" w:rsidRDefault="007518E4" w:rsidP="00DB0467">
      <w:pPr>
        <w:pStyle w:val="ListParagraph"/>
        <w:numPr>
          <w:ilvl w:val="0"/>
          <w:numId w:val="63"/>
        </w:numPr>
        <w:autoSpaceDE w:val="0"/>
        <w:autoSpaceDN w:val="0"/>
        <w:adjustRightInd w:val="0"/>
        <w:spacing w:before="0" w:after="120"/>
        <w:ind w:left="714" w:hanging="357"/>
        <w:contextualSpacing w:val="0"/>
        <w:rPr>
          <w:rFonts w:ascii="Times New Roman" w:hAnsi="Times New Roman"/>
          <w:iCs/>
          <w:color w:val="000000"/>
          <w:sz w:val="24"/>
        </w:rPr>
      </w:pPr>
      <w:r w:rsidRPr="00BA505F">
        <w:rPr>
          <w:rFonts w:ascii="Times New Roman" w:hAnsi="Times New Roman"/>
          <w:iCs/>
          <w:sz w:val="24"/>
        </w:rPr>
        <w:t xml:space="preserve">provinces have accounts with commercial banks and information on revenue collected for the central government and cash balances are available to </w:t>
      </w:r>
      <w:r>
        <w:rPr>
          <w:rFonts w:ascii="Times New Roman" w:hAnsi="Times New Roman"/>
          <w:iCs/>
          <w:sz w:val="24"/>
        </w:rPr>
        <w:t>Treasury Department</w:t>
      </w:r>
      <w:r w:rsidRPr="00BA505F">
        <w:rPr>
          <w:rFonts w:ascii="Times New Roman" w:hAnsi="Times New Roman"/>
          <w:iCs/>
          <w:sz w:val="24"/>
        </w:rPr>
        <w:t xml:space="preserve"> </w:t>
      </w:r>
      <w:proofErr w:type="gramStart"/>
      <w:r w:rsidRPr="00BA505F">
        <w:rPr>
          <w:rFonts w:ascii="Times New Roman" w:hAnsi="Times New Roman"/>
          <w:iCs/>
          <w:sz w:val="24"/>
        </w:rPr>
        <w:t>on a daily basis</w:t>
      </w:r>
      <w:proofErr w:type="gramEnd"/>
      <w:r w:rsidRPr="00BA505F">
        <w:rPr>
          <w:rFonts w:ascii="Times New Roman" w:hAnsi="Times New Roman"/>
          <w:iCs/>
          <w:sz w:val="24"/>
        </w:rPr>
        <w:t xml:space="preserve">, but districts revenue data has to be consolidated manually and is reported with delay, on a monthly basis. </w:t>
      </w:r>
      <w:r>
        <w:rPr>
          <w:rFonts w:ascii="Times New Roman" w:hAnsi="Times New Roman"/>
          <w:iCs/>
          <w:sz w:val="24"/>
        </w:rPr>
        <w:t xml:space="preserve">The reporting of </w:t>
      </w:r>
      <w:r w:rsidRPr="00BA505F">
        <w:rPr>
          <w:rFonts w:ascii="Times New Roman" w:hAnsi="Times New Roman"/>
          <w:iCs/>
          <w:sz w:val="24"/>
        </w:rPr>
        <w:t>district treasury offices at provincial level has significant</w:t>
      </w:r>
      <w:r>
        <w:rPr>
          <w:rFonts w:ascii="Times New Roman" w:hAnsi="Times New Roman"/>
          <w:iCs/>
          <w:sz w:val="24"/>
        </w:rPr>
        <w:t>ly improved but still relies on</w:t>
      </w:r>
      <w:r w:rsidRPr="00BA505F">
        <w:rPr>
          <w:rFonts w:ascii="Times New Roman" w:hAnsi="Times New Roman"/>
          <w:iCs/>
          <w:sz w:val="24"/>
        </w:rPr>
        <w:t xml:space="preserve"> Excel consolidation of reports and manual reconciliation. Consequently, data for some provinces is not always up-to-date for the past reporting period.</w:t>
      </w:r>
      <w:r w:rsidRPr="00BA505F">
        <w:rPr>
          <w:rFonts w:ascii="Times New Roman" w:hAnsi="Times New Roman"/>
          <w:color w:val="000000"/>
          <w:sz w:val="24"/>
          <w:lang w:val="en-MY"/>
        </w:rPr>
        <w:t xml:space="preserve"> </w:t>
      </w:r>
    </w:p>
    <w:p w14:paraId="6D2BF087" w14:textId="77777777" w:rsidR="007518E4" w:rsidRDefault="007518E4" w:rsidP="008037D9">
      <w:pPr>
        <w:pStyle w:val="ListParagraph"/>
        <w:numPr>
          <w:ilvl w:val="0"/>
          <w:numId w:val="81"/>
        </w:numPr>
        <w:autoSpaceDE w:val="0"/>
        <w:autoSpaceDN w:val="0"/>
        <w:adjustRightInd w:val="0"/>
        <w:spacing w:after="240"/>
        <w:contextualSpacing w:val="0"/>
        <w:rPr>
          <w:rFonts w:ascii="Times New Roman" w:hAnsi="Times New Roman"/>
          <w:iCs/>
          <w:color w:val="000000"/>
          <w:sz w:val="24"/>
        </w:rPr>
      </w:pPr>
      <w:r w:rsidRPr="002C0FBC">
        <w:rPr>
          <w:rFonts w:ascii="Times New Roman" w:hAnsi="Times New Roman"/>
          <w:b/>
          <w:iCs/>
          <w:color w:val="000000"/>
          <w:sz w:val="24"/>
        </w:rPr>
        <w:t>Based on this, the Treasury Department produces internal weekly reports based on the main collecting agencies’ reporting and partial reconciliation of accounts.</w:t>
      </w:r>
      <w:r w:rsidRPr="000E3812">
        <w:rPr>
          <w:rFonts w:ascii="Times New Roman" w:hAnsi="Times New Roman"/>
          <w:iCs/>
          <w:color w:val="000000"/>
          <w:sz w:val="24"/>
        </w:rPr>
        <w:t xml:space="preserve"> Monthly reports are produced with all available information manually reported and reconciled and by revenue type. Collection reports are also consolidated on a quarterly, six-monthly and annual basis and circulated to FPD and BD for fiscal and budget monitoring.</w:t>
      </w:r>
    </w:p>
    <w:p w14:paraId="49B76E04" w14:textId="77777777" w:rsidR="007518E4" w:rsidRDefault="007518E4" w:rsidP="008037D9">
      <w:pPr>
        <w:pStyle w:val="ListParagraph"/>
        <w:numPr>
          <w:ilvl w:val="0"/>
          <w:numId w:val="81"/>
        </w:numPr>
        <w:autoSpaceDE w:val="0"/>
        <w:autoSpaceDN w:val="0"/>
        <w:adjustRightInd w:val="0"/>
        <w:spacing w:after="240"/>
        <w:contextualSpacing w:val="0"/>
        <w:rPr>
          <w:rFonts w:ascii="Times New Roman" w:hAnsi="Times New Roman"/>
          <w:iCs/>
          <w:color w:val="000000"/>
          <w:sz w:val="24"/>
        </w:rPr>
      </w:pPr>
      <w:r w:rsidRPr="002C0FBC">
        <w:rPr>
          <w:rFonts w:ascii="Times New Roman" w:hAnsi="Times New Roman"/>
          <w:b/>
          <w:iCs/>
          <w:color w:val="000000"/>
          <w:sz w:val="24"/>
        </w:rPr>
        <w:t>The Treasury Department obtains revenue data from agencies collecting more than 75 percent of central government revenue and the Treasury Accounts division produces a monthly report available to MoF</w:t>
      </w:r>
      <w:r w:rsidR="002C0FBC">
        <w:rPr>
          <w:rFonts w:ascii="Times New Roman" w:hAnsi="Times New Roman"/>
          <w:b/>
          <w:iCs/>
          <w:color w:val="000000"/>
          <w:sz w:val="24"/>
        </w:rPr>
        <w:t>:</w:t>
      </w:r>
      <w:r w:rsidRPr="002C0FBC">
        <w:rPr>
          <w:rFonts w:ascii="Times New Roman" w:hAnsi="Times New Roman"/>
          <w:iCs/>
          <w:color w:val="000000"/>
          <w:sz w:val="24"/>
        </w:rPr>
        <w:t xml:space="preserve"> Score</w:t>
      </w:r>
      <w:r w:rsidRPr="000E3812">
        <w:rPr>
          <w:rFonts w:ascii="Times New Roman" w:hAnsi="Times New Roman"/>
          <w:iCs/>
          <w:color w:val="000000"/>
          <w:sz w:val="24"/>
        </w:rPr>
        <w:t xml:space="preserve"> B.</w:t>
      </w:r>
    </w:p>
    <w:p w14:paraId="1D047CC7" w14:textId="77777777" w:rsidR="007518E4" w:rsidRPr="007928E4" w:rsidRDefault="007518E4" w:rsidP="00ED6F7A">
      <w:pPr>
        <w:tabs>
          <w:tab w:val="num" w:pos="720"/>
          <w:tab w:val="num" w:pos="1146"/>
        </w:tabs>
        <w:spacing w:after="240"/>
        <w:ind w:left="0"/>
        <w:rPr>
          <w:rFonts w:ascii="Times New Roman" w:hAnsi="Times New Roman"/>
          <w:b/>
          <w:color w:val="92D050"/>
          <w:sz w:val="24"/>
          <w:szCs w:val="21"/>
        </w:rPr>
      </w:pPr>
      <w:r w:rsidRPr="007928E4">
        <w:rPr>
          <w:rFonts w:ascii="Times New Roman" w:hAnsi="Times New Roman"/>
          <w:b/>
          <w:color w:val="92D050"/>
          <w:sz w:val="24"/>
          <w:szCs w:val="21"/>
        </w:rPr>
        <w:t>20.2 Transfer of revenue collections</w:t>
      </w:r>
    </w:p>
    <w:p w14:paraId="5033924B" w14:textId="77777777" w:rsidR="007518E4" w:rsidRPr="00BA505F" w:rsidRDefault="007518E4" w:rsidP="008037D9">
      <w:pPr>
        <w:pStyle w:val="ListParagraph"/>
        <w:numPr>
          <w:ilvl w:val="0"/>
          <w:numId w:val="64"/>
        </w:numPr>
        <w:tabs>
          <w:tab w:val="left" w:pos="720"/>
          <w:tab w:val="left" w:pos="1288"/>
        </w:tabs>
        <w:spacing w:after="240"/>
        <w:ind w:left="0"/>
        <w:contextualSpacing w:val="0"/>
        <w:rPr>
          <w:rFonts w:ascii="Times New Roman" w:hAnsi="Times New Roman"/>
          <w:iCs/>
          <w:color w:val="000000"/>
          <w:sz w:val="24"/>
        </w:rPr>
      </w:pPr>
      <w:r w:rsidRPr="002C0FBC">
        <w:rPr>
          <w:rFonts w:ascii="Times New Roman" w:hAnsi="Times New Roman"/>
          <w:b/>
          <w:iCs/>
          <w:color w:val="000000"/>
          <w:sz w:val="24"/>
        </w:rPr>
        <w:lastRenderedPageBreak/>
        <w:t>The Treasury Department has made considerable progress on centralizing cash management towards the implementation of a Treasury Single Account (TSA).</w:t>
      </w:r>
      <w:r w:rsidRPr="00BA505F">
        <w:rPr>
          <w:rFonts w:ascii="Times New Roman" w:hAnsi="Times New Roman"/>
          <w:iCs/>
          <w:color w:val="000000"/>
          <w:sz w:val="24"/>
        </w:rPr>
        <w:t xml:space="preserve"> </w:t>
      </w:r>
      <w:r>
        <w:rPr>
          <w:rFonts w:ascii="Times New Roman" w:hAnsi="Times New Roman"/>
          <w:iCs/>
          <w:color w:val="000000"/>
          <w:sz w:val="24"/>
        </w:rPr>
        <w:t>Treasury Department</w:t>
      </w:r>
      <w:r w:rsidRPr="00BA505F">
        <w:rPr>
          <w:rFonts w:ascii="Times New Roman" w:hAnsi="Times New Roman"/>
          <w:iCs/>
          <w:color w:val="000000"/>
          <w:sz w:val="24"/>
        </w:rPr>
        <w:t xml:space="preserve"> maintains an account with the BoL into which internal transfers of revenue collected by central government agencies and commercial banks are made. Memorandum agreements have been signed with 4 commercial banks, private Lao Viet Bank and public Banque du Commerce </w:t>
      </w:r>
      <w:proofErr w:type="spellStart"/>
      <w:r w:rsidRPr="00BA505F">
        <w:rPr>
          <w:rFonts w:ascii="Times New Roman" w:hAnsi="Times New Roman"/>
          <w:iCs/>
          <w:color w:val="000000"/>
          <w:sz w:val="24"/>
        </w:rPr>
        <w:t>Exterieur</w:t>
      </w:r>
      <w:proofErr w:type="spellEnd"/>
      <w:r w:rsidRPr="00BA505F">
        <w:rPr>
          <w:rFonts w:ascii="Times New Roman" w:hAnsi="Times New Roman"/>
          <w:iCs/>
          <w:color w:val="000000"/>
          <w:sz w:val="24"/>
        </w:rPr>
        <w:t xml:space="preserve"> du Laos, Lao Development Bank and Agriculture Promotion Bank. </w:t>
      </w:r>
      <w:proofErr w:type="gramStart"/>
      <w:r w:rsidRPr="00BA505F">
        <w:rPr>
          <w:rFonts w:ascii="Times New Roman" w:hAnsi="Times New Roman"/>
          <w:iCs/>
          <w:color w:val="000000"/>
          <w:sz w:val="24"/>
        </w:rPr>
        <w:t>On a daily basis</w:t>
      </w:r>
      <w:proofErr w:type="gramEnd"/>
      <w:r w:rsidRPr="00BA505F">
        <w:rPr>
          <w:rFonts w:ascii="Times New Roman" w:hAnsi="Times New Roman"/>
          <w:iCs/>
          <w:color w:val="000000"/>
          <w:sz w:val="24"/>
        </w:rPr>
        <w:t xml:space="preserve">, revenue is paid by </w:t>
      </w:r>
      <w:r w:rsidR="0051449A">
        <w:rPr>
          <w:rFonts w:ascii="Times New Roman" w:hAnsi="Times New Roman"/>
          <w:iCs/>
          <w:color w:val="000000"/>
          <w:sz w:val="24"/>
        </w:rPr>
        <w:t xml:space="preserve">some </w:t>
      </w:r>
      <w:r w:rsidRPr="00BA505F">
        <w:rPr>
          <w:rFonts w:ascii="Times New Roman" w:hAnsi="Times New Roman"/>
          <w:iCs/>
          <w:color w:val="000000"/>
          <w:sz w:val="24"/>
        </w:rPr>
        <w:t xml:space="preserve">taxpayers and trading companies into collection accounts with authorized commercial depositary banks, which were given the mandate to receive revenues on behalf of the </w:t>
      </w:r>
      <w:r>
        <w:rPr>
          <w:rFonts w:ascii="Times New Roman" w:hAnsi="Times New Roman"/>
          <w:iCs/>
          <w:color w:val="000000"/>
          <w:sz w:val="24"/>
        </w:rPr>
        <w:t>Treasury Department</w:t>
      </w:r>
      <w:r w:rsidRPr="00BA505F">
        <w:rPr>
          <w:rFonts w:ascii="Times New Roman" w:hAnsi="Times New Roman"/>
          <w:iCs/>
          <w:color w:val="000000"/>
          <w:sz w:val="24"/>
        </w:rPr>
        <w:t xml:space="preserve">. The commercial banks transfer daily revenues received to the </w:t>
      </w:r>
      <w:r>
        <w:rPr>
          <w:rFonts w:ascii="Times New Roman" w:hAnsi="Times New Roman"/>
          <w:iCs/>
          <w:color w:val="000000"/>
          <w:sz w:val="24"/>
        </w:rPr>
        <w:t>Treasury Department</w:t>
      </w:r>
      <w:r w:rsidRPr="00BA505F">
        <w:rPr>
          <w:rFonts w:ascii="Times New Roman" w:hAnsi="Times New Roman"/>
          <w:iCs/>
          <w:color w:val="000000"/>
          <w:sz w:val="24"/>
        </w:rPr>
        <w:t xml:space="preserve">’s account held at </w:t>
      </w:r>
      <w:proofErr w:type="spellStart"/>
      <w:r w:rsidRPr="00BA505F">
        <w:rPr>
          <w:rFonts w:ascii="Times New Roman" w:hAnsi="Times New Roman"/>
          <w:iCs/>
          <w:color w:val="000000"/>
          <w:sz w:val="24"/>
        </w:rPr>
        <w:t>BoL.</w:t>
      </w:r>
      <w:proofErr w:type="spellEnd"/>
      <w:r w:rsidRPr="00BA505F">
        <w:rPr>
          <w:rFonts w:ascii="Times New Roman" w:hAnsi="Times New Roman"/>
          <w:iCs/>
          <w:color w:val="000000"/>
          <w:sz w:val="24"/>
        </w:rPr>
        <w:t xml:space="preserve"> These funds are included in MoF’s cash flow forecast.</w:t>
      </w:r>
      <w:r w:rsidR="0051449A">
        <w:rPr>
          <w:rFonts w:ascii="Times New Roman" w:hAnsi="Times New Roman"/>
          <w:iCs/>
          <w:color w:val="000000"/>
          <w:sz w:val="24"/>
        </w:rPr>
        <w:t xml:space="preserve">  Others are transferred weekly.</w:t>
      </w:r>
    </w:p>
    <w:p w14:paraId="65802355" w14:textId="77777777" w:rsidR="007518E4" w:rsidRPr="000E3812" w:rsidRDefault="007518E4" w:rsidP="008037D9">
      <w:pPr>
        <w:pStyle w:val="ListParagraph"/>
        <w:numPr>
          <w:ilvl w:val="0"/>
          <w:numId w:val="64"/>
        </w:numPr>
        <w:tabs>
          <w:tab w:val="left" w:pos="720"/>
          <w:tab w:val="left" w:pos="1288"/>
        </w:tabs>
        <w:autoSpaceDE w:val="0"/>
        <w:autoSpaceDN w:val="0"/>
        <w:adjustRightInd w:val="0"/>
        <w:spacing w:after="240"/>
        <w:ind w:left="0"/>
        <w:contextualSpacing w:val="0"/>
        <w:rPr>
          <w:rFonts w:ascii="Times New Roman" w:hAnsi="Times New Roman"/>
          <w:color w:val="000000"/>
          <w:sz w:val="24"/>
        </w:rPr>
      </w:pPr>
      <w:r w:rsidRPr="002C0FBC">
        <w:rPr>
          <w:rFonts w:ascii="Times New Roman" w:hAnsi="Times New Roman"/>
          <w:b/>
          <w:color w:val="000000"/>
          <w:sz w:val="24"/>
        </w:rPr>
        <w:t xml:space="preserve">Revenue collected by the Treasury Department representing more than 75% of total central government revenue is transferred </w:t>
      </w:r>
      <w:r w:rsidR="007E33BD">
        <w:rPr>
          <w:rFonts w:ascii="Times New Roman" w:hAnsi="Times New Roman"/>
          <w:b/>
          <w:color w:val="000000"/>
          <w:sz w:val="24"/>
        </w:rPr>
        <w:t xml:space="preserve">=daily </w:t>
      </w:r>
      <w:r w:rsidRPr="002C0FBC">
        <w:rPr>
          <w:rFonts w:ascii="Times New Roman" w:hAnsi="Times New Roman"/>
          <w:b/>
          <w:color w:val="000000"/>
          <w:sz w:val="24"/>
        </w:rPr>
        <w:t>into Treasury Account</w:t>
      </w:r>
      <w:r w:rsidR="007E33BD">
        <w:rPr>
          <w:rFonts w:ascii="Times New Roman" w:hAnsi="Times New Roman"/>
          <w:b/>
          <w:color w:val="000000"/>
          <w:sz w:val="24"/>
        </w:rPr>
        <w:t xml:space="preserve">s with commercial </w:t>
      </w:r>
      <w:proofErr w:type="spellStart"/>
      <w:r w:rsidR="007E33BD">
        <w:rPr>
          <w:rFonts w:ascii="Times New Roman" w:hAnsi="Times New Roman"/>
          <w:b/>
          <w:color w:val="000000"/>
          <w:sz w:val="24"/>
        </w:rPr>
        <w:t>banks</w:t>
      </w:r>
      <w:r w:rsidRPr="002C0FBC">
        <w:rPr>
          <w:rFonts w:ascii="Times New Roman" w:hAnsi="Times New Roman"/>
          <w:b/>
          <w:color w:val="000000"/>
          <w:sz w:val="24"/>
        </w:rPr>
        <w:t>L</w:t>
      </w:r>
      <w:proofErr w:type="spellEnd"/>
      <w:r w:rsidRPr="000E3812">
        <w:rPr>
          <w:rFonts w:ascii="Times New Roman" w:hAnsi="Times New Roman"/>
          <w:color w:val="000000"/>
          <w:sz w:val="24"/>
        </w:rPr>
        <w:t xml:space="preserve">: Score </w:t>
      </w:r>
      <w:r w:rsidR="007E33BD">
        <w:rPr>
          <w:rFonts w:ascii="Times New Roman" w:hAnsi="Times New Roman"/>
          <w:color w:val="000000"/>
          <w:sz w:val="24"/>
        </w:rPr>
        <w:t>A</w:t>
      </w:r>
      <w:r w:rsidRPr="000E3812">
        <w:rPr>
          <w:rFonts w:ascii="Times New Roman" w:hAnsi="Times New Roman"/>
          <w:color w:val="000000"/>
          <w:sz w:val="24"/>
        </w:rPr>
        <w:t>.</w:t>
      </w:r>
    </w:p>
    <w:p w14:paraId="7FD856C8" w14:textId="77777777" w:rsidR="007518E4" w:rsidRPr="003511C8" w:rsidRDefault="007518E4" w:rsidP="007518E4">
      <w:pPr>
        <w:pStyle w:val="ParagraphNumbering"/>
        <w:numPr>
          <w:ilvl w:val="0"/>
          <w:numId w:val="0"/>
        </w:numPr>
        <w:autoSpaceDE w:val="0"/>
        <w:autoSpaceDN w:val="0"/>
        <w:adjustRightInd w:val="0"/>
        <w:spacing w:after="0" w:line="276" w:lineRule="auto"/>
        <w:ind w:right="-272"/>
        <w:rPr>
          <w:rFonts w:ascii="Times New Roman" w:hAnsi="Times New Roman"/>
          <w:b/>
          <w:color w:val="92D050"/>
          <w:sz w:val="24"/>
          <w:szCs w:val="21"/>
        </w:rPr>
      </w:pPr>
      <w:r w:rsidRPr="003511C8">
        <w:rPr>
          <w:rFonts w:ascii="Times New Roman" w:hAnsi="Times New Roman"/>
          <w:b/>
          <w:color w:val="92D050"/>
          <w:sz w:val="24"/>
          <w:szCs w:val="21"/>
        </w:rPr>
        <w:t xml:space="preserve">20.3 Revenue </w:t>
      </w:r>
      <w:r>
        <w:rPr>
          <w:rFonts w:ascii="Times New Roman" w:hAnsi="Times New Roman"/>
          <w:b/>
          <w:color w:val="92D050"/>
          <w:sz w:val="24"/>
          <w:szCs w:val="21"/>
        </w:rPr>
        <w:t>a</w:t>
      </w:r>
      <w:r w:rsidRPr="003511C8">
        <w:rPr>
          <w:rFonts w:ascii="Times New Roman" w:hAnsi="Times New Roman"/>
          <w:b/>
          <w:color w:val="92D050"/>
          <w:sz w:val="24"/>
          <w:szCs w:val="21"/>
        </w:rPr>
        <w:t xml:space="preserve">ccounts </w:t>
      </w:r>
      <w:r>
        <w:rPr>
          <w:rFonts w:ascii="Times New Roman" w:hAnsi="Times New Roman"/>
          <w:b/>
          <w:color w:val="92D050"/>
          <w:sz w:val="24"/>
          <w:szCs w:val="21"/>
        </w:rPr>
        <w:t>r</w:t>
      </w:r>
      <w:r w:rsidRPr="003511C8">
        <w:rPr>
          <w:rFonts w:ascii="Times New Roman" w:hAnsi="Times New Roman"/>
          <w:b/>
          <w:color w:val="92D050"/>
          <w:sz w:val="24"/>
          <w:szCs w:val="21"/>
        </w:rPr>
        <w:t>econciliation</w:t>
      </w:r>
    </w:p>
    <w:p w14:paraId="29862DDE" w14:textId="77777777" w:rsidR="007518E4" w:rsidRPr="007928E4" w:rsidRDefault="007518E4" w:rsidP="008037D9">
      <w:pPr>
        <w:pStyle w:val="ListParagraph"/>
        <w:numPr>
          <w:ilvl w:val="0"/>
          <w:numId w:val="64"/>
        </w:numPr>
        <w:tabs>
          <w:tab w:val="left" w:pos="720"/>
          <w:tab w:val="left" w:pos="1288"/>
        </w:tabs>
        <w:autoSpaceDE w:val="0"/>
        <w:autoSpaceDN w:val="0"/>
        <w:adjustRightInd w:val="0"/>
        <w:spacing w:after="240"/>
        <w:ind w:left="0"/>
        <w:contextualSpacing w:val="0"/>
        <w:rPr>
          <w:rFonts w:ascii="Times New Roman" w:hAnsi="Times New Roman"/>
          <w:iCs/>
          <w:color w:val="000000"/>
          <w:sz w:val="24"/>
        </w:rPr>
      </w:pPr>
      <w:r w:rsidRPr="002C0FBC">
        <w:rPr>
          <w:rFonts w:ascii="Times New Roman" w:hAnsi="Times New Roman"/>
          <w:b/>
          <w:iCs/>
          <w:color w:val="000000"/>
          <w:sz w:val="24"/>
        </w:rPr>
        <w:t>Starting from 2017, the Treasury Department carries out daily reconciliation of cash movements with the bank accounts and the transaction data available from GFIS</w:t>
      </w:r>
      <w:r w:rsidRPr="007928E4">
        <w:rPr>
          <w:rFonts w:ascii="Times New Roman" w:hAnsi="Times New Roman"/>
          <w:iCs/>
          <w:color w:val="000000"/>
          <w:sz w:val="24"/>
        </w:rPr>
        <w:t xml:space="preserve">. At the end of the month, reconciliation </w:t>
      </w:r>
      <w:r>
        <w:rPr>
          <w:rFonts w:ascii="Times New Roman" w:hAnsi="Times New Roman"/>
          <w:iCs/>
          <w:color w:val="000000"/>
          <w:sz w:val="24"/>
        </w:rPr>
        <w:t>is</w:t>
      </w:r>
      <w:r w:rsidRPr="007928E4">
        <w:rPr>
          <w:rFonts w:ascii="Times New Roman" w:hAnsi="Times New Roman"/>
          <w:iCs/>
          <w:color w:val="000000"/>
          <w:sz w:val="24"/>
        </w:rPr>
        <w:t xml:space="preserve"> carried out at different levels with the Treasury Department on actual collections. Revenue collecting agencies report and reconcile based on the receipts from taxpayers and trading companies at transaction level. </w:t>
      </w:r>
    </w:p>
    <w:p w14:paraId="1B9A7731" w14:textId="77777777" w:rsidR="007518E4" w:rsidRPr="007928E4" w:rsidRDefault="007518E4" w:rsidP="008037D9">
      <w:pPr>
        <w:pStyle w:val="ListParagraph"/>
        <w:numPr>
          <w:ilvl w:val="0"/>
          <w:numId w:val="64"/>
        </w:numPr>
        <w:tabs>
          <w:tab w:val="left" w:pos="720"/>
          <w:tab w:val="left" w:pos="1288"/>
        </w:tabs>
        <w:autoSpaceDE w:val="0"/>
        <w:autoSpaceDN w:val="0"/>
        <w:adjustRightInd w:val="0"/>
        <w:spacing w:after="240"/>
        <w:ind w:left="0"/>
        <w:contextualSpacing w:val="0"/>
        <w:rPr>
          <w:rFonts w:ascii="Times New Roman" w:hAnsi="Times New Roman"/>
          <w:iCs/>
          <w:color w:val="000000"/>
          <w:sz w:val="24"/>
        </w:rPr>
      </w:pPr>
      <w:r w:rsidRPr="002C0FBC">
        <w:rPr>
          <w:rFonts w:ascii="Times New Roman" w:hAnsi="Times New Roman"/>
          <w:b/>
          <w:iCs/>
          <w:color w:val="000000"/>
          <w:sz w:val="24"/>
        </w:rPr>
        <w:t>For the Tax Department, systems have been put in place to improve the recording and matching of tax receipts in GFIS simultaneously as it is paid into the Bank by the taxpayer</w:t>
      </w:r>
      <w:r w:rsidRPr="007928E4">
        <w:rPr>
          <w:rFonts w:ascii="Times New Roman" w:hAnsi="Times New Roman"/>
          <w:iCs/>
          <w:color w:val="000000"/>
          <w:sz w:val="24"/>
        </w:rPr>
        <w:t xml:space="preserve">. Previous reconciliation issues have been resolved as the transaction document used for receipt deposits identifies all account and tax type codes that are necessary to ensure correct posting of the transaction. </w:t>
      </w:r>
    </w:p>
    <w:p w14:paraId="0FDB489A" w14:textId="77777777" w:rsidR="007518E4" w:rsidRPr="007928E4" w:rsidRDefault="007518E4" w:rsidP="008037D9">
      <w:pPr>
        <w:pStyle w:val="ListParagraph"/>
        <w:numPr>
          <w:ilvl w:val="0"/>
          <w:numId w:val="64"/>
        </w:numPr>
        <w:tabs>
          <w:tab w:val="left" w:pos="720"/>
          <w:tab w:val="left" w:pos="1288"/>
        </w:tabs>
        <w:autoSpaceDE w:val="0"/>
        <w:autoSpaceDN w:val="0"/>
        <w:adjustRightInd w:val="0"/>
        <w:spacing w:after="240"/>
        <w:ind w:left="0"/>
        <w:contextualSpacing w:val="0"/>
        <w:rPr>
          <w:rFonts w:ascii="Times New Roman" w:eastAsia="ヒラギノ角ゴ Pro W3" w:hAnsi="Times New Roman"/>
          <w:color w:val="000000"/>
          <w:sz w:val="24"/>
          <w:lang w:eastAsia="en-IN"/>
        </w:rPr>
      </w:pPr>
      <w:r w:rsidRPr="002C0FBC">
        <w:rPr>
          <w:rFonts w:ascii="Times New Roman" w:eastAsia="ヒラギノ角ゴ Pro W3" w:hAnsi="Times New Roman"/>
          <w:b/>
          <w:color w:val="000000"/>
          <w:sz w:val="24"/>
          <w:lang w:eastAsia="en-IN"/>
        </w:rPr>
        <w:t>For the CD, ASYCUDA allows traders to exchange data electronically and prepay their customs duty while awaiting assessment to be carried out on their consignment</w:t>
      </w:r>
      <w:r w:rsidRPr="007928E4">
        <w:rPr>
          <w:rFonts w:ascii="Times New Roman" w:eastAsia="ヒラギノ角ゴ Pro W3" w:hAnsi="Times New Roman"/>
          <w:color w:val="000000"/>
          <w:sz w:val="24"/>
          <w:lang w:eastAsia="en-IN"/>
        </w:rPr>
        <w:t xml:space="preserve">. Shortfalls and overpayments are reconciled on actual billing and settled accordingly. </w:t>
      </w:r>
    </w:p>
    <w:p w14:paraId="6A7CFF74" w14:textId="77777777" w:rsidR="007518E4" w:rsidRPr="007928E4" w:rsidRDefault="007518E4" w:rsidP="008037D9">
      <w:pPr>
        <w:pStyle w:val="ListParagraph"/>
        <w:numPr>
          <w:ilvl w:val="0"/>
          <w:numId w:val="64"/>
        </w:numPr>
        <w:tabs>
          <w:tab w:val="left" w:pos="720"/>
          <w:tab w:val="left" w:pos="1288"/>
        </w:tabs>
        <w:autoSpaceDE w:val="0"/>
        <w:autoSpaceDN w:val="0"/>
        <w:adjustRightInd w:val="0"/>
        <w:spacing w:after="240"/>
        <w:ind w:left="0"/>
        <w:contextualSpacing w:val="0"/>
        <w:rPr>
          <w:rFonts w:ascii="Times New Roman" w:hAnsi="Times New Roman"/>
          <w:iCs/>
          <w:color w:val="000000"/>
          <w:sz w:val="24"/>
        </w:rPr>
      </w:pPr>
      <w:r w:rsidRPr="002C0FBC">
        <w:rPr>
          <w:rFonts w:ascii="Times New Roman" w:hAnsi="Times New Roman"/>
          <w:b/>
          <w:iCs/>
          <w:color w:val="000000"/>
          <w:sz w:val="24"/>
        </w:rPr>
        <w:t>For the State Assets Management department, reporting is still excel-based</w:t>
      </w:r>
      <w:r w:rsidR="002C0FBC">
        <w:rPr>
          <w:rFonts w:ascii="Times New Roman" w:hAnsi="Times New Roman"/>
          <w:iCs/>
          <w:color w:val="000000"/>
          <w:sz w:val="24"/>
        </w:rPr>
        <w:t>.  R</w:t>
      </w:r>
      <w:r w:rsidRPr="007928E4">
        <w:rPr>
          <w:rFonts w:ascii="Times New Roman" w:hAnsi="Times New Roman"/>
          <w:iCs/>
          <w:color w:val="000000"/>
          <w:sz w:val="24"/>
        </w:rPr>
        <w:t>econciliation is the responsibility of the department with the managing agencies (for example Ministry of Public Works for the overflight rights or the Ministry of Natural Resources and Energy fo</w:t>
      </w:r>
      <w:r w:rsidR="00A213B1">
        <w:rPr>
          <w:rFonts w:ascii="Times New Roman" w:hAnsi="Times New Roman"/>
          <w:iCs/>
          <w:color w:val="000000"/>
          <w:sz w:val="24"/>
        </w:rPr>
        <w:t>r the land taxes, etc.).  The SO</w:t>
      </w:r>
      <w:r w:rsidRPr="007928E4">
        <w:rPr>
          <w:rFonts w:ascii="Times New Roman" w:hAnsi="Times New Roman"/>
          <w:iCs/>
          <w:color w:val="000000"/>
          <w:sz w:val="24"/>
        </w:rPr>
        <w:t xml:space="preserve">E department receives the information and reports on dividends payment paid directly into the TD account and there is no reconciliation at transaction level. </w:t>
      </w:r>
      <w:r w:rsidRPr="007928E4">
        <w:rPr>
          <w:rFonts w:ascii="Times New Roman" w:eastAsia="ヒラギノ角ゴ Pro W3" w:hAnsi="Times New Roman"/>
          <w:color w:val="000000"/>
          <w:sz w:val="24"/>
          <w:lang w:eastAsia="en-IN"/>
        </w:rPr>
        <w:t xml:space="preserve">The </w:t>
      </w:r>
      <w:r w:rsidR="00A213B1">
        <w:rPr>
          <w:rFonts w:ascii="Times New Roman" w:hAnsi="Times New Roman"/>
          <w:iCs/>
          <w:color w:val="000000"/>
          <w:sz w:val="24"/>
        </w:rPr>
        <w:t>provinces report</w:t>
      </w:r>
      <w:r w:rsidRPr="007928E4">
        <w:rPr>
          <w:rFonts w:ascii="Times New Roman" w:hAnsi="Times New Roman"/>
          <w:iCs/>
          <w:color w:val="000000"/>
          <w:sz w:val="24"/>
        </w:rPr>
        <w:t xml:space="preserve"> transactions at mid- month and end of the month with only partial coverage at district level. </w:t>
      </w:r>
    </w:p>
    <w:p w14:paraId="5860F83B" w14:textId="77777777" w:rsidR="007518E4" w:rsidRPr="007928E4" w:rsidRDefault="007518E4" w:rsidP="008037D9">
      <w:pPr>
        <w:pStyle w:val="ListParagraph"/>
        <w:numPr>
          <w:ilvl w:val="0"/>
          <w:numId w:val="64"/>
        </w:numPr>
        <w:tabs>
          <w:tab w:val="left" w:pos="720"/>
          <w:tab w:val="left" w:pos="1288"/>
        </w:tabs>
        <w:spacing w:after="240"/>
        <w:ind w:left="0"/>
        <w:contextualSpacing w:val="0"/>
        <w:rPr>
          <w:rFonts w:ascii="Times New Roman" w:eastAsia="ヒラギノ角ゴ Pro W3" w:hAnsi="Times New Roman"/>
          <w:color w:val="000000"/>
          <w:sz w:val="24"/>
          <w:lang w:eastAsia="en-IN"/>
        </w:rPr>
      </w:pPr>
      <w:r w:rsidRPr="002C0FBC">
        <w:rPr>
          <w:rFonts w:ascii="Times New Roman" w:eastAsia="ヒラギノ角ゴ Pro W3" w:hAnsi="Times New Roman"/>
          <w:b/>
          <w:color w:val="000000"/>
          <w:sz w:val="24"/>
          <w:lang w:eastAsia="en-IN"/>
        </w:rPr>
        <w:t>Reconciliation is carried out by revenue line items of all collected revenue and consolidated into the monthly report</w:t>
      </w:r>
      <w:r w:rsidRPr="007928E4">
        <w:rPr>
          <w:rFonts w:ascii="Times New Roman" w:eastAsia="ヒラギノ角ゴ Pro W3" w:hAnsi="Times New Roman"/>
          <w:color w:val="000000"/>
          <w:sz w:val="24"/>
          <w:lang w:eastAsia="en-IN"/>
        </w:rPr>
        <w:t xml:space="preserve">. Suspense accounts </w:t>
      </w:r>
      <w:r w:rsidR="002C0FBC">
        <w:rPr>
          <w:rFonts w:ascii="Times New Roman" w:eastAsia="ヒラギノ角ゴ Pro W3" w:hAnsi="Times New Roman"/>
          <w:color w:val="000000"/>
          <w:sz w:val="24"/>
          <w:lang w:eastAsia="en-IN"/>
        </w:rPr>
        <w:t xml:space="preserve">(used when tax is not allocated to the correct file) </w:t>
      </w:r>
      <w:r w:rsidRPr="007928E4">
        <w:rPr>
          <w:rFonts w:ascii="Times New Roman" w:eastAsia="ヒラギノ角ゴ Pro W3" w:hAnsi="Times New Roman"/>
          <w:color w:val="000000"/>
          <w:sz w:val="24"/>
          <w:lang w:eastAsia="en-IN"/>
        </w:rPr>
        <w:t xml:space="preserve">are normally reconciled </w:t>
      </w:r>
      <w:proofErr w:type="gramStart"/>
      <w:r w:rsidRPr="007928E4">
        <w:rPr>
          <w:rFonts w:ascii="Times New Roman" w:eastAsia="ヒラギノ角ゴ Pro W3" w:hAnsi="Times New Roman"/>
          <w:color w:val="000000"/>
          <w:sz w:val="24"/>
          <w:lang w:eastAsia="en-IN"/>
        </w:rPr>
        <w:t>on a monthly basis</w:t>
      </w:r>
      <w:proofErr w:type="gramEnd"/>
      <w:r w:rsidRPr="007928E4">
        <w:rPr>
          <w:rFonts w:ascii="Times New Roman" w:eastAsia="ヒラギノ角ゴ Pro W3" w:hAnsi="Times New Roman"/>
          <w:color w:val="000000"/>
          <w:sz w:val="24"/>
          <w:lang w:eastAsia="en-IN"/>
        </w:rPr>
        <w:t xml:space="preserve"> and during the annual clo</w:t>
      </w:r>
      <w:r>
        <w:rPr>
          <w:rFonts w:ascii="Times New Roman" w:eastAsia="ヒラギノ角ゴ Pro W3" w:hAnsi="Times New Roman"/>
          <w:color w:val="000000"/>
          <w:sz w:val="24"/>
          <w:lang w:eastAsia="en-IN"/>
        </w:rPr>
        <w:t>sure of accounts. The Treasury D</w:t>
      </w:r>
      <w:r w:rsidRPr="007928E4">
        <w:rPr>
          <w:rFonts w:ascii="Times New Roman" w:eastAsia="ヒラギノ角ゴ Pro W3" w:hAnsi="Times New Roman"/>
          <w:color w:val="000000"/>
          <w:sz w:val="24"/>
          <w:lang w:eastAsia="en-IN"/>
        </w:rPr>
        <w:t>epartment did not report any unreconciled amount in suspense account to the assessment team</w:t>
      </w:r>
      <w:r>
        <w:rPr>
          <w:rFonts w:ascii="Times New Roman" w:eastAsia="ヒラギノ角ゴ Pro W3" w:hAnsi="Times New Roman"/>
          <w:color w:val="000000"/>
          <w:sz w:val="24"/>
          <w:lang w:eastAsia="en-IN"/>
        </w:rPr>
        <w:t xml:space="preserve"> (ref. PI-27.2)</w:t>
      </w:r>
      <w:r w:rsidRPr="007928E4">
        <w:rPr>
          <w:rFonts w:ascii="Times New Roman" w:eastAsia="ヒラギノ角ゴ Pro W3" w:hAnsi="Times New Roman"/>
          <w:color w:val="000000"/>
          <w:sz w:val="24"/>
          <w:lang w:eastAsia="en-IN"/>
        </w:rPr>
        <w:t>.</w:t>
      </w:r>
      <w:r>
        <w:rPr>
          <w:rFonts w:ascii="Times New Roman" w:eastAsia="ヒラギノ角ゴ Pro W3" w:hAnsi="Times New Roman"/>
          <w:color w:val="000000"/>
          <w:sz w:val="24"/>
          <w:lang w:eastAsia="en-IN"/>
        </w:rPr>
        <w:t xml:space="preserve"> T</w:t>
      </w:r>
      <w:r w:rsidRPr="007928E4">
        <w:rPr>
          <w:rFonts w:ascii="Times New Roman" w:eastAsia="ヒラギノ角ゴ Pro W3" w:hAnsi="Times New Roman"/>
          <w:color w:val="000000"/>
          <w:sz w:val="24"/>
          <w:lang w:eastAsia="en-IN"/>
        </w:rPr>
        <w:t xml:space="preserve">he delay in the reporting and lack of </w:t>
      </w:r>
      <w:r>
        <w:rPr>
          <w:rFonts w:ascii="Times New Roman" w:eastAsia="ヒラギノ角ゴ Pro W3" w:hAnsi="Times New Roman"/>
          <w:color w:val="000000"/>
          <w:sz w:val="24"/>
          <w:lang w:eastAsia="en-IN"/>
        </w:rPr>
        <w:t>r</w:t>
      </w:r>
      <w:r w:rsidRPr="007928E4">
        <w:rPr>
          <w:rFonts w:ascii="Times New Roman" w:eastAsia="ヒラギノ角ゴ Pro W3" w:hAnsi="Times New Roman"/>
          <w:color w:val="000000"/>
          <w:sz w:val="24"/>
          <w:lang w:eastAsia="en-IN"/>
        </w:rPr>
        <w:t>econciliation of the district transactions and lack of automation at the level of the district Treasury offices</w:t>
      </w:r>
      <w:r>
        <w:rPr>
          <w:rFonts w:ascii="Times New Roman" w:eastAsia="ヒラギノ角ゴ Pro W3" w:hAnsi="Times New Roman"/>
          <w:color w:val="000000"/>
          <w:sz w:val="24"/>
          <w:lang w:eastAsia="en-IN"/>
        </w:rPr>
        <w:t>.  These</w:t>
      </w:r>
      <w:r w:rsidRPr="007928E4">
        <w:rPr>
          <w:rFonts w:ascii="Times New Roman" w:eastAsia="ヒラギノ角ゴ Pro W3" w:hAnsi="Times New Roman"/>
          <w:color w:val="000000"/>
          <w:sz w:val="24"/>
          <w:lang w:eastAsia="en-IN"/>
        </w:rPr>
        <w:t xml:space="preserve"> considerably delays </w:t>
      </w:r>
      <w:r>
        <w:rPr>
          <w:rFonts w:ascii="Times New Roman" w:eastAsia="ヒラギノ角ゴ Pro W3" w:hAnsi="Times New Roman"/>
          <w:color w:val="000000"/>
          <w:sz w:val="24"/>
          <w:lang w:eastAsia="en-IN"/>
        </w:rPr>
        <w:t xml:space="preserve">relating to </w:t>
      </w:r>
      <w:r w:rsidRPr="007928E4">
        <w:rPr>
          <w:rFonts w:ascii="Times New Roman" w:eastAsia="ヒラギノ角ゴ Pro W3" w:hAnsi="Times New Roman"/>
          <w:color w:val="000000"/>
          <w:sz w:val="24"/>
          <w:lang w:eastAsia="en-IN"/>
        </w:rPr>
        <w:t xml:space="preserve">the whole reporting process raises issues with the completeness of the reconciliation process. </w:t>
      </w:r>
      <w:r>
        <w:rPr>
          <w:rFonts w:ascii="Times New Roman" w:eastAsia="ヒラギノ角ゴ Pro W3" w:hAnsi="Times New Roman"/>
          <w:color w:val="000000"/>
          <w:sz w:val="24"/>
          <w:lang w:eastAsia="en-IN"/>
        </w:rPr>
        <w:t>T</w:t>
      </w:r>
      <w:r w:rsidRPr="007928E4">
        <w:rPr>
          <w:rFonts w:ascii="Times New Roman" w:eastAsia="ヒラギノ角ゴ Pro W3" w:hAnsi="Times New Roman"/>
          <w:color w:val="000000"/>
          <w:sz w:val="24"/>
          <w:lang w:eastAsia="en-IN"/>
        </w:rPr>
        <w:t xml:space="preserve">he lack of integration of recording </w:t>
      </w:r>
      <w:r w:rsidRPr="007928E4">
        <w:rPr>
          <w:rFonts w:ascii="Times New Roman" w:eastAsia="ヒラギノ角ゴ Pro W3" w:hAnsi="Times New Roman"/>
          <w:color w:val="000000"/>
          <w:sz w:val="24"/>
          <w:lang w:eastAsia="en-IN"/>
        </w:rPr>
        <w:lastRenderedPageBreak/>
        <w:t xml:space="preserve">systems and manual processes </w:t>
      </w:r>
      <w:r>
        <w:rPr>
          <w:rFonts w:ascii="Times New Roman" w:eastAsia="ヒラギノ角ゴ Pro W3" w:hAnsi="Times New Roman"/>
          <w:color w:val="000000"/>
          <w:sz w:val="24"/>
          <w:lang w:eastAsia="en-IN"/>
        </w:rPr>
        <w:t xml:space="preserve">are </w:t>
      </w:r>
      <w:r w:rsidRPr="007928E4">
        <w:rPr>
          <w:rFonts w:ascii="Times New Roman" w:eastAsia="ヒラギノ角ゴ Pro W3" w:hAnsi="Times New Roman"/>
          <w:color w:val="000000"/>
          <w:sz w:val="24"/>
          <w:lang w:eastAsia="en-IN"/>
        </w:rPr>
        <w:t>still prevent</w:t>
      </w:r>
      <w:r>
        <w:rPr>
          <w:rFonts w:ascii="Times New Roman" w:eastAsia="ヒラギノ角ゴ Pro W3" w:hAnsi="Times New Roman"/>
          <w:color w:val="000000"/>
          <w:sz w:val="24"/>
          <w:lang w:eastAsia="en-IN"/>
        </w:rPr>
        <w:t>ing</w:t>
      </w:r>
      <w:r w:rsidRPr="007928E4">
        <w:rPr>
          <w:rFonts w:ascii="Times New Roman" w:eastAsia="ヒラギノ角ゴ Pro W3" w:hAnsi="Times New Roman"/>
          <w:color w:val="000000"/>
          <w:sz w:val="24"/>
          <w:lang w:eastAsia="en-IN"/>
        </w:rPr>
        <w:t xml:space="preserve"> the collecting agencies, </w:t>
      </w:r>
      <w:r>
        <w:rPr>
          <w:rFonts w:ascii="Times New Roman" w:eastAsia="ヒラギノ角ゴ Pro W3" w:hAnsi="Times New Roman"/>
          <w:color w:val="000000"/>
          <w:sz w:val="24"/>
          <w:lang w:eastAsia="en-IN"/>
        </w:rPr>
        <w:t xml:space="preserve">such as the </w:t>
      </w:r>
      <w:r w:rsidRPr="007928E4">
        <w:rPr>
          <w:rFonts w:ascii="Times New Roman" w:eastAsia="ヒラギノ角ゴ Pro W3" w:hAnsi="Times New Roman"/>
          <w:color w:val="000000"/>
          <w:sz w:val="24"/>
          <w:lang w:eastAsia="en-IN"/>
        </w:rPr>
        <w:t>Tax Department to keep track at the individual account level, and identif</w:t>
      </w:r>
      <w:r>
        <w:rPr>
          <w:rFonts w:ascii="Times New Roman" w:eastAsia="ヒラギノ角ゴ Pro W3" w:hAnsi="Times New Roman"/>
          <w:color w:val="000000"/>
          <w:sz w:val="24"/>
          <w:lang w:eastAsia="en-IN"/>
        </w:rPr>
        <w:t>y all assessments, collections,</w:t>
      </w:r>
      <w:r w:rsidRPr="007928E4">
        <w:rPr>
          <w:rFonts w:ascii="Times New Roman" w:eastAsia="ヒラギノ角ゴ Pro W3" w:hAnsi="Times New Roman"/>
          <w:color w:val="000000"/>
          <w:sz w:val="24"/>
          <w:lang w:eastAsia="en-IN"/>
        </w:rPr>
        <w:t xml:space="preserve"> arrears and transfers for each individual account.</w:t>
      </w:r>
    </w:p>
    <w:p w14:paraId="1B1FC946" w14:textId="77777777" w:rsidR="007518E4" w:rsidRPr="00C32BBD" w:rsidRDefault="007518E4" w:rsidP="008037D9">
      <w:pPr>
        <w:pStyle w:val="ListParagraph"/>
        <w:numPr>
          <w:ilvl w:val="0"/>
          <w:numId w:val="64"/>
        </w:numPr>
        <w:tabs>
          <w:tab w:val="left" w:pos="720"/>
          <w:tab w:val="left" w:pos="1288"/>
        </w:tabs>
        <w:spacing w:after="240"/>
        <w:ind w:left="0"/>
        <w:contextualSpacing w:val="0"/>
        <w:rPr>
          <w:rFonts w:ascii="Times New Roman" w:hAnsi="Times New Roman"/>
          <w:iCs/>
          <w:color w:val="000000"/>
          <w:sz w:val="24"/>
        </w:rPr>
      </w:pPr>
      <w:r w:rsidRPr="002C0FBC">
        <w:rPr>
          <w:rFonts w:ascii="Times New Roman" w:hAnsi="Times New Roman"/>
          <w:b/>
          <w:iCs/>
          <w:color w:val="000000"/>
          <w:sz w:val="24"/>
        </w:rPr>
        <w:t>At the central level, the reconciliation process is done for assessments</w:t>
      </w:r>
      <w:r w:rsidR="002C33F6">
        <w:rPr>
          <w:rFonts w:ascii="Times New Roman" w:hAnsi="Times New Roman"/>
          <w:b/>
          <w:iCs/>
          <w:color w:val="000000"/>
          <w:sz w:val="24"/>
        </w:rPr>
        <w:t>/charges</w:t>
      </w:r>
      <w:r w:rsidRPr="002C0FBC">
        <w:rPr>
          <w:rFonts w:ascii="Times New Roman" w:hAnsi="Times New Roman"/>
          <w:b/>
          <w:iCs/>
          <w:color w:val="000000"/>
          <w:sz w:val="24"/>
        </w:rPr>
        <w:t>, collections</w:t>
      </w:r>
      <w:r w:rsidR="002C33F6">
        <w:rPr>
          <w:rFonts w:ascii="Times New Roman" w:hAnsi="Times New Roman"/>
          <w:b/>
          <w:iCs/>
          <w:color w:val="000000"/>
          <w:sz w:val="24"/>
        </w:rPr>
        <w:t xml:space="preserve"> </w:t>
      </w:r>
      <w:r w:rsidRPr="002C0FBC">
        <w:rPr>
          <w:rFonts w:ascii="Times New Roman" w:hAnsi="Times New Roman"/>
          <w:b/>
          <w:iCs/>
          <w:color w:val="000000"/>
          <w:sz w:val="24"/>
        </w:rPr>
        <w:t xml:space="preserve">and transfers to the Treasury </w:t>
      </w:r>
      <w:proofErr w:type="gramStart"/>
      <w:r w:rsidRPr="002C0FBC">
        <w:rPr>
          <w:rFonts w:ascii="Times New Roman" w:hAnsi="Times New Roman"/>
          <w:b/>
          <w:iCs/>
          <w:color w:val="000000"/>
          <w:sz w:val="24"/>
        </w:rPr>
        <w:t>on a monthly basis</w:t>
      </w:r>
      <w:proofErr w:type="gramEnd"/>
      <w:r w:rsidRPr="002C0FBC">
        <w:rPr>
          <w:rFonts w:ascii="Times New Roman" w:hAnsi="Times New Roman"/>
          <w:b/>
          <w:iCs/>
          <w:color w:val="000000"/>
          <w:sz w:val="24"/>
        </w:rPr>
        <w:t>, and corresponding monthly reports are prepared.</w:t>
      </w:r>
      <w:r>
        <w:rPr>
          <w:rFonts w:ascii="Times New Roman" w:hAnsi="Times New Roman"/>
          <w:iCs/>
          <w:color w:val="000000"/>
          <w:sz w:val="24"/>
        </w:rPr>
        <w:t xml:space="preserve">  H</w:t>
      </w:r>
      <w:r w:rsidRPr="007928E4">
        <w:rPr>
          <w:rFonts w:ascii="Times New Roman" w:hAnsi="Times New Roman"/>
          <w:iCs/>
          <w:color w:val="000000"/>
          <w:sz w:val="24"/>
        </w:rPr>
        <w:t>owever</w:t>
      </w:r>
      <w:r w:rsidR="00A213B1">
        <w:rPr>
          <w:rFonts w:ascii="Times New Roman" w:hAnsi="Times New Roman"/>
          <w:iCs/>
          <w:color w:val="000000"/>
          <w:sz w:val="24"/>
        </w:rPr>
        <w:t>,</w:t>
      </w:r>
      <w:r w:rsidRPr="007928E4">
        <w:rPr>
          <w:rFonts w:ascii="Times New Roman" w:hAnsi="Times New Roman"/>
          <w:iCs/>
          <w:color w:val="000000"/>
          <w:sz w:val="24"/>
        </w:rPr>
        <w:t xml:space="preserve"> the information on reconciliation is limited</w:t>
      </w:r>
      <w:r w:rsidR="00D43145">
        <w:rPr>
          <w:rFonts w:ascii="Times New Roman" w:hAnsi="Times New Roman"/>
          <w:iCs/>
          <w:color w:val="000000"/>
          <w:sz w:val="24"/>
        </w:rPr>
        <w:t xml:space="preserve">, </w:t>
      </w:r>
      <w:proofErr w:type="gramStart"/>
      <w:r w:rsidR="00D43145">
        <w:rPr>
          <w:rFonts w:ascii="Times New Roman" w:hAnsi="Times New Roman"/>
          <w:iCs/>
          <w:color w:val="000000"/>
          <w:sz w:val="24"/>
        </w:rPr>
        <w:t>in particular for</w:t>
      </w:r>
      <w:proofErr w:type="gramEnd"/>
      <w:r w:rsidR="00D43145">
        <w:rPr>
          <w:rFonts w:ascii="Times New Roman" w:hAnsi="Times New Roman"/>
          <w:iCs/>
          <w:color w:val="000000"/>
          <w:sz w:val="24"/>
        </w:rPr>
        <w:t xml:space="preserve"> arrears,</w:t>
      </w:r>
      <w:r w:rsidRPr="007928E4">
        <w:rPr>
          <w:rFonts w:ascii="Times New Roman" w:hAnsi="Times New Roman"/>
          <w:iCs/>
          <w:color w:val="000000"/>
          <w:sz w:val="24"/>
        </w:rPr>
        <w:t xml:space="preserve"> by the lack of integration of the data systems and manual processes involved in the recording and reporting of the revenue transactions</w:t>
      </w:r>
      <w:r>
        <w:rPr>
          <w:rFonts w:ascii="Times New Roman" w:hAnsi="Times New Roman"/>
          <w:iCs/>
          <w:color w:val="000000"/>
          <w:sz w:val="24"/>
        </w:rPr>
        <w:t xml:space="preserve"> </w:t>
      </w:r>
      <w:r w:rsidR="002C33F6">
        <w:rPr>
          <w:rFonts w:ascii="Times New Roman" w:hAnsi="Times New Roman"/>
          <w:iCs/>
          <w:color w:val="000000"/>
          <w:sz w:val="24"/>
        </w:rPr>
        <w:t>outside the Tax and Customs departments and at</w:t>
      </w:r>
      <w:r w:rsidR="00C30762">
        <w:rPr>
          <w:rFonts w:ascii="Times New Roman" w:hAnsi="Times New Roman"/>
          <w:iCs/>
          <w:color w:val="000000"/>
          <w:sz w:val="24"/>
        </w:rPr>
        <w:t xml:space="preserve"> </w:t>
      </w:r>
      <w:r>
        <w:rPr>
          <w:rFonts w:ascii="Times New Roman" w:hAnsi="Times New Roman"/>
          <w:iCs/>
          <w:color w:val="000000"/>
          <w:sz w:val="24"/>
        </w:rPr>
        <w:t>the provincial level, although the amount of the amounts processed at that level is assessed as not significant</w:t>
      </w:r>
      <w:r w:rsidR="002C33F6">
        <w:rPr>
          <w:rFonts w:ascii="Times New Roman" w:hAnsi="Times New Roman"/>
          <w:iCs/>
          <w:color w:val="000000"/>
          <w:sz w:val="24"/>
        </w:rPr>
        <w:t>. The reconciliation is taking place within 2 months of the end of the year</w:t>
      </w:r>
      <w:r w:rsidRPr="007928E4">
        <w:rPr>
          <w:rFonts w:ascii="Times New Roman" w:hAnsi="Times New Roman"/>
          <w:iCs/>
          <w:color w:val="000000"/>
          <w:sz w:val="24"/>
        </w:rPr>
        <w:t xml:space="preserve">: Score </w:t>
      </w:r>
      <w:r>
        <w:rPr>
          <w:rFonts w:ascii="Times New Roman" w:hAnsi="Times New Roman"/>
          <w:iCs/>
          <w:color w:val="000000"/>
          <w:sz w:val="24"/>
        </w:rPr>
        <w:t>C</w:t>
      </w:r>
      <w:r w:rsidRPr="007928E4">
        <w:rPr>
          <w:rFonts w:ascii="Times New Roman" w:hAnsi="Times New Roman"/>
          <w:iCs/>
          <w:color w:val="000000"/>
          <w:sz w:val="24"/>
        </w:rPr>
        <w:t>.</w:t>
      </w:r>
    </w:p>
    <w:p w14:paraId="2D79541A" w14:textId="77777777" w:rsidR="007518E4" w:rsidRDefault="007518E4" w:rsidP="002C0FBC">
      <w:pPr>
        <w:pStyle w:val="Heading3"/>
        <w:spacing w:after="240"/>
        <w:ind w:left="0"/>
        <w:rPr>
          <w:rFonts w:ascii="Times New Roman" w:eastAsia="Calibri" w:hAnsi="Times New Roman"/>
          <w:b w:val="0"/>
          <w:bCs w:val="0"/>
          <w:color w:val="84C346"/>
          <w:spacing w:val="-1"/>
          <w:szCs w:val="28"/>
        </w:rPr>
      </w:pPr>
      <w:bookmarkStart w:id="85" w:name="_Toc518901806"/>
      <w:bookmarkStart w:id="86" w:name="_Toc4149001"/>
      <w:r w:rsidRPr="00FE6ED4">
        <w:rPr>
          <w:rFonts w:ascii="Times New Roman" w:eastAsia="Calibri" w:hAnsi="Times New Roman"/>
          <w:color w:val="84C346"/>
          <w:spacing w:val="-1"/>
          <w:szCs w:val="28"/>
        </w:rPr>
        <w:t xml:space="preserve">PI-21. Predictability of </w:t>
      </w:r>
      <w:r>
        <w:rPr>
          <w:rFonts w:ascii="Times New Roman" w:eastAsia="Calibri" w:hAnsi="Times New Roman"/>
          <w:color w:val="84C346"/>
          <w:spacing w:val="-1"/>
          <w:szCs w:val="28"/>
        </w:rPr>
        <w:t>i</w:t>
      </w:r>
      <w:r w:rsidRPr="00FE6ED4">
        <w:rPr>
          <w:rFonts w:ascii="Times New Roman" w:eastAsia="Calibri" w:hAnsi="Times New Roman"/>
          <w:color w:val="84C346"/>
          <w:spacing w:val="-1"/>
          <w:szCs w:val="28"/>
        </w:rPr>
        <w:t>n-</w:t>
      </w:r>
      <w:r>
        <w:rPr>
          <w:rFonts w:ascii="Times New Roman" w:eastAsia="Calibri" w:hAnsi="Times New Roman"/>
          <w:color w:val="84C346"/>
          <w:spacing w:val="-1"/>
          <w:szCs w:val="28"/>
        </w:rPr>
        <w:t>y</w:t>
      </w:r>
      <w:r w:rsidRPr="00FE6ED4">
        <w:rPr>
          <w:rFonts w:ascii="Times New Roman" w:eastAsia="Calibri" w:hAnsi="Times New Roman"/>
          <w:color w:val="84C346"/>
          <w:spacing w:val="-1"/>
          <w:szCs w:val="28"/>
        </w:rPr>
        <w:t xml:space="preserve">ear </w:t>
      </w:r>
      <w:r>
        <w:rPr>
          <w:rFonts w:ascii="Times New Roman" w:eastAsia="Calibri" w:hAnsi="Times New Roman"/>
          <w:color w:val="84C346"/>
          <w:spacing w:val="-1"/>
          <w:szCs w:val="28"/>
        </w:rPr>
        <w:t>r</w:t>
      </w:r>
      <w:r w:rsidRPr="00FE6ED4">
        <w:rPr>
          <w:rFonts w:ascii="Times New Roman" w:eastAsia="Calibri" w:hAnsi="Times New Roman"/>
          <w:color w:val="84C346"/>
          <w:spacing w:val="-1"/>
          <w:szCs w:val="28"/>
        </w:rPr>
        <w:t xml:space="preserve">esource </w:t>
      </w:r>
      <w:r>
        <w:rPr>
          <w:rFonts w:ascii="Times New Roman" w:eastAsia="Calibri" w:hAnsi="Times New Roman"/>
          <w:color w:val="84C346"/>
          <w:spacing w:val="-1"/>
          <w:szCs w:val="28"/>
        </w:rPr>
        <w:t>a</w:t>
      </w:r>
      <w:r w:rsidRPr="00FE6ED4">
        <w:rPr>
          <w:rFonts w:ascii="Times New Roman" w:eastAsia="Calibri" w:hAnsi="Times New Roman"/>
          <w:color w:val="84C346"/>
          <w:spacing w:val="-1"/>
          <w:szCs w:val="28"/>
        </w:rPr>
        <w:t>llocation</w:t>
      </w:r>
      <w:bookmarkEnd w:id="85"/>
      <w:bookmarkEnd w:id="86"/>
    </w:p>
    <w:p w14:paraId="229C42D6" w14:textId="77777777" w:rsidR="007518E4" w:rsidRDefault="007518E4" w:rsidP="008037D9">
      <w:pPr>
        <w:pStyle w:val="ListParagraph"/>
        <w:numPr>
          <w:ilvl w:val="0"/>
          <w:numId w:val="66"/>
        </w:numPr>
        <w:spacing w:after="240"/>
        <w:ind w:left="0"/>
        <w:contextualSpacing w:val="0"/>
        <w:rPr>
          <w:rFonts w:ascii="Times New Roman" w:hAnsi="Times New Roman"/>
          <w:sz w:val="24"/>
        </w:rPr>
      </w:pPr>
      <w:r w:rsidRPr="00361409">
        <w:rPr>
          <w:rFonts w:ascii="Times New Roman" w:hAnsi="Times New Roman"/>
          <w:b/>
          <w:sz w:val="24"/>
        </w:rPr>
        <w:t xml:space="preserve">This indicator assesses the extent to which the central Ministry of Finance </w:t>
      </w:r>
      <w:proofErr w:type="gramStart"/>
      <w:r w:rsidRPr="00361409">
        <w:rPr>
          <w:rFonts w:ascii="Times New Roman" w:hAnsi="Times New Roman"/>
          <w:b/>
          <w:sz w:val="24"/>
        </w:rPr>
        <w:t>is able to</w:t>
      </w:r>
      <w:proofErr w:type="gramEnd"/>
      <w:r w:rsidRPr="00361409">
        <w:rPr>
          <w:rFonts w:ascii="Times New Roman" w:hAnsi="Times New Roman"/>
          <w:b/>
          <w:sz w:val="24"/>
        </w:rPr>
        <w:t xml:space="preserve"> forecast cash commitments and requirements and to provide reliable information on the availability of funds to budgetary units for service delivery</w:t>
      </w:r>
      <w:r w:rsidR="00DB0467">
        <w:rPr>
          <w:rFonts w:ascii="Times New Roman" w:hAnsi="Times New Roman"/>
          <w:sz w:val="24"/>
        </w:rPr>
        <w:t xml:space="preserve">. </w:t>
      </w:r>
      <w:proofErr w:type="gramStart"/>
      <w:r w:rsidRPr="002C6A64">
        <w:rPr>
          <w:rFonts w:ascii="Times New Roman" w:hAnsi="Times New Roman"/>
          <w:sz w:val="24"/>
        </w:rPr>
        <w:t>Time period</w:t>
      </w:r>
      <w:proofErr w:type="gramEnd"/>
      <w:r w:rsidRPr="002C6A64">
        <w:rPr>
          <w:rFonts w:ascii="Times New Roman" w:hAnsi="Times New Roman"/>
          <w:sz w:val="24"/>
        </w:rPr>
        <w:t>: at time of assessment</w:t>
      </w:r>
      <w:r>
        <w:rPr>
          <w:rFonts w:ascii="Times New Roman" w:hAnsi="Times New Roman"/>
          <w:sz w:val="24"/>
        </w:rPr>
        <w:t xml:space="preserve"> for PI-21.1 and for PI-21.2 to 4 the last completed fiscal year</w:t>
      </w:r>
      <w:r w:rsidRPr="002C6A64">
        <w:rPr>
          <w:rFonts w:ascii="Times New Roman" w:hAnsi="Times New Roman"/>
          <w:sz w:val="24"/>
        </w:rPr>
        <w:t xml:space="preserve"> and Coverage: Budgetary Central Government</w:t>
      </w:r>
      <w:r>
        <w:rPr>
          <w:rFonts w:ascii="Times New Roman" w:hAnsi="Times New Roman"/>
          <w:sz w:val="24"/>
        </w:rPr>
        <w:t>.</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1134"/>
        <w:gridCol w:w="5017"/>
      </w:tblGrid>
      <w:tr w:rsidR="007518E4" w:rsidRPr="00506F26" w14:paraId="7ED4903A" w14:textId="77777777" w:rsidTr="007518E4">
        <w:trPr>
          <w:trHeight w:val="397"/>
          <w:jc w:val="center"/>
        </w:trPr>
        <w:tc>
          <w:tcPr>
            <w:tcW w:w="1550" w:type="pct"/>
            <w:shd w:val="clear" w:color="auto" w:fill="D9D9D9"/>
            <w:vAlign w:val="center"/>
          </w:tcPr>
          <w:p w14:paraId="5FBCD9F7" w14:textId="77777777" w:rsidR="007518E4" w:rsidRPr="00506F26" w:rsidRDefault="007518E4" w:rsidP="00DB0467">
            <w:pPr>
              <w:spacing w:before="0"/>
              <w:ind w:hanging="497"/>
              <w:jc w:val="center"/>
              <w:rPr>
                <w:rFonts w:ascii="Times New Roman" w:hAnsi="Times New Roman"/>
              </w:rPr>
            </w:pPr>
            <w:r w:rsidRPr="00506F26">
              <w:rPr>
                <w:rFonts w:ascii="Times New Roman" w:hAnsi="Times New Roman"/>
              </w:rPr>
              <w:t>Indicator/Dimension</w:t>
            </w:r>
          </w:p>
        </w:tc>
        <w:tc>
          <w:tcPr>
            <w:tcW w:w="636" w:type="pct"/>
            <w:shd w:val="clear" w:color="auto" w:fill="D9D9D9"/>
            <w:vAlign w:val="center"/>
          </w:tcPr>
          <w:p w14:paraId="6B02CAD8" w14:textId="77777777" w:rsidR="007518E4" w:rsidRPr="00506F26" w:rsidRDefault="007518E4" w:rsidP="00361409">
            <w:pPr>
              <w:spacing w:before="0"/>
              <w:ind w:left="0"/>
              <w:jc w:val="center"/>
              <w:rPr>
                <w:rFonts w:ascii="Times New Roman" w:hAnsi="Times New Roman"/>
              </w:rPr>
            </w:pPr>
            <w:r w:rsidRPr="00506F26">
              <w:rPr>
                <w:rFonts w:ascii="Times New Roman" w:hAnsi="Times New Roman"/>
              </w:rPr>
              <w:t>Score</w:t>
            </w:r>
          </w:p>
        </w:tc>
        <w:tc>
          <w:tcPr>
            <w:tcW w:w="2814" w:type="pct"/>
            <w:shd w:val="clear" w:color="auto" w:fill="D9D9D9"/>
            <w:vAlign w:val="center"/>
          </w:tcPr>
          <w:p w14:paraId="652CB2CF" w14:textId="77777777" w:rsidR="007518E4" w:rsidRPr="00506F26" w:rsidRDefault="007518E4" w:rsidP="00DB0467">
            <w:pPr>
              <w:spacing w:before="0"/>
              <w:ind w:hanging="533"/>
              <w:jc w:val="center"/>
              <w:rPr>
                <w:rFonts w:ascii="Times New Roman" w:hAnsi="Times New Roman"/>
              </w:rPr>
            </w:pPr>
            <w:r w:rsidRPr="00506F26">
              <w:rPr>
                <w:rFonts w:ascii="Times New Roman" w:hAnsi="Times New Roman"/>
              </w:rPr>
              <w:t>Brief Explanation</w:t>
            </w:r>
          </w:p>
        </w:tc>
      </w:tr>
      <w:tr w:rsidR="007518E4" w:rsidRPr="00506F26" w14:paraId="1E18CD12" w14:textId="77777777" w:rsidTr="007518E4">
        <w:trPr>
          <w:trHeight w:val="755"/>
          <w:jc w:val="center"/>
        </w:trPr>
        <w:tc>
          <w:tcPr>
            <w:tcW w:w="1550" w:type="pct"/>
            <w:vAlign w:val="center"/>
          </w:tcPr>
          <w:p w14:paraId="3BAE09E4" w14:textId="77777777" w:rsidR="007518E4" w:rsidRPr="00506F26" w:rsidRDefault="007518E4" w:rsidP="00DB0467">
            <w:pPr>
              <w:spacing w:before="0"/>
              <w:ind w:left="0"/>
              <w:jc w:val="left"/>
              <w:rPr>
                <w:rFonts w:ascii="Times New Roman" w:hAnsi="Times New Roman"/>
              </w:rPr>
            </w:pPr>
            <w:r w:rsidRPr="00506F26">
              <w:rPr>
                <w:rFonts w:ascii="Times New Roman" w:hAnsi="Times New Roman"/>
                <w:bCs/>
              </w:rPr>
              <w:t xml:space="preserve">PI-21 Predictability of in-year resource allocation  </w:t>
            </w:r>
          </w:p>
        </w:tc>
        <w:tc>
          <w:tcPr>
            <w:tcW w:w="636" w:type="pct"/>
            <w:vAlign w:val="center"/>
          </w:tcPr>
          <w:p w14:paraId="1EBE3D62" w14:textId="77777777" w:rsidR="007518E4" w:rsidRPr="00506F26" w:rsidRDefault="00CC482D" w:rsidP="00361409">
            <w:pPr>
              <w:spacing w:before="0"/>
              <w:ind w:left="0"/>
              <w:jc w:val="center"/>
              <w:rPr>
                <w:rFonts w:ascii="Times New Roman" w:hAnsi="Times New Roman"/>
              </w:rPr>
            </w:pPr>
            <w:r>
              <w:rPr>
                <w:rFonts w:ascii="Times New Roman" w:hAnsi="Times New Roman"/>
              </w:rPr>
              <w:t>D</w:t>
            </w:r>
            <w:r w:rsidR="007518E4">
              <w:rPr>
                <w:rFonts w:ascii="Times New Roman" w:hAnsi="Times New Roman"/>
              </w:rPr>
              <w:t>+</w:t>
            </w:r>
          </w:p>
        </w:tc>
        <w:tc>
          <w:tcPr>
            <w:tcW w:w="2814" w:type="pct"/>
            <w:vAlign w:val="center"/>
          </w:tcPr>
          <w:p w14:paraId="03458C02" w14:textId="77777777" w:rsidR="007518E4" w:rsidRPr="00506F26" w:rsidRDefault="007518E4" w:rsidP="00361409">
            <w:pPr>
              <w:spacing w:before="0"/>
              <w:ind w:left="0"/>
              <w:rPr>
                <w:rFonts w:ascii="Times New Roman" w:hAnsi="Times New Roman"/>
              </w:rPr>
            </w:pPr>
            <w:r w:rsidRPr="00506F26">
              <w:rPr>
                <w:rFonts w:ascii="Times New Roman" w:hAnsi="Times New Roman"/>
              </w:rPr>
              <w:t>Dimensions combined by Method M2 (average).</w:t>
            </w:r>
          </w:p>
        </w:tc>
      </w:tr>
      <w:tr w:rsidR="007518E4" w:rsidRPr="00506F26" w14:paraId="37400D0C" w14:textId="77777777" w:rsidTr="007518E4">
        <w:trPr>
          <w:trHeight w:val="548"/>
          <w:jc w:val="center"/>
        </w:trPr>
        <w:tc>
          <w:tcPr>
            <w:tcW w:w="1550" w:type="pct"/>
            <w:vAlign w:val="center"/>
          </w:tcPr>
          <w:p w14:paraId="387FE2B0" w14:textId="77777777" w:rsidR="007518E4" w:rsidRPr="00506F26" w:rsidRDefault="007518E4" w:rsidP="00DB0467">
            <w:pPr>
              <w:spacing w:before="0"/>
              <w:ind w:left="0"/>
              <w:jc w:val="left"/>
              <w:rPr>
                <w:rFonts w:ascii="Times New Roman" w:hAnsi="Times New Roman"/>
                <w:color w:val="000000"/>
              </w:rPr>
            </w:pPr>
            <w:r w:rsidRPr="00506F26">
              <w:rPr>
                <w:rFonts w:ascii="Times New Roman" w:hAnsi="Times New Roman"/>
                <w:color w:val="000000"/>
              </w:rPr>
              <w:t>21.1 Consolidation of cash balances</w:t>
            </w:r>
          </w:p>
        </w:tc>
        <w:tc>
          <w:tcPr>
            <w:tcW w:w="636" w:type="pct"/>
            <w:vAlign w:val="center"/>
          </w:tcPr>
          <w:p w14:paraId="1D285ECB" w14:textId="77777777" w:rsidR="007518E4" w:rsidRPr="00506F26" w:rsidRDefault="007518E4" w:rsidP="00361409">
            <w:pPr>
              <w:spacing w:before="0"/>
              <w:ind w:left="0"/>
              <w:jc w:val="center"/>
              <w:rPr>
                <w:rFonts w:ascii="Times New Roman" w:hAnsi="Times New Roman"/>
              </w:rPr>
            </w:pPr>
            <w:r w:rsidRPr="00506F26">
              <w:rPr>
                <w:rFonts w:ascii="Times New Roman" w:hAnsi="Times New Roman"/>
              </w:rPr>
              <w:t>C</w:t>
            </w:r>
          </w:p>
        </w:tc>
        <w:tc>
          <w:tcPr>
            <w:tcW w:w="2814" w:type="pct"/>
            <w:vAlign w:val="center"/>
          </w:tcPr>
          <w:p w14:paraId="30C957F5" w14:textId="77777777" w:rsidR="007518E4" w:rsidRPr="00506F26" w:rsidRDefault="007518E4" w:rsidP="00361409">
            <w:pPr>
              <w:spacing w:before="0"/>
              <w:ind w:left="0"/>
              <w:rPr>
                <w:rFonts w:ascii="Times New Roman" w:hAnsi="Times New Roman"/>
              </w:rPr>
            </w:pPr>
            <w:r w:rsidRPr="00506F26">
              <w:rPr>
                <w:rFonts w:ascii="Times New Roman" w:hAnsi="Times New Roman"/>
                <w:lang w:eastAsia="en-IN"/>
              </w:rPr>
              <w:t>All cash balances are now consolidated on a weekly basis including the accounts held by commercial banks on behalf of the Treasury Department, however incomplete coverage of accounting and transaction data in GFIS at provincial level has an impact on the consolidation of cash balances in real time and undermines the accuracy of information reported on cash position.</w:t>
            </w:r>
          </w:p>
        </w:tc>
      </w:tr>
      <w:tr w:rsidR="007518E4" w:rsidRPr="00506F26" w14:paraId="10223D76" w14:textId="77777777" w:rsidTr="007518E4">
        <w:trPr>
          <w:trHeight w:val="548"/>
          <w:jc w:val="center"/>
        </w:trPr>
        <w:tc>
          <w:tcPr>
            <w:tcW w:w="1550" w:type="pct"/>
            <w:vAlign w:val="center"/>
          </w:tcPr>
          <w:p w14:paraId="2F41644B" w14:textId="77777777" w:rsidR="007518E4" w:rsidRPr="00506F26" w:rsidRDefault="007518E4" w:rsidP="00DB0467">
            <w:pPr>
              <w:spacing w:before="0"/>
              <w:ind w:left="0"/>
              <w:jc w:val="left"/>
              <w:rPr>
                <w:rFonts w:ascii="Times New Roman" w:hAnsi="Times New Roman"/>
                <w:color w:val="000000"/>
              </w:rPr>
            </w:pPr>
            <w:r w:rsidRPr="00506F26">
              <w:rPr>
                <w:rFonts w:ascii="Times New Roman" w:hAnsi="Times New Roman"/>
                <w:color w:val="000000"/>
              </w:rPr>
              <w:t xml:space="preserve">21.2 Cash flow forecasting and monitoring </w:t>
            </w:r>
          </w:p>
        </w:tc>
        <w:tc>
          <w:tcPr>
            <w:tcW w:w="636" w:type="pct"/>
            <w:vAlign w:val="center"/>
          </w:tcPr>
          <w:p w14:paraId="7AB17067" w14:textId="77777777" w:rsidR="007518E4" w:rsidRPr="00506F26" w:rsidRDefault="007518E4" w:rsidP="00361409">
            <w:pPr>
              <w:spacing w:before="0"/>
              <w:ind w:left="0"/>
              <w:jc w:val="center"/>
              <w:rPr>
                <w:rFonts w:ascii="Times New Roman" w:hAnsi="Times New Roman"/>
              </w:rPr>
            </w:pPr>
            <w:r w:rsidRPr="00506F26">
              <w:rPr>
                <w:rFonts w:ascii="Times New Roman" w:hAnsi="Times New Roman"/>
              </w:rPr>
              <w:t>C</w:t>
            </w:r>
          </w:p>
        </w:tc>
        <w:tc>
          <w:tcPr>
            <w:tcW w:w="2814" w:type="pct"/>
            <w:vAlign w:val="center"/>
          </w:tcPr>
          <w:p w14:paraId="0432137C" w14:textId="77777777" w:rsidR="007518E4" w:rsidRPr="00506F26" w:rsidRDefault="007518E4" w:rsidP="00361409">
            <w:pPr>
              <w:spacing w:before="0"/>
              <w:ind w:left="0"/>
              <w:rPr>
                <w:rFonts w:ascii="Times New Roman" w:hAnsi="Times New Roman"/>
                <w:lang w:eastAsia="en-IN"/>
              </w:rPr>
            </w:pPr>
            <w:r w:rsidRPr="00506F26">
              <w:rPr>
                <w:rFonts w:ascii="Times New Roman" w:hAnsi="Times New Roman"/>
                <w:lang w:eastAsia="en-IN"/>
              </w:rPr>
              <w:t xml:space="preserve">Cash flow forecasts are produced for the fiscal year and updated </w:t>
            </w:r>
            <w:r w:rsidRPr="005D0D16">
              <w:rPr>
                <w:rFonts w:ascii="Times New Roman" w:hAnsi="Times New Roman"/>
                <w:lang w:eastAsia="en-IN"/>
              </w:rPr>
              <w:t xml:space="preserve">weekly and monthly </w:t>
            </w:r>
            <w:proofErr w:type="gramStart"/>
            <w:r w:rsidRPr="005D0D16">
              <w:rPr>
                <w:rFonts w:ascii="Times New Roman" w:hAnsi="Times New Roman"/>
                <w:lang w:eastAsia="en-IN"/>
              </w:rPr>
              <w:t>on</w:t>
            </w:r>
            <w:r w:rsidRPr="00506F26">
              <w:rPr>
                <w:rFonts w:ascii="Times New Roman" w:hAnsi="Times New Roman"/>
                <w:lang w:eastAsia="en-IN"/>
              </w:rPr>
              <w:t xml:space="preserve"> the basis of</w:t>
            </w:r>
            <w:proofErr w:type="gramEnd"/>
            <w:r w:rsidRPr="00506F26">
              <w:rPr>
                <w:rFonts w:ascii="Times New Roman" w:hAnsi="Times New Roman"/>
                <w:lang w:eastAsia="en-IN"/>
              </w:rPr>
              <w:t xml:space="preserve"> actual revenue collections by the main revenue collecting agencies </w:t>
            </w:r>
            <w:r>
              <w:rPr>
                <w:rFonts w:ascii="Times New Roman" w:hAnsi="Times New Roman"/>
                <w:lang w:eastAsia="en-IN"/>
              </w:rPr>
              <w:t>and expenditure plans</w:t>
            </w:r>
            <w:r w:rsidR="007E33BD">
              <w:rPr>
                <w:rFonts w:ascii="Times New Roman" w:hAnsi="Times New Roman"/>
                <w:lang w:eastAsia="en-IN"/>
              </w:rPr>
              <w:t xml:space="preserve"> (outflows)</w:t>
            </w:r>
            <w:r>
              <w:rPr>
                <w:rFonts w:ascii="Times New Roman" w:hAnsi="Times New Roman"/>
                <w:lang w:eastAsia="en-IN"/>
              </w:rPr>
              <w:t xml:space="preserve"> </w:t>
            </w:r>
            <w:r w:rsidRPr="00506F26">
              <w:rPr>
                <w:rFonts w:ascii="Times New Roman" w:hAnsi="Times New Roman"/>
                <w:lang w:eastAsia="en-IN"/>
              </w:rPr>
              <w:t>but expenditure projections do not cover expenditure commitments beyond budget execution plans and actual payments.</w:t>
            </w:r>
          </w:p>
        </w:tc>
      </w:tr>
      <w:tr w:rsidR="007518E4" w:rsidRPr="00506F26" w14:paraId="21F87FE2" w14:textId="77777777" w:rsidTr="007518E4">
        <w:trPr>
          <w:trHeight w:val="530"/>
          <w:jc w:val="center"/>
        </w:trPr>
        <w:tc>
          <w:tcPr>
            <w:tcW w:w="1550" w:type="pct"/>
            <w:vAlign w:val="center"/>
          </w:tcPr>
          <w:p w14:paraId="0C9CA14D" w14:textId="77777777" w:rsidR="007518E4" w:rsidRPr="00506F26" w:rsidRDefault="007518E4" w:rsidP="00DB0467">
            <w:pPr>
              <w:spacing w:before="0"/>
              <w:ind w:left="0"/>
              <w:jc w:val="left"/>
              <w:rPr>
                <w:rFonts w:ascii="Times New Roman" w:hAnsi="Times New Roman"/>
                <w:color w:val="000000"/>
              </w:rPr>
            </w:pPr>
            <w:r w:rsidRPr="00506F26">
              <w:rPr>
                <w:rFonts w:ascii="Times New Roman" w:hAnsi="Times New Roman"/>
                <w:color w:val="000000"/>
              </w:rPr>
              <w:t>21.3 Information on commitment ceilings</w:t>
            </w:r>
          </w:p>
        </w:tc>
        <w:tc>
          <w:tcPr>
            <w:tcW w:w="636" w:type="pct"/>
            <w:vAlign w:val="center"/>
          </w:tcPr>
          <w:p w14:paraId="6FE4BABF" w14:textId="77777777" w:rsidR="007518E4" w:rsidRPr="00506F26" w:rsidRDefault="007518E4" w:rsidP="00361409">
            <w:pPr>
              <w:spacing w:before="0"/>
              <w:ind w:left="0"/>
              <w:jc w:val="center"/>
              <w:rPr>
                <w:rFonts w:ascii="Times New Roman" w:hAnsi="Times New Roman"/>
              </w:rPr>
            </w:pPr>
            <w:r w:rsidRPr="00506F26">
              <w:rPr>
                <w:rFonts w:ascii="Times New Roman" w:hAnsi="Times New Roman"/>
              </w:rPr>
              <w:t>D</w:t>
            </w:r>
          </w:p>
        </w:tc>
        <w:tc>
          <w:tcPr>
            <w:tcW w:w="2814" w:type="pct"/>
            <w:vAlign w:val="center"/>
          </w:tcPr>
          <w:p w14:paraId="34DD1EEF" w14:textId="77777777" w:rsidR="007518E4" w:rsidRPr="00506F26" w:rsidRDefault="007518E4" w:rsidP="00361409">
            <w:pPr>
              <w:pStyle w:val="ListParagraph"/>
              <w:spacing w:before="0"/>
              <w:ind w:left="0"/>
              <w:contextualSpacing w:val="0"/>
              <w:rPr>
                <w:rFonts w:ascii="Times New Roman" w:eastAsia="ヒラギノ角ゴ Pro W3" w:hAnsi="Times New Roman"/>
                <w:color w:val="000000"/>
                <w:lang w:eastAsia="en-IN"/>
              </w:rPr>
            </w:pPr>
            <w:r w:rsidRPr="00065EA3">
              <w:rPr>
                <w:rFonts w:ascii="Times New Roman" w:hAnsi="Times New Roman"/>
                <w:color w:val="000000"/>
              </w:rPr>
              <w:t xml:space="preserve">Reliable information on funds available for commitment is based on the quarterly spending plans aligned to the approved state budget but is constrained by cash availability which means that information is not reliable even </w:t>
            </w:r>
            <w:proofErr w:type="gramStart"/>
            <w:r w:rsidRPr="00065EA3">
              <w:rPr>
                <w:rFonts w:ascii="Times New Roman" w:hAnsi="Times New Roman"/>
                <w:color w:val="000000"/>
              </w:rPr>
              <w:t>on a monthly basis</w:t>
            </w:r>
            <w:proofErr w:type="gramEnd"/>
            <w:r>
              <w:rPr>
                <w:rFonts w:ascii="Times New Roman" w:hAnsi="Times New Roman"/>
                <w:color w:val="000000"/>
              </w:rPr>
              <w:t>.</w:t>
            </w:r>
          </w:p>
        </w:tc>
      </w:tr>
      <w:tr w:rsidR="007518E4" w:rsidRPr="00506F26" w14:paraId="6BFA5CD4" w14:textId="77777777" w:rsidTr="007518E4">
        <w:trPr>
          <w:trHeight w:val="530"/>
          <w:jc w:val="center"/>
        </w:trPr>
        <w:tc>
          <w:tcPr>
            <w:tcW w:w="1550" w:type="pct"/>
            <w:vAlign w:val="center"/>
          </w:tcPr>
          <w:p w14:paraId="554EB866" w14:textId="77777777" w:rsidR="007518E4" w:rsidRPr="00506F26" w:rsidRDefault="007518E4" w:rsidP="00DB0467">
            <w:pPr>
              <w:spacing w:before="0"/>
              <w:ind w:left="0"/>
              <w:jc w:val="left"/>
              <w:rPr>
                <w:rFonts w:ascii="Times New Roman" w:hAnsi="Times New Roman"/>
                <w:color w:val="000000"/>
              </w:rPr>
            </w:pPr>
            <w:r w:rsidRPr="00506F26">
              <w:rPr>
                <w:rFonts w:ascii="Times New Roman" w:hAnsi="Times New Roman"/>
                <w:color w:val="000000"/>
              </w:rPr>
              <w:t>21.4 Significance of in-year budget adjustments</w:t>
            </w:r>
          </w:p>
        </w:tc>
        <w:tc>
          <w:tcPr>
            <w:tcW w:w="636" w:type="pct"/>
            <w:vAlign w:val="center"/>
          </w:tcPr>
          <w:p w14:paraId="4804FCD7" w14:textId="77777777" w:rsidR="007518E4" w:rsidRPr="00506F26" w:rsidRDefault="007518E4" w:rsidP="00361409">
            <w:pPr>
              <w:spacing w:before="0"/>
              <w:ind w:left="0"/>
              <w:jc w:val="center"/>
              <w:rPr>
                <w:rFonts w:ascii="Times New Roman" w:hAnsi="Times New Roman"/>
              </w:rPr>
            </w:pPr>
            <w:r w:rsidRPr="00506F26">
              <w:rPr>
                <w:rFonts w:ascii="Times New Roman" w:hAnsi="Times New Roman"/>
              </w:rPr>
              <w:t>C</w:t>
            </w:r>
          </w:p>
        </w:tc>
        <w:tc>
          <w:tcPr>
            <w:tcW w:w="2814" w:type="pct"/>
            <w:vAlign w:val="center"/>
          </w:tcPr>
          <w:p w14:paraId="0264B181" w14:textId="77777777" w:rsidR="007518E4" w:rsidRPr="00506F26" w:rsidRDefault="007518E4" w:rsidP="00361409">
            <w:pPr>
              <w:spacing w:before="0"/>
              <w:ind w:left="0"/>
              <w:rPr>
                <w:rFonts w:ascii="Times New Roman" w:eastAsia="ヒラギノ角ゴ Pro W3" w:hAnsi="Times New Roman"/>
                <w:color w:val="000000"/>
                <w:lang w:eastAsia="en-IN"/>
              </w:rPr>
            </w:pPr>
            <w:r w:rsidRPr="00506F26">
              <w:rPr>
                <w:rFonts w:ascii="Times New Roman" w:eastAsia="ヒラギノ角ゴ Pro W3" w:hAnsi="Times New Roman"/>
                <w:color w:val="000000"/>
                <w:lang w:eastAsia="en-IN"/>
              </w:rPr>
              <w:t>Significant and systematic in-year budget adjustments to allocations take place and are predictable but not based on clear policy decisions and priorities involving the budgetary units concerned and therefore only partially transparent.</w:t>
            </w:r>
          </w:p>
        </w:tc>
      </w:tr>
    </w:tbl>
    <w:p w14:paraId="7EC82F58" w14:textId="77777777" w:rsidR="007518E4" w:rsidRPr="0077140F" w:rsidRDefault="007518E4" w:rsidP="00361409">
      <w:pPr>
        <w:spacing w:after="240"/>
        <w:ind w:left="0"/>
        <w:rPr>
          <w:rFonts w:ascii="Times New Roman" w:hAnsi="Times New Roman"/>
          <w:b/>
          <w:bCs/>
          <w:i/>
          <w:color w:val="92D050"/>
          <w:spacing w:val="-1"/>
          <w:sz w:val="24"/>
        </w:rPr>
      </w:pPr>
      <w:r w:rsidRPr="00FE6ED4">
        <w:rPr>
          <w:rFonts w:ascii="Times New Roman" w:eastAsia="Calibri" w:hAnsi="Times New Roman"/>
          <w:b/>
          <w:bCs/>
          <w:color w:val="84C346"/>
          <w:spacing w:val="-1"/>
          <w:sz w:val="24"/>
        </w:rPr>
        <w:lastRenderedPageBreak/>
        <w:t xml:space="preserve">21.1. Consolidation of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 xml:space="preserve">ash </w:t>
      </w:r>
      <w:r>
        <w:rPr>
          <w:rFonts w:ascii="Times New Roman" w:eastAsia="Calibri" w:hAnsi="Times New Roman"/>
          <w:b/>
          <w:bCs/>
          <w:color w:val="84C346"/>
          <w:spacing w:val="-1"/>
          <w:sz w:val="24"/>
        </w:rPr>
        <w:t>b</w:t>
      </w:r>
      <w:r w:rsidRPr="00FE6ED4">
        <w:rPr>
          <w:rFonts w:ascii="Times New Roman" w:eastAsia="Calibri" w:hAnsi="Times New Roman"/>
          <w:b/>
          <w:bCs/>
          <w:color w:val="84C346"/>
          <w:spacing w:val="-1"/>
          <w:sz w:val="24"/>
        </w:rPr>
        <w:t>alances</w:t>
      </w:r>
    </w:p>
    <w:p w14:paraId="60CD3D53" w14:textId="77777777" w:rsidR="007518E4" w:rsidRPr="0077140F" w:rsidRDefault="00361409" w:rsidP="008037D9">
      <w:pPr>
        <w:pStyle w:val="Default"/>
        <w:numPr>
          <w:ilvl w:val="0"/>
          <w:numId w:val="66"/>
        </w:numPr>
        <w:spacing w:after="240"/>
        <w:ind w:left="0"/>
        <w:rPr>
          <w:rFonts w:ascii="Times New Roman" w:hAnsi="Times New Roman" w:cs="Times New Roman"/>
        </w:rPr>
      </w:pPr>
      <w:r w:rsidRPr="00361409">
        <w:rPr>
          <w:rFonts w:ascii="Times New Roman" w:hAnsi="Times New Roman" w:cs="Times New Roman"/>
          <w:b/>
        </w:rPr>
        <w:t>Article 6 of the SBL establishes</w:t>
      </w:r>
      <w:r w:rsidR="007518E4" w:rsidRPr="00361409">
        <w:rPr>
          <w:rFonts w:ascii="Times New Roman" w:hAnsi="Times New Roman" w:cs="Times New Roman"/>
          <w:b/>
        </w:rPr>
        <w:t xml:space="preserve"> the first fundamental principles of the State budget</w:t>
      </w:r>
      <w:r>
        <w:rPr>
          <w:rFonts w:ascii="Times New Roman" w:hAnsi="Times New Roman" w:cs="Times New Roman"/>
        </w:rPr>
        <w:t xml:space="preserve">. </w:t>
      </w:r>
      <w:proofErr w:type="gramStart"/>
      <w:r>
        <w:rPr>
          <w:rFonts w:ascii="Times New Roman" w:hAnsi="Times New Roman" w:cs="Times New Roman"/>
        </w:rPr>
        <w:t>This covers</w:t>
      </w:r>
      <w:proofErr w:type="gramEnd"/>
      <w:r>
        <w:rPr>
          <w:rFonts w:ascii="Times New Roman" w:hAnsi="Times New Roman" w:cs="Times New Roman"/>
        </w:rPr>
        <w:t xml:space="preserve"> “c</w:t>
      </w:r>
      <w:r w:rsidR="007518E4" w:rsidRPr="0077140F">
        <w:rPr>
          <w:rFonts w:ascii="Times New Roman" w:hAnsi="Times New Roman" w:cs="Times New Roman"/>
        </w:rPr>
        <w:t xml:space="preserve">entralization and comprehensiveness: All budget revenues and expenditures shall be fully centralized and accounted for in the State budget through the National Treasury Single Account on the basis of unified laws and regulations nationwide. No revenues may be retained outside the budget system and no funds may be established without proper authorization.” </w:t>
      </w:r>
    </w:p>
    <w:p w14:paraId="3CB68AD2" w14:textId="77777777" w:rsidR="007518E4" w:rsidRPr="00506F26" w:rsidRDefault="007518E4" w:rsidP="008037D9">
      <w:pPr>
        <w:pStyle w:val="Default"/>
        <w:numPr>
          <w:ilvl w:val="0"/>
          <w:numId w:val="66"/>
        </w:numPr>
        <w:spacing w:after="240"/>
        <w:ind w:left="0"/>
        <w:rPr>
          <w:rFonts w:ascii="Times New Roman" w:hAnsi="Times New Roman" w:cs="Times New Roman"/>
        </w:rPr>
      </w:pPr>
      <w:r w:rsidRPr="00361409">
        <w:rPr>
          <w:rFonts w:ascii="Times New Roman" w:hAnsi="Times New Roman" w:cs="Times New Roman"/>
          <w:b/>
        </w:rPr>
        <w:t xml:space="preserve">Since 2016 </w:t>
      </w:r>
      <w:r w:rsidR="00361409">
        <w:rPr>
          <w:rFonts w:ascii="Times New Roman" w:hAnsi="Times New Roman" w:cs="Times New Roman"/>
          <w:b/>
        </w:rPr>
        <w:t>with</w:t>
      </w:r>
      <w:r w:rsidRPr="00361409">
        <w:rPr>
          <w:rFonts w:ascii="Times New Roman" w:hAnsi="Times New Roman" w:cs="Times New Roman"/>
          <w:b/>
        </w:rPr>
        <w:t xml:space="preserve"> the establishment of the Planning and Cash Management division within the Treasury department, significant progress has been achieved</w:t>
      </w:r>
      <w:r w:rsidR="00DB0467">
        <w:rPr>
          <w:rFonts w:ascii="Times New Roman" w:hAnsi="Times New Roman" w:cs="Times New Roman"/>
        </w:rPr>
        <w:t xml:space="preserve">. </w:t>
      </w:r>
      <w:r w:rsidR="00361409" w:rsidRPr="00361409">
        <w:rPr>
          <w:rFonts w:ascii="Times New Roman" w:hAnsi="Times New Roman" w:cs="Times New Roman"/>
        </w:rPr>
        <w:t>This has been</w:t>
      </w:r>
      <w:r w:rsidR="00361409">
        <w:rPr>
          <w:rFonts w:ascii="Times New Roman" w:hAnsi="Times New Roman" w:cs="Times New Roman"/>
          <w:b/>
        </w:rPr>
        <w:t xml:space="preserve"> </w:t>
      </w:r>
      <w:r w:rsidRPr="00506F26">
        <w:rPr>
          <w:rFonts w:ascii="Times New Roman" w:hAnsi="Times New Roman" w:cs="Times New Roman"/>
        </w:rPr>
        <w:t>in the consolidation of the state cash position and the initial steps toward the implementation of a Treasury Single Account.</w:t>
      </w:r>
    </w:p>
    <w:p w14:paraId="41F862D2" w14:textId="77777777" w:rsidR="007518E4" w:rsidRPr="00506F26"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 xml:space="preserve">At present, the Treasury Department holds its main collection accounts in Kips, USD and Thai </w:t>
      </w:r>
      <w:proofErr w:type="spellStart"/>
      <w:r w:rsidRPr="00361409">
        <w:rPr>
          <w:rFonts w:ascii="Times New Roman" w:hAnsi="Times New Roman"/>
          <w:b/>
          <w:color w:val="000000"/>
          <w:sz w:val="24"/>
        </w:rPr>
        <w:t>Bahts</w:t>
      </w:r>
      <w:proofErr w:type="spellEnd"/>
      <w:r w:rsidRPr="00361409">
        <w:rPr>
          <w:rFonts w:ascii="Times New Roman" w:hAnsi="Times New Roman"/>
          <w:b/>
          <w:color w:val="000000"/>
          <w:sz w:val="24"/>
        </w:rPr>
        <w:t xml:space="preserve"> in 6 banks including BoL (18 government accounts).</w:t>
      </w:r>
      <w:r w:rsidRPr="00506F26">
        <w:rPr>
          <w:rFonts w:ascii="Times New Roman" w:hAnsi="Times New Roman"/>
          <w:color w:val="000000"/>
          <w:sz w:val="24"/>
        </w:rPr>
        <w:t xml:space="preserve"> All budgetary central government cash operations are managed through the main BoL collection account and sub-accounts at BoL and accounts in commercial banks with an agreement with MoF to function as agent banks for facilitating receipt and management of government funds in the Treasury Account consolidated fund. Spending entities have operating accounts with BoL into which they receive transfers for their other recurrent transactions, budget allocations for all operations funded by the government. </w:t>
      </w:r>
      <w:r>
        <w:rPr>
          <w:rFonts w:ascii="Times New Roman" w:hAnsi="Times New Roman"/>
          <w:color w:val="000000"/>
          <w:sz w:val="24"/>
        </w:rPr>
        <w:t>Both t</w:t>
      </w:r>
      <w:r w:rsidRPr="00506F26">
        <w:rPr>
          <w:rFonts w:ascii="Times New Roman" w:hAnsi="Times New Roman"/>
          <w:color w:val="000000"/>
          <w:sz w:val="24"/>
        </w:rPr>
        <w:t>he Treasury department at central level and Treasury offices at provincial level use GFIS for entering budgets, cash releases and transaction recording and controlling</w:t>
      </w:r>
      <w:r>
        <w:rPr>
          <w:rFonts w:ascii="Times New Roman" w:hAnsi="Times New Roman"/>
          <w:color w:val="000000"/>
          <w:sz w:val="24"/>
        </w:rPr>
        <w:t>.  M</w:t>
      </w:r>
      <w:r w:rsidRPr="00506F26">
        <w:rPr>
          <w:rFonts w:ascii="Times New Roman" w:hAnsi="Times New Roman"/>
          <w:color w:val="000000"/>
          <w:sz w:val="24"/>
        </w:rPr>
        <w:t xml:space="preserve">anagement reports representing budget performance managed through the Treasury-controlled accounts </w:t>
      </w:r>
      <w:r>
        <w:rPr>
          <w:rFonts w:ascii="Times New Roman" w:hAnsi="Times New Roman"/>
          <w:color w:val="000000"/>
          <w:sz w:val="24"/>
        </w:rPr>
        <w:t xml:space="preserve">are provided to the MoF </w:t>
      </w:r>
      <w:r w:rsidRPr="00506F26">
        <w:rPr>
          <w:rFonts w:ascii="Times New Roman" w:hAnsi="Times New Roman"/>
          <w:color w:val="000000"/>
          <w:sz w:val="24"/>
        </w:rPr>
        <w:t>weekly</w:t>
      </w:r>
      <w:r>
        <w:rPr>
          <w:rFonts w:ascii="Times New Roman" w:hAnsi="Times New Roman"/>
          <w:color w:val="000000"/>
          <w:sz w:val="24"/>
        </w:rPr>
        <w:t xml:space="preserve"> based on GFIS data</w:t>
      </w:r>
      <w:r w:rsidRPr="00506F26">
        <w:rPr>
          <w:rFonts w:ascii="Times New Roman" w:hAnsi="Times New Roman"/>
          <w:color w:val="000000"/>
          <w:sz w:val="24"/>
        </w:rPr>
        <w:t xml:space="preserve"> and monthly</w:t>
      </w:r>
      <w:r>
        <w:rPr>
          <w:rFonts w:ascii="Times New Roman" w:hAnsi="Times New Roman"/>
          <w:color w:val="000000"/>
          <w:sz w:val="24"/>
        </w:rPr>
        <w:t xml:space="preserve"> after reconciliation with provincial data</w:t>
      </w:r>
      <w:r w:rsidRPr="00506F26">
        <w:rPr>
          <w:rFonts w:ascii="Times New Roman" w:hAnsi="Times New Roman"/>
          <w:color w:val="000000"/>
          <w:sz w:val="24"/>
        </w:rPr>
        <w:t xml:space="preserve">. The daily and weekly reconciliation of State budget deposits and Account Payables are carried out based on online access to all statements at central government level. All cash balances are still consolidated manually.  </w:t>
      </w:r>
    </w:p>
    <w:p w14:paraId="70F3E588" w14:textId="77777777" w:rsidR="007518E4" w:rsidRPr="00506F26"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Operations outside GFIS coverage remain an issue</w:t>
      </w:r>
      <w:r w:rsidR="00DB0467">
        <w:rPr>
          <w:rFonts w:ascii="Times New Roman" w:hAnsi="Times New Roman"/>
          <w:color w:val="000000"/>
          <w:sz w:val="24"/>
        </w:rPr>
        <w:t xml:space="preserve">. </w:t>
      </w:r>
      <w:r>
        <w:rPr>
          <w:rFonts w:ascii="Times New Roman" w:hAnsi="Times New Roman"/>
          <w:color w:val="000000"/>
          <w:sz w:val="24"/>
        </w:rPr>
        <w:t xml:space="preserve">These </w:t>
      </w:r>
      <w:r w:rsidRPr="00506F26">
        <w:rPr>
          <w:rFonts w:ascii="Times New Roman" w:hAnsi="Times New Roman"/>
          <w:color w:val="000000"/>
          <w:sz w:val="24"/>
        </w:rPr>
        <w:t>relate</w:t>
      </w:r>
      <w:r w:rsidR="00CC482D">
        <w:rPr>
          <w:rFonts w:ascii="Times New Roman" w:hAnsi="Times New Roman"/>
          <w:color w:val="000000"/>
          <w:sz w:val="24"/>
        </w:rPr>
        <w:t xml:space="preserve"> to</w:t>
      </w:r>
      <w:r w:rsidRPr="00506F26">
        <w:rPr>
          <w:rFonts w:ascii="Times New Roman" w:hAnsi="Times New Roman"/>
          <w:color w:val="000000"/>
          <w:sz w:val="24"/>
        </w:rPr>
        <w:t xml:space="preserve"> the tracking of the cash position at the local Treasury offices and the processing of payments by provincial treasuries without prior application of the GFIS budget and accounting controls. The case of provinces processing transactions manually and entering data in the GFIS system ex-post, instead of doing online ex-ante transaction entry is still an issue relating to connectivity of the server system or lack of training and discipline, even if less and less significant. All delayed entries in the accounting system undermine GFIS’s position a full reflection of all transactions and consolidation of real cash balances and increase the risk of arrears. </w:t>
      </w:r>
    </w:p>
    <w:p w14:paraId="57B98B0A" w14:textId="77777777" w:rsidR="007518E4" w:rsidRPr="00506F26"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The bank accounts of the extra-budgetary funds and service delivery units (schools, health centers) are reconciled every year with their respective line ministry</w:t>
      </w:r>
      <w:r w:rsidRPr="00506F26">
        <w:rPr>
          <w:rFonts w:ascii="Times New Roman" w:hAnsi="Times New Roman"/>
          <w:color w:val="000000"/>
          <w:sz w:val="24"/>
        </w:rPr>
        <w:t xml:space="preserve">. </w:t>
      </w:r>
      <w:r>
        <w:rPr>
          <w:rFonts w:ascii="Times New Roman" w:hAnsi="Times New Roman"/>
          <w:color w:val="000000"/>
          <w:sz w:val="24"/>
        </w:rPr>
        <w:t xml:space="preserve"> </w:t>
      </w:r>
      <w:r w:rsidRPr="00506F26">
        <w:rPr>
          <w:rFonts w:ascii="Times New Roman" w:hAnsi="Times New Roman"/>
          <w:color w:val="000000"/>
          <w:sz w:val="24"/>
        </w:rPr>
        <w:t xml:space="preserve">The transactions processed for donors’ loans and grant disbursements are recorded in the Debt Management and Financial Analysis System (DMFAS) and not into </w:t>
      </w:r>
      <w:proofErr w:type="gramStart"/>
      <w:r w:rsidRPr="00506F26">
        <w:rPr>
          <w:rFonts w:ascii="Times New Roman" w:hAnsi="Times New Roman"/>
          <w:color w:val="000000"/>
          <w:sz w:val="24"/>
        </w:rPr>
        <w:t>GFIS</w:t>
      </w:r>
      <w:proofErr w:type="gramEnd"/>
      <w:r w:rsidRPr="00506F26">
        <w:rPr>
          <w:rFonts w:ascii="Times New Roman" w:hAnsi="Times New Roman"/>
          <w:color w:val="000000"/>
          <w:sz w:val="24"/>
        </w:rPr>
        <w:t xml:space="preserve"> but 129 ODA accounts are captured by the Treasury department from subaccounts at commercial banks through specific agreements with donors.</w:t>
      </w:r>
    </w:p>
    <w:p w14:paraId="0417E98F" w14:textId="77777777" w:rsidR="007518E4" w:rsidRPr="00522D06" w:rsidRDefault="007518E4" w:rsidP="008037D9">
      <w:pPr>
        <w:pStyle w:val="Default"/>
        <w:numPr>
          <w:ilvl w:val="0"/>
          <w:numId w:val="66"/>
        </w:numPr>
        <w:spacing w:after="240"/>
        <w:ind w:left="0"/>
        <w:rPr>
          <w:rFonts w:ascii="Times New Roman" w:hAnsi="Times New Roman" w:cs="Times New Roman"/>
        </w:rPr>
      </w:pPr>
      <w:r w:rsidRPr="00361409">
        <w:rPr>
          <w:rFonts w:ascii="Times New Roman" w:hAnsi="Times New Roman" w:cs="Times New Roman"/>
          <w:b/>
        </w:rPr>
        <w:t>From the information received from</w:t>
      </w:r>
      <w:r w:rsidR="00361409" w:rsidRPr="00361409">
        <w:rPr>
          <w:rFonts w:ascii="Times New Roman" w:hAnsi="Times New Roman" w:cs="Times New Roman"/>
          <w:b/>
        </w:rPr>
        <w:t xml:space="preserve"> Treasury, more than 75% of all</w:t>
      </w:r>
      <w:r w:rsidRPr="00361409">
        <w:rPr>
          <w:rFonts w:ascii="Times New Roman" w:hAnsi="Times New Roman" w:cs="Times New Roman"/>
          <w:b/>
        </w:rPr>
        <w:t xml:space="preserve"> bank and cash balances at central government level are consolidated on a weekly basis.</w:t>
      </w:r>
      <w:r w:rsidRPr="00522D06">
        <w:rPr>
          <w:rFonts w:ascii="Times New Roman" w:hAnsi="Times New Roman" w:cs="Times New Roman"/>
        </w:rPr>
        <w:t xml:space="preserve"> However, provincial accounts cannot ensure control and reporting on all individual transactions through the GFIS and timely consolidation of cash balances and bank accounts of extra-</w:t>
      </w:r>
      <w:r w:rsidRPr="00522D06">
        <w:rPr>
          <w:rFonts w:ascii="Times New Roman" w:hAnsi="Times New Roman" w:cs="Times New Roman"/>
        </w:rPr>
        <w:lastRenderedPageBreak/>
        <w:t xml:space="preserve">budgetary funds and service delivery units are </w:t>
      </w:r>
      <w:r w:rsidR="007E33BD">
        <w:rPr>
          <w:rFonts w:ascii="Times New Roman" w:hAnsi="Times New Roman" w:cs="Times New Roman"/>
        </w:rPr>
        <w:t xml:space="preserve">therefore also </w:t>
      </w:r>
      <w:r w:rsidRPr="00522D06">
        <w:rPr>
          <w:rFonts w:ascii="Times New Roman" w:hAnsi="Times New Roman" w:cs="Times New Roman"/>
        </w:rPr>
        <w:t xml:space="preserve">reconciled </w:t>
      </w:r>
      <w:r w:rsidR="007E33BD">
        <w:rPr>
          <w:rFonts w:ascii="Times New Roman" w:hAnsi="Times New Roman" w:cs="Times New Roman"/>
        </w:rPr>
        <w:t xml:space="preserve">monthly and </w:t>
      </w:r>
      <w:r w:rsidRPr="00522D06">
        <w:rPr>
          <w:rFonts w:ascii="Times New Roman" w:hAnsi="Times New Roman" w:cs="Times New Roman"/>
        </w:rPr>
        <w:t xml:space="preserve">annually: </w:t>
      </w:r>
      <w:r w:rsidR="00310D44" w:rsidRPr="00310D44">
        <w:rPr>
          <w:rFonts w:ascii="Times New Roman" w:hAnsi="Times New Roman" w:cs="Times New Roman"/>
          <w:b/>
        </w:rPr>
        <w:t>Score C.</w:t>
      </w:r>
    </w:p>
    <w:p w14:paraId="2467CE25" w14:textId="77777777" w:rsidR="007518E4" w:rsidRPr="00506F26"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The Treasury is currently planning the introduction of an Automated Clearing House (ACH) facility to achieve e-payments and establish an effective TSA</w:t>
      </w:r>
      <w:r w:rsidRPr="00506F26">
        <w:rPr>
          <w:rFonts w:ascii="Times New Roman" w:hAnsi="Times New Roman"/>
          <w:color w:val="000000"/>
          <w:sz w:val="24"/>
        </w:rPr>
        <w:t xml:space="preserve">. </w:t>
      </w:r>
      <w:r>
        <w:rPr>
          <w:rFonts w:ascii="Times New Roman" w:hAnsi="Times New Roman"/>
          <w:color w:val="000000"/>
          <w:sz w:val="24"/>
        </w:rPr>
        <w:t xml:space="preserve">This has been a </w:t>
      </w:r>
      <w:r w:rsidRPr="00506F26">
        <w:rPr>
          <w:rFonts w:ascii="Times New Roman" w:hAnsi="Times New Roman"/>
          <w:color w:val="000000"/>
          <w:sz w:val="24"/>
        </w:rPr>
        <w:t>long-term obje</w:t>
      </w:r>
      <w:r w:rsidR="00DB0467">
        <w:rPr>
          <w:rFonts w:ascii="Times New Roman" w:hAnsi="Times New Roman"/>
          <w:color w:val="000000"/>
          <w:sz w:val="24"/>
        </w:rPr>
        <w:t xml:space="preserve">ctive. </w:t>
      </w:r>
      <w:r w:rsidRPr="00506F26">
        <w:rPr>
          <w:rFonts w:ascii="Times New Roman" w:hAnsi="Times New Roman"/>
          <w:color w:val="000000"/>
          <w:sz w:val="24"/>
        </w:rPr>
        <w:t>Unlike bilateral payment systems, ACH would allow payment processing to and receiving from any commercial bank of Lao DPR included in the interbank payment system and provide an appropriate solution for most outgoing payment processing and incoming receipt automation.</w:t>
      </w:r>
    </w:p>
    <w:p w14:paraId="3D5C27F3" w14:textId="77777777" w:rsidR="007518E4" w:rsidRPr="00506F26"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Further progress towards the TSA remains a priority</w:t>
      </w:r>
      <w:r w:rsidR="00DB0467">
        <w:rPr>
          <w:rFonts w:ascii="Times New Roman" w:hAnsi="Times New Roman"/>
          <w:color w:val="000000"/>
          <w:sz w:val="24"/>
        </w:rPr>
        <w:t xml:space="preserve">. </w:t>
      </w:r>
      <w:r w:rsidR="00361409">
        <w:rPr>
          <w:rFonts w:ascii="Times New Roman" w:hAnsi="Times New Roman"/>
          <w:color w:val="000000"/>
          <w:sz w:val="24"/>
        </w:rPr>
        <w:t>This is to be</w:t>
      </w:r>
      <w:r w:rsidRPr="00506F26">
        <w:rPr>
          <w:rFonts w:ascii="Times New Roman" w:hAnsi="Times New Roman"/>
          <w:color w:val="000000"/>
          <w:sz w:val="24"/>
        </w:rPr>
        <w:t xml:space="preserve"> based on the development of electronic payment settlement with banks on multilateral and bilateral basis to ensure full centralization of the payment processing within the National Treasury. </w:t>
      </w:r>
    </w:p>
    <w:p w14:paraId="13756C32" w14:textId="77777777" w:rsidR="007518E4" w:rsidRPr="00FE6ED4" w:rsidRDefault="007518E4" w:rsidP="00361409">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21.2. Cash </w:t>
      </w:r>
      <w:r>
        <w:rPr>
          <w:rFonts w:ascii="Times New Roman" w:eastAsia="Calibri" w:hAnsi="Times New Roman"/>
          <w:b/>
          <w:bCs/>
          <w:color w:val="84C346"/>
          <w:spacing w:val="-1"/>
          <w:sz w:val="24"/>
        </w:rPr>
        <w:t>f</w:t>
      </w:r>
      <w:r w:rsidRPr="00FE6ED4">
        <w:rPr>
          <w:rFonts w:ascii="Times New Roman" w:eastAsia="Calibri" w:hAnsi="Times New Roman"/>
          <w:b/>
          <w:bCs/>
          <w:color w:val="84C346"/>
          <w:spacing w:val="-1"/>
          <w:sz w:val="24"/>
        </w:rPr>
        <w:t xml:space="preserve">orecasting and </w:t>
      </w:r>
      <w:r>
        <w:rPr>
          <w:rFonts w:ascii="Times New Roman" w:eastAsia="Calibri" w:hAnsi="Times New Roman"/>
          <w:b/>
          <w:bCs/>
          <w:color w:val="84C346"/>
          <w:spacing w:val="-1"/>
          <w:sz w:val="24"/>
        </w:rPr>
        <w:t>m</w:t>
      </w:r>
      <w:r w:rsidRPr="00FE6ED4">
        <w:rPr>
          <w:rFonts w:ascii="Times New Roman" w:eastAsia="Calibri" w:hAnsi="Times New Roman"/>
          <w:b/>
          <w:bCs/>
          <w:color w:val="84C346"/>
          <w:spacing w:val="-1"/>
          <w:sz w:val="24"/>
        </w:rPr>
        <w:t xml:space="preserve">onitoring </w:t>
      </w:r>
    </w:p>
    <w:p w14:paraId="1AC4889E" w14:textId="77777777" w:rsidR="007518E4" w:rsidRPr="003C5AE0"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A consolidated cash flow forecast is produced annually based on the submission of budget plans by all budgetary units for the fiscal year.</w:t>
      </w:r>
      <w:r w:rsidRPr="003C5AE0">
        <w:rPr>
          <w:rFonts w:ascii="Times New Roman" w:hAnsi="Times New Roman"/>
          <w:color w:val="000000"/>
          <w:sz w:val="24"/>
        </w:rPr>
        <w:t xml:space="preserve"> The forecast is adjusted on a weekly and monthly basis based on actual receipts compared to budget plans</w:t>
      </w:r>
      <w:r>
        <w:rPr>
          <w:rFonts w:ascii="Times New Roman" w:hAnsi="Times New Roman"/>
          <w:color w:val="000000"/>
          <w:sz w:val="24"/>
        </w:rPr>
        <w:t xml:space="preserve"> and actual expenditure obligations at hand (based on PVs received)</w:t>
      </w:r>
      <w:r w:rsidRPr="003C5AE0">
        <w:rPr>
          <w:rFonts w:ascii="Times New Roman" w:hAnsi="Times New Roman"/>
          <w:color w:val="000000"/>
          <w:sz w:val="24"/>
        </w:rPr>
        <w:t>.  Revenue cash flow forecasts are updated with actual cash inflows prepared and submitted by the main revenue colle</w:t>
      </w:r>
      <w:r w:rsidR="00DB0467">
        <w:rPr>
          <w:rFonts w:ascii="Times New Roman" w:hAnsi="Times New Roman"/>
          <w:color w:val="000000"/>
          <w:sz w:val="24"/>
        </w:rPr>
        <w:t>cting agencies (Tax, Customs, SO</w:t>
      </w:r>
      <w:r w:rsidRPr="003C5AE0">
        <w:rPr>
          <w:rFonts w:ascii="Times New Roman" w:hAnsi="Times New Roman"/>
          <w:color w:val="000000"/>
          <w:sz w:val="24"/>
        </w:rPr>
        <w:t>E and State Assets Management departments) on a weekly basis and show the revenue breakdown by revenue type for all the revenues includ</w:t>
      </w:r>
      <w:r w:rsidR="00DB0467">
        <w:rPr>
          <w:rFonts w:ascii="Times New Roman" w:hAnsi="Times New Roman"/>
          <w:color w:val="000000"/>
          <w:sz w:val="24"/>
        </w:rPr>
        <w:t>ed in the state revenue budget.</w:t>
      </w:r>
      <w:r w:rsidRPr="003C5AE0">
        <w:rPr>
          <w:rFonts w:ascii="Times New Roman" w:hAnsi="Times New Roman"/>
          <w:color w:val="000000"/>
          <w:sz w:val="24"/>
        </w:rPr>
        <w:t xml:space="preserve"> Similarly, expenditure forecasts are updated based on the actual budget execution performance on a week to week basis. The template used for cash flow forecast is consolidated by the Treasury department and cash management meetings are held by the senior management at MoF on a weekly and monthly basis to determine how much </w:t>
      </w:r>
      <w:r>
        <w:rPr>
          <w:rFonts w:ascii="Times New Roman" w:hAnsi="Times New Roman"/>
          <w:color w:val="000000"/>
          <w:sz w:val="24"/>
        </w:rPr>
        <w:t xml:space="preserve">of the expenditure obligations and plans can be covered based on the actual revenue </w:t>
      </w:r>
      <w:r w:rsidRPr="003C5AE0">
        <w:rPr>
          <w:rFonts w:ascii="Times New Roman" w:hAnsi="Times New Roman"/>
          <w:color w:val="000000"/>
          <w:sz w:val="24"/>
        </w:rPr>
        <w:t>collection</w:t>
      </w:r>
      <w:r>
        <w:rPr>
          <w:rFonts w:ascii="Times New Roman" w:hAnsi="Times New Roman"/>
          <w:color w:val="000000"/>
          <w:sz w:val="24"/>
        </w:rPr>
        <w:t xml:space="preserve"> and cash at hand.</w:t>
      </w:r>
    </w:p>
    <w:p w14:paraId="00B9CFB2" w14:textId="77777777" w:rsidR="007518E4" w:rsidRPr="003C5AE0"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However, the information supporting the cash flow forecast is still insufficient and the analytical support for cash management remains limited</w:t>
      </w:r>
      <w:r w:rsidR="00DB0467">
        <w:rPr>
          <w:rFonts w:ascii="Times New Roman" w:hAnsi="Times New Roman"/>
          <w:color w:val="000000"/>
          <w:sz w:val="24"/>
        </w:rPr>
        <w:t xml:space="preserve">. </w:t>
      </w:r>
      <w:r w:rsidRPr="003C5AE0">
        <w:rPr>
          <w:rFonts w:ascii="Times New Roman" w:hAnsi="Times New Roman"/>
          <w:color w:val="000000"/>
          <w:sz w:val="24"/>
        </w:rPr>
        <w:t>The decision-making of the MoF management covers about one week of the current payment needs, based on the requests carried over from the previous week and the ones received for the week through the consolidation of Payment Vouchers recorded for ex ante expenditure authorizati</w:t>
      </w:r>
      <w:r w:rsidR="00DB0467">
        <w:rPr>
          <w:rFonts w:ascii="Times New Roman" w:hAnsi="Times New Roman"/>
          <w:color w:val="000000"/>
          <w:sz w:val="24"/>
        </w:rPr>
        <w:t xml:space="preserve">on by the Treasury department. </w:t>
      </w:r>
      <w:r w:rsidRPr="003C5AE0">
        <w:rPr>
          <w:rFonts w:ascii="Times New Roman" w:hAnsi="Times New Roman"/>
          <w:color w:val="000000"/>
          <w:sz w:val="24"/>
        </w:rPr>
        <w:t xml:space="preserve">The forecasts are prepared by the Treasury department but do not include the payment obligations beyond one month based on monthly expenditure projections by the Budget department and as a result consultation with management and decision on financing needs covers a </w:t>
      </w:r>
      <w:proofErr w:type="gramStart"/>
      <w:r w:rsidRPr="003C5AE0">
        <w:rPr>
          <w:rFonts w:ascii="Times New Roman" w:hAnsi="Times New Roman"/>
          <w:color w:val="000000"/>
          <w:sz w:val="24"/>
        </w:rPr>
        <w:t>short term</w:t>
      </w:r>
      <w:proofErr w:type="gramEnd"/>
      <w:r w:rsidRPr="003C5AE0">
        <w:rPr>
          <w:rFonts w:ascii="Times New Roman" w:hAnsi="Times New Roman"/>
          <w:color w:val="000000"/>
          <w:sz w:val="24"/>
        </w:rPr>
        <w:t xml:space="preserve"> outlook. In the absence of a commitment system, there is no systematized information to include large value debt payments or other scheduled government payment obligations into the payment schedules and improve the information on cash balances and anticipate cash shortages </w:t>
      </w:r>
    </w:p>
    <w:p w14:paraId="73619F46" w14:textId="77777777" w:rsidR="007518E4" w:rsidRPr="003C5AE0"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Moreover, the cash forecasting framework to support the cash management function is still limited.</w:t>
      </w:r>
      <w:r w:rsidRPr="003C5AE0">
        <w:rPr>
          <w:rFonts w:ascii="Times New Roman" w:hAnsi="Times New Roman"/>
          <w:color w:val="000000"/>
          <w:sz w:val="24"/>
        </w:rPr>
        <w:t xml:space="preserve"> The lack of a comprehensive information source on the actual cash flows makes it difficult to monitor the actual cash flows and to verify the performance of the cash forecasts or build historical data to understand trends and improve the cash management plans and monitor the budget execution to anticipate the borrowing requirements and strengthen capacity for cash forecasting analysis. The cash management staff mostly relies on the analysis of bank statements received from the k</w:t>
      </w:r>
      <w:r>
        <w:rPr>
          <w:rFonts w:ascii="Times New Roman" w:hAnsi="Times New Roman"/>
          <w:color w:val="000000"/>
          <w:sz w:val="24"/>
        </w:rPr>
        <w:t>ey counterpart banks. As noted</w:t>
      </w:r>
      <w:r w:rsidRPr="003C5AE0">
        <w:rPr>
          <w:rFonts w:ascii="Times New Roman" w:hAnsi="Times New Roman"/>
          <w:color w:val="000000"/>
          <w:sz w:val="24"/>
        </w:rPr>
        <w:t xml:space="preserve"> under PI-21.1, the bank account statements are not adequately aligned with the accounting records. </w:t>
      </w:r>
      <w:r w:rsidRPr="003C5AE0">
        <w:rPr>
          <w:rFonts w:ascii="Times New Roman" w:hAnsi="Times New Roman"/>
          <w:color w:val="000000"/>
          <w:sz w:val="24"/>
        </w:rPr>
        <w:lastRenderedPageBreak/>
        <w:t>Meanwhile, insufficient data coverage in GFIS does not provide the necessary scope to perform a detailed analysis of the government cash flows, and regularly compare actual cash flows with plans as well as the estimated changes that the actual flows will impact on future cash needs.</w:t>
      </w:r>
    </w:p>
    <w:p w14:paraId="032848CE" w14:textId="77777777" w:rsidR="007518E4" w:rsidRPr="003C5AE0"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Cash shortage caused by the distinct fluctuations of in and outflows cycles are usually covered through domestic short term borrowing from BoL to be repaid within the year.</w:t>
      </w:r>
      <w:r w:rsidR="00DB0467">
        <w:rPr>
          <w:rFonts w:ascii="Times New Roman" w:hAnsi="Times New Roman"/>
          <w:color w:val="000000"/>
          <w:sz w:val="24"/>
        </w:rPr>
        <w:t xml:space="preserve"> For example, a short-</w:t>
      </w:r>
      <w:r w:rsidRPr="003C5AE0">
        <w:rPr>
          <w:rFonts w:ascii="Times New Roman" w:hAnsi="Times New Roman"/>
          <w:color w:val="000000"/>
          <w:sz w:val="24"/>
        </w:rPr>
        <w:t xml:space="preserve">term credit line was negotiated with BoL at the beginning of 2017 when cash entries were still low compared to payments requests.  </w:t>
      </w:r>
    </w:p>
    <w:p w14:paraId="3B7DB5F7" w14:textId="77777777" w:rsidR="007518E4" w:rsidRPr="003C5AE0"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color w:val="000000"/>
          <w:sz w:val="24"/>
        </w:rPr>
        <w:t xml:space="preserve">A comprehensive cash flow forecast is produced for the fiscal year </w:t>
      </w:r>
      <w:r w:rsidR="007E33BD">
        <w:rPr>
          <w:rFonts w:ascii="Times New Roman" w:hAnsi="Times New Roman"/>
          <w:b/>
          <w:color w:val="000000"/>
          <w:sz w:val="24"/>
        </w:rPr>
        <w:t xml:space="preserve">based on revenue forecasts and authorized expenditure plans </w:t>
      </w:r>
      <w:r w:rsidRPr="00361409">
        <w:rPr>
          <w:rFonts w:ascii="Times New Roman" w:hAnsi="Times New Roman"/>
          <w:b/>
          <w:color w:val="000000"/>
          <w:sz w:val="24"/>
        </w:rPr>
        <w:t xml:space="preserve">and updated weekly based on actual revenue collections by main revenue collecting agencies which </w:t>
      </w:r>
      <w:proofErr w:type="gramStart"/>
      <w:r w:rsidRPr="00361409">
        <w:rPr>
          <w:rFonts w:ascii="Times New Roman" w:hAnsi="Times New Roman"/>
          <w:b/>
          <w:color w:val="000000"/>
          <w:sz w:val="24"/>
        </w:rPr>
        <w:t>take into account</w:t>
      </w:r>
      <w:proofErr w:type="gramEnd"/>
      <w:r w:rsidRPr="00361409">
        <w:rPr>
          <w:rFonts w:ascii="Times New Roman" w:hAnsi="Times New Roman"/>
          <w:b/>
          <w:color w:val="000000"/>
          <w:sz w:val="24"/>
        </w:rPr>
        <w:t xml:space="preserve"> actual payments</w:t>
      </w:r>
      <w:r w:rsidRPr="003C5AE0">
        <w:rPr>
          <w:rFonts w:ascii="Times New Roman" w:hAnsi="Times New Roman"/>
          <w:color w:val="000000"/>
          <w:sz w:val="24"/>
        </w:rPr>
        <w:t>. However, Treasury cash management plans do not rely on a projection of expenditure commitments and comprehensive analysis of upcoming cash outflows beyond the budget plans and recorded payment requests: Score C.</w:t>
      </w:r>
    </w:p>
    <w:p w14:paraId="60BAA83C" w14:textId="77777777" w:rsidR="007518E4" w:rsidRPr="00FE6ED4" w:rsidRDefault="007518E4" w:rsidP="00361409">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21.3. Information on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 xml:space="preserve">ommitment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eilings</w:t>
      </w:r>
    </w:p>
    <w:p w14:paraId="73D4FF07" w14:textId="77777777" w:rsidR="007518E4"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sz w:val="24"/>
        </w:rPr>
        <w:t>Budget allotments from the approved state budget are allocated quarterly</w:t>
      </w:r>
      <w:r w:rsidRPr="00912243">
        <w:rPr>
          <w:rFonts w:ascii="Times New Roman" w:hAnsi="Times New Roman"/>
          <w:sz w:val="24"/>
        </w:rPr>
        <w:t xml:space="preserve">.  These are based on spending plans submitted by the budgetary units. </w:t>
      </w:r>
      <w:r w:rsidRPr="00912243">
        <w:rPr>
          <w:rFonts w:ascii="Times New Roman" w:hAnsi="Times New Roman"/>
          <w:color w:val="000000"/>
          <w:sz w:val="24"/>
        </w:rPr>
        <w:t xml:space="preserve">The expenditure transaction processing in GFIS requires compliance with the expenditure controls and depends on the ceilings established by the annual budget and subsequent quarterly allocations.  </w:t>
      </w:r>
    </w:p>
    <w:p w14:paraId="4D48ABB3" w14:textId="77777777" w:rsidR="007518E4" w:rsidRPr="00912243" w:rsidRDefault="007518E4" w:rsidP="008037D9">
      <w:pPr>
        <w:pStyle w:val="ListParagraph"/>
        <w:numPr>
          <w:ilvl w:val="0"/>
          <w:numId w:val="66"/>
        </w:numPr>
        <w:autoSpaceDE w:val="0"/>
        <w:autoSpaceDN w:val="0"/>
        <w:adjustRightInd w:val="0"/>
        <w:spacing w:after="240"/>
        <w:ind w:left="0"/>
        <w:contextualSpacing w:val="0"/>
        <w:rPr>
          <w:rFonts w:ascii="Times New Roman" w:hAnsi="Times New Roman"/>
          <w:color w:val="000000"/>
          <w:sz w:val="24"/>
        </w:rPr>
      </w:pPr>
      <w:r w:rsidRPr="00361409">
        <w:rPr>
          <w:rFonts w:ascii="Times New Roman" w:hAnsi="Times New Roman"/>
          <w:b/>
          <w:sz w:val="24"/>
        </w:rPr>
        <w:t>Cash availability may mean that these are not fixed</w:t>
      </w:r>
      <w:r w:rsidRPr="00912243">
        <w:rPr>
          <w:rFonts w:ascii="Times New Roman" w:hAnsi="Times New Roman"/>
          <w:sz w:val="24"/>
        </w:rPr>
        <w:t>.</w:t>
      </w:r>
      <w:r w:rsidR="00DB0467">
        <w:rPr>
          <w:rFonts w:ascii="Times New Roman" w:hAnsi="Times New Roman"/>
          <w:sz w:val="24"/>
        </w:rPr>
        <w:t xml:space="preserve"> </w:t>
      </w:r>
      <w:r>
        <w:rPr>
          <w:rFonts w:ascii="Times New Roman" w:hAnsi="Times New Roman"/>
          <w:sz w:val="24"/>
        </w:rPr>
        <w:t>T</w:t>
      </w:r>
      <w:r w:rsidRPr="00912243">
        <w:rPr>
          <w:rFonts w:ascii="Times New Roman" w:hAnsi="Times New Roman"/>
          <w:sz w:val="24"/>
        </w:rPr>
        <w:t>he Budget Department prepares quarterly allocations of the annual budget without consideration of the actual expenditure trends and cash needs from the budgetary units</w:t>
      </w:r>
      <w:r w:rsidRPr="00522D06">
        <w:rPr>
          <w:rFonts w:ascii="Times New Roman" w:hAnsi="Times New Roman"/>
          <w:color w:val="000000"/>
          <w:sz w:val="24"/>
        </w:rPr>
        <w:t xml:space="preserve"> and will be able in theory to use the funds accordingly</w:t>
      </w:r>
      <w:r>
        <w:rPr>
          <w:rFonts w:ascii="Times New Roman" w:hAnsi="Times New Roman"/>
          <w:color w:val="000000"/>
          <w:sz w:val="24"/>
        </w:rPr>
        <w:t xml:space="preserve">. </w:t>
      </w:r>
      <w:r w:rsidRPr="00522D06">
        <w:rPr>
          <w:rFonts w:ascii="Times New Roman" w:hAnsi="Times New Roman"/>
          <w:color w:val="000000"/>
          <w:sz w:val="24"/>
        </w:rPr>
        <w:t xml:space="preserve">The Budget Department </w:t>
      </w:r>
      <w:r>
        <w:rPr>
          <w:rFonts w:ascii="Times New Roman" w:hAnsi="Times New Roman"/>
          <w:color w:val="000000"/>
          <w:sz w:val="24"/>
        </w:rPr>
        <w:t xml:space="preserve">inputs </w:t>
      </w:r>
      <w:r w:rsidRPr="00522D06">
        <w:rPr>
          <w:rFonts w:ascii="Times New Roman" w:hAnsi="Times New Roman"/>
          <w:color w:val="000000"/>
          <w:sz w:val="24"/>
        </w:rPr>
        <w:t>the amount for quarterly allotments into GFIS so that budgetary units cannot spend beyond these quarterly commitment ceilings.</w:t>
      </w:r>
      <w:r>
        <w:rPr>
          <w:rFonts w:ascii="Times New Roman" w:hAnsi="Times New Roman"/>
          <w:color w:val="000000"/>
          <w:sz w:val="24"/>
        </w:rPr>
        <w:t xml:space="preserve">  E</w:t>
      </w:r>
      <w:r w:rsidRPr="00522D06">
        <w:rPr>
          <w:rFonts w:ascii="Times New Roman" w:hAnsi="Times New Roman"/>
          <w:color w:val="000000"/>
          <w:sz w:val="24"/>
        </w:rPr>
        <w:t>ffe</w:t>
      </w:r>
      <w:r>
        <w:rPr>
          <w:rFonts w:ascii="Times New Roman" w:hAnsi="Times New Roman"/>
          <w:color w:val="000000"/>
          <w:sz w:val="24"/>
        </w:rPr>
        <w:t xml:space="preserve">ctively, payments will be confined by cash availability </w:t>
      </w:r>
      <w:r w:rsidRPr="00522D06">
        <w:rPr>
          <w:rFonts w:ascii="Times New Roman" w:hAnsi="Times New Roman"/>
          <w:color w:val="000000"/>
          <w:sz w:val="24"/>
        </w:rPr>
        <w:t xml:space="preserve">as payments requests are submitted to MoF and on the weekly plans by Treasury Department aligning cash availability to actual requests.  </w:t>
      </w:r>
    </w:p>
    <w:p w14:paraId="77EFCB1D" w14:textId="77777777" w:rsidR="007518E4" w:rsidRPr="00AD5E33" w:rsidRDefault="007518E4" w:rsidP="008037D9">
      <w:pPr>
        <w:pStyle w:val="Default"/>
        <w:numPr>
          <w:ilvl w:val="0"/>
          <w:numId w:val="66"/>
        </w:numPr>
        <w:spacing w:after="240"/>
        <w:ind w:left="0"/>
        <w:rPr>
          <w:rFonts w:ascii="Times New Roman" w:hAnsi="Times New Roman" w:cs="Times New Roman"/>
        </w:rPr>
      </w:pPr>
      <w:r w:rsidRPr="00361409">
        <w:rPr>
          <w:rFonts w:ascii="Times New Roman" w:hAnsi="Times New Roman" w:cs="Times New Roman"/>
          <w:b/>
        </w:rPr>
        <w:t>Commitments and payments by the budgetary units depend wholly on the cash availability at central government level</w:t>
      </w:r>
      <w:r w:rsidR="00DB0467">
        <w:rPr>
          <w:rFonts w:ascii="Times New Roman" w:hAnsi="Times New Roman" w:cs="Times New Roman"/>
        </w:rPr>
        <w:t>.</w:t>
      </w:r>
      <w:r w:rsidRPr="00AD5E33">
        <w:rPr>
          <w:rFonts w:ascii="Times New Roman" w:hAnsi="Times New Roman" w:cs="Times New Roman"/>
        </w:rPr>
        <w:t xml:space="preserve"> Only priority expenditures can be secured in a timely manner: salaries and repayment of debt service (principal and interest).  For the other expenditure categories, including capital expenditure, the rule is mostly first-come first served basis. </w:t>
      </w:r>
    </w:p>
    <w:p w14:paraId="4550169D" w14:textId="77777777" w:rsidR="007518E4" w:rsidRPr="00522D06" w:rsidRDefault="007518E4" w:rsidP="008037D9">
      <w:pPr>
        <w:pStyle w:val="ListParagraph"/>
        <w:numPr>
          <w:ilvl w:val="0"/>
          <w:numId w:val="66"/>
        </w:numPr>
        <w:spacing w:after="240"/>
        <w:ind w:left="0"/>
        <w:rPr>
          <w:rFonts w:ascii="Times New Roman" w:hAnsi="Times New Roman"/>
          <w:sz w:val="24"/>
          <w:lang w:val="en-GB"/>
        </w:rPr>
      </w:pPr>
      <w:r w:rsidRPr="00361409">
        <w:rPr>
          <w:rFonts w:ascii="Times New Roman" w:hAnsi="Times New Roman"/>
          <w:b/>
          <w:color w:val="000000"/>
          <w:sz w:val="24"/>
        </w:rPr>
        <w:t>Line ministries have indicated that due to occasional resource scarcity and cash shortfall throughout the year, payments can be delayed and affect the predictability of payments.</w:t>
      </w:r>
      <w:r w:rsidRPr="00522D06">
        <w:rPr>
          <w:rFonts w:ascii="Times New Roman" w:hAnsi="Times New Roman"/>
          <w:color w:val="000000"/>
          <w:sz w:val="24"/>
        </w:rPr>
        <w:t xml:space="preserve"> Even if expenditures are planned based on annual budget estimates and cash management has improved significantly, critical expenditures such as the transfers of annual allocation of school block grants to schools can still be delayed. As a result, fee-charging</w:t>
      </w:r>
      <w:r w:rsidRPr="00522D06">
        <w:rPr>
          <w:rFonts w:ascii="Times New Roman" w:hAnsi="Times New Roman"/>
          <w:sz w:val="24"/>
          <w:lang w:val="en-GB"/>
        </w:rPr>
        <w:t xml:space="preserve"> options by service-delivery units (mostly in education and health) continue to collect technical revenues (tuition fees, patient fees, etc.), which can be retained to cover certain operating costs of those establishments</w:t>
      </w:r>
      <w:r w:rsidRPr="00522D06">
        <w:rPr>
          <w:rStyle w:val="FootnoteReference"/>
          <w:rFonts w:ascii="Times New Roman" w:hAnsi="Times New Roman"/>
          <w:sz w:val="24"/>
          <w:lang w:val="en-GB"/>
        </w:rPr>
        <w:footnoteReference w:id="43"/>
      </w:r>
      <w:r w:rsidRPr="00522D06">
        <w:rPr>
          <w:rFonts w:ascii="Times New Roman" w:hAnsi="Times New Roman"/>
          <w:sz w:val="24"/>
          <w:lang w:val="en-GB"/>
        </w:rPr>
        <w:t xml:space="preserve"> (rather than reverting to the general government account in the </w:t>
      </w:r>
      <w:r w:rsidRPr="00522D06">
        <w:rPr>
          <w:rFonts w:ascii="Times New Roman" w:hAnsi="Times New Roman"/>
          <w:sz w:val="24"/>
          <w:lang w:val="en-GB"/>
        </w:rPr>
        <w:lastRenderedPageBreak/>
        <w:t>Treasury system); these are reported as especially important for financing the costs of province and central hospitals.</w:t>
      </w:r>
    </w:p>
    <w:p w14:paraId="2C806146" w14:textId="77777777" w:rsidR="007518E4" w:rsidRPr="00522D06" w:rsidRDefault="007518E4" w:rsidP="008037D9">
      <w:pPr>
        <w:pStyle w:val="Default"/>
        <w:numPr>
          <w:ilvl w:val="0"/>
          <w:numId w:val="66"/>
        </w:numPr>
        <w:spacing w:after="240"/>
        <w:ind w:left="0"/>
        <w:rPr>
          <w:rFonts w:ascii="Times New Roman" w:hAnsi="Times New Roman" w:cs="Times New Roman"/>
          <w:lang w:val="en-MY"/>
        </w:rPr>
      </w:pPr>
      <w:r w:rsidRPr="00361409">
        <w:rPr>
          <w:rFonts w:ascii="Times New Roman" w:hAnsi="Times New Roman" w:cs="Times New Roman"/>
          <w:b/>
        </w:rPr>
        <w:t xml:space="preserve">Transition efforts towards the implementation of the TSA include the piloting of an electronic payment system and mobile banking through the introduction of the </w:t>
      </w:r>
      <w:proofErr w:type="spellStart"/>
      <w:r w:rsidRPr="00361409">
        <w:rPr>
          <w:rFonts w:ascii="Times New Roman" w:hAnsi="Times New Roman" w:cs="Times New Roman"/>
          <w:b/>
        </w:rPr>
        <w:t>SmartCash</w:t>
      </w:r>
      <w:proofErr w:type="spellEnd"/>
      <w:r w:rsidRPr="00361409">
        <w:rPr>
          <w:rFonts w:ascii="Times New Roman" w:hAnsi="Times New Roman" w:cs="Times New Roman"/>
          <w:b/>
        </w:rPr>
        <w:t xml:space="preserve"> facility</w:t>
      </w:r>
      <w:r w:rsidRPr="00522D06">
        <w:rPr>
          <w:rFonts w:ascii="Times New Roman" w:hAnsi="Times New Roman" w:cs="Times New Roman"/>
        </w:rPr>
        <w:t xml:space="preserve">. The current arrangement for </w:t>
      </w:r>
      <w:proofErr w:type="spellStart"/>
      <w:r w:rsidRPr="00522D06">
        <w:rPr>
          <w:rFonts w:ascii="Times New Roman" w:hAnsi="Times New Roman" w:cs="Times New Roman"/>
        </w:rPr>
        <w:t>SmartCash</w:t>
      </w:r>
      <w:proofErr w:type="spellEnd"/>
      <w:r w:rsidRPr="00522D06">
        <w:rPr>
          <w:rFonts w:ascii="Times New Roman" w:hAnsi="Times New Roman" w:cs="Times New Roman"/>
        </w:rPr>
        <w:t xml:space="preserve"> with BCEL and LDB for cash withdrawals and payments of goods and services below 5 million kip and has been well integrated with GFIS and has reasonable security features. Its functionality currently serves 20 ministries at the central government level with the plan to roll out to all ministries and agencies but for the moment does not support payment processing from provincial and district treasuries. </w:t>
      </w:r>
    </w:p>
    <w:p w14:paraId="542084E8" w14:textId="77777777" w:rsidR="007518E4" w:rsidRPr="00D63A19" w:rsidRDefault="007518E4" w:rsidP="008037D9">
      <w:pPr>
        <w:pStyle w:val="ListParagraph"/>
        <w:numPr>
          <w:ilvl w:val="0"/>
          <w:numId w:val="66"/>
        </w:numPr>
        <w:spacing w:after="240"/>
        <w:ind w:left="0"/>
        <w:rPr>
          <w:rFonts w:ascii="Times New Roman" w:hAnsi="Times New Roman"/>
          <w:color w:val="000000"/>
          <w:sz w:val="24"/>
        </w:rPr>
      </w:pPr>
      <w:r w:rsidRPr="00361409">
        <w:rPr>
          <w:rFonts w:ascii="Times New Roman" w:hAnsi="Times New Roman"/>
          <w:b/>
          <w:color w:val="000000"/>
          <w:sz w:val="24"/>
        </w:rPr>
        <w:t>Reliable information on funds available for commitment is based on the quarterly spending plans aligned to the approved state budget</w:t>
      </w:r>
      <w:r w:rsidR="00DB0467">
        <w:rPr>
          <w:rFonts w:ascii="Times New Roman" w:hAnsi="Times New Roman"/>
          <w:color w:val="000000"/>
          <w:sz w:val="24"/>
        </w:rPr>
        <w:t xml:space="preserve">. </w:t>
      </w:r>
      <w:r w:rsidR="00361409" w:rsidRPr="00361409">
        <w:rPr>
          <w:rFonts w:ascii="Times New Roman" w:hAnsi="Times New Roman"/>
          <w:color w:val="000000"/>
          <w:sz w:val="24"/>
        </w:rPr>
        <w:t>This</w:t>
      </w:r>
      <w:r w:rsidRPr="00D63A19">
        <w:rPr>
          <w:rFonts w:ascii="Times New Roman" w:hAnsi="Times New Roman"/>
          <w:color w:val="000000"/>
          <w:sz w:val="24"/>
        </w:rPr>
        <w:t xml:space="preserve"> </w:t>
      </w:r>
      <w:r>
        <w:rPr>
          <w:rFonts w:ascii="Times New Roman" w:hAnsi="Times New Roman"/>
          <w:color w:val="000000"/>
          <w:sz w:val="24"/>
        </w:rPr>
        <w:t xml:space="preserve">is constrained by cash availability which means that information is not reliable even </w:t>
      </w:r>
      <w:proofErr w:type="gramStart"/>
      <w:r>
        <w:rPr>
          <w:rFonts w:ascii="Times New Roman" w:hAnsi="Times New Roman"/>
          <w:color w:val="000000"/>
          <w:sz w:val="24"/>
        </w:rPr>
        <w:t>on a monthly basis</w:t>
      </w:r>
      <w:proofErr w:type="gramEnd"/>
      <w:r w:rsidRPr="00D63A19">
        <w:rPr>
          <w:rFonts w:ascii="Times New Roman" w:hAnsi="Times New Roman"/>
          <w:color w:val="000000"/>
          <w:sz w:val="24"/>
        </w:rPr>
        <w:t>: Score D.</w:t>
      </w:r>
    </w:p>
    <w:p w14:paraId="7E97A73F" w14:textId="77777777" w:rsidR="007518E4" w:rsidRPr="00F477F9" w:rsidRDefault="007518E4" w:rsidP="00361409">
      <w:pPr>
        <w:spacing w:after="240"/>
        <w:ind w:left="0"/>
        <w:rPr>
          <w:rFonts w:ascii="Times New Roman" w:eastAsia="Calibri" w:hAnsi="Times New Roman"/>
          <w:b/>
          <w:bCs/>
          <w:color w:val="84C346"/>
          <w:spacing w:val="-1"/>
          <w:sz w:val="24"/>
        </w:rPr>
      </w:pPr>
      <w:r w:rsidRPr="00F477F9">
        <w:rPr>
          <w:rFonts w:ascii="Times New Roman" w:eastAsia="Calibri" w:hAnsi="Times New Roman"/>
          <w:b/>
          <w:bCs/>
          <w:color w:val="84C346"/>
          <w:spacing w:val="-1"/>
          <w:sz w:val="24"/>
        </w:rPr>
        <w:t xml:space="preserve">21.4. Significance of </w:t>
      </w:r>
      <w:r>
        <w:rPr>
          <w:rFonts w:ascii="Times New Roman" w:eastAsia="Calibri" w:hAnsi="Times New Roman"/>
          <w:b/>
          <w:bCs/>
          <w:color w:val="84C346"/>
          <w:spacing w:val="-1"/>
          <w:sz w:val="24"/>
        </w:rPr>
        <w:t>i</w:t>
      </w:r>
      <w:r w:rsidRPr="00F477F9">
        <w:rPr>
          <w:rFonts w:ascii="Times New Roman" w:eastAsia="Calibri" w:hAnsi="Times New Roman"/>
          <w:b/>
          <w:bCs/>
          <w:color w:val="84C346"/>
          <w:spacing w:val="-1"/>
          <w:sz w:val="24"/>
        </w:rPr>
        <w:t>n-</w:t>
      </w:r>
      <w:r>
        <w:rPr>
          <w:rFonts w:ascii="Times New Roman" w:eastAsia="Calibri" w:hAnsi="Times New Roman"/>
          <w:b/>
          <w:bCs/>
          <w:color w:val="84C346"/>
          <w:spacing w:val="-1"/>
          <w:sz w:val="24"/>
        </w:rPr>
        <w:t>y</w:t>
      </w:r>
      <w:r w:rsidRPr="00F477F9">
        <w:rPr>
          <w:rFonts w:ascii="Times New Roman" w:eastAsia="Calibri" w:hAnsi="Times New Roman"/>
          <w:b/>
          <w:bCs/>
          <w:color w:val="84C346"/>
          <w:spacing w:val="-1"/>
          <w:sz w:val="24"/>
        </w:rPr>
        <w:t xml:space="preserve">ear </w:t>
      </w:r>
      <w:r>
        <w:rPr>
          <w:rFonts w:ascii="Times New Roman" w:eastAsia="Calibri" w:hAnsi="Times New Roman"/>
          <w:b/>
          <w:bCs/>
          <w:color w:val="84C346"/>
          <w:spacing w:val="-1"/>
          <w:sz w:val="24"/>
        </w:rPr>
        <w:t>b</w:t>
      </w:r>
      <w:r w:rsidRPr="00F477F9">
        <w:rPr>
          <w:rFonts w:ascii="Times New Roman" w:eastAsia="Calibri" w:hAnsi="Times New Roman"/>
          <w:b/>
          <w:bCs/>
          <w:color w:val="84C346"/>
          <w:spacing w:val="-1"/>
          <w:sz w:val="24"/>
        </w:rPr>
        <w:t xml:space="preserve">udget </w:t>
      </w:r>
      <w:r>
        <w:rPr>
          <w:rFonts w:ascii="Times New Roman" w:eastAsia="Calibri" w:hAnsi="Times New Roman"/>
          <w:b/>
          <w:bCs/>
          <w:color w:val="84C346"/>
          <w:spacing w:val="-1"/>
          <w:sz w:val="24"/>
        </w:rPr>
        <w:t>a</w:t>
      </w:r>
      <w:r w:rsidRPr="00F477F9">
        <w:rPr>
          <w:rFonts w:ascii="Times New Roman" w:eastAsia="Calibri" w:hAnsi="Times New Roman"/>
          <w:b/>
          <w:bCs/>
          <w:color w:val="84C346"/>
          <w:spacing w:val="-1"/>
          <w:sz w:val="24"/>
        </w:rPr>
        <w:t>djustments</w:t>
      </w:r>
    </w:p>
    <w:p w14:paraId="1AF81C77" w14:textId="77777777" w:rsidR="007518E4" w:rsidRDefault="007518E4" w:rsidP="008037D9">
      <w:pPr>
        <w:pStyle w:val="ListParagraph"/>
        <w:numPr>
          <w:ilvl w:val="0"/>
          <w:numId w:val="66"/>
        </w:numPr>
        <w:spacing w:after="240"/>
        <w:ind w:left="0"/>
        <w:contextualSpacing w:val="0"/>
        <w:rPr>
          <w:rFonts w:ascii="Times New Roman" w:hAnsi="Times New Roman"/>
          <w:color w:val="000000"/>
          <w:sz w:val="24"/>
        </w:rPr>
      </w:pPr>
      <w:bookmarkStart w:id="87" w:name="_Toc518901807"/>
      <w:r w:rsidRPr="000D3B83">
        <w:rPr>
          <w:rFonts w:ascii="Times New Roman" w:hAnsi="Times New Roman"/>
          <w:b/>
          <w:bCs/>
          <w:sz w:val="24"/>
        </w:rPr>
        <w:t xml:space="preserve">Article 51 of SBL </w:t>
      </w:r>
      <w:r w:rsidR="00361409" w:rsidRPr="000D3B83">
        <w:rPr>
          <w:rFonts w:ascii="Times New Roman" w:hAnsi="Times New Roman"/>
          <w:b/>
          <w:bCs/>
          <w:sz w:val="24"/>
        </w:rPr>
        <w:t>on</w:t>
      </w:r>
      <w:r w:rsidRPr="000D3B83">
        <w:rPr>
          <w:rFonts w:ascii="Times New Roman" w:hAnsi="Times New Roman"/>
          <w:b/>
          <w:bCs/>
          <w:sz w:val="24"/>
        </w:rPr>
        <w:t xml:space="preserve"> the revision of the budget refers to “measures</w:t>
      </w:r>
      <w:r w:rsidRPr="000D3B83">
        <w:rPr>
          <w:rFonts w:ascii="Times New Roman" w:hAnsi="Times New Roman"/>
          <w:b/>
          <w:bCs/>
          <w:sz w:val="24"/>
          <w:lang w:val="en-MY"/>
        </w:rPr>
        <w:t xml:space="preserve"> to handle the failure to meet revenue collection targets” as “</w:t>
      </w:r>
      <w:proofErr w:type="gramStart"/>
      <w:r w:rsidRPr="000D3B83">
        <w:rPr>
          <w:rFonts w:ascii="Times New Roman" w:hAnsi="Times New Roman"/>
          <w:b/>
          <w:bCs/>
          <w:sz w:val="24"/>
          <w:lang w:val="en-MY"/>
        </w:rPr>
        <w:t>i</w:t>
      </w:r>
      <w:r w:rsidRPr="000D3B83">
        <w:rPr>
          <w:rFonts w:ascii="Times New Roman" w:hAnsi="Times New Roman"/>
          <w:b/>
          <w:sz w:val="24"/>
          <w:lang w:val="en-MY"/>
        </w:rPr>
        <w:t>n the event that</w:t>
      </w:r>
      <w:proofErr w:type="gramEnd"/>
      <w:r w:rsidRPr="000D3B83">
        <w:rPr>
          <w:rFonts w:ascii="Times New Roman" w:hAnsi="Times New Roman"/>
          <w:b/>
          <w:sz w:val="24"/>
          <w:lang w:val="en-MY"/>
        </w:rPr>
        <w:t xml:space="preserve"> budget implementation has been taking place for more than 6 months, and the annual revenue collection is projected to be 5% lower than the set annual targets</w:t>
      </w:r>
      <w:r w:rsidR="000D3B83">
        <w:rPr>
          <w:rFonts w:ascii="Times New Roman" w:hAnsi="Times New Roman"/>
          <w:b/>
          <w:sz w:val="24"/>
          <w:lang w:val="en-MY"/>
        </w:rPr>
        <w:t>.</w:t>
      </w:r>
      <w:r w:rsidR="000D3B83" w:rsidRPr="000D3B83">
        <w:rPr>
          <w:rFonts w:ascii="Times New Roman" w:hAnsi="Times New Roman"/>
          <w:sz w:val="24"/>
          <w:lang w:val="en-MY"/>
        </w:rPr>
        <w:t xml:space="preserve"> </w:t>
      </w:r>
      <w:r w:rsidR="000D3B83">
        <w:rPr>
          <w:rFonts w:ascii="Times New Roman" w:hAnsi="Times New Roman"/>
          <w:sz w:val="24"/>
          <w:lang w:val="en-MY"/>
        </w:rPr>
        <w:t xml:space="preserve">In this situation, </w:t>
      </w:r>
      <w:r w:rsidRPr="00065EA3">
        <w:rPr>
          <w:rFonts w:ascii="Times New Roman" w:hAnsi="Times New Roman"/>
          <w:sz w:val="24"/>
          <w:lang w:val="en-MY"/>
        </w:rPr>
        <w:t xml:space="preserve">the Ministry of Finance shall study sources of financing or reduce the expenditures proportional to projected revenue shortfall </w:t>
      </w:r>
      <w:proofErr w:type="gramStart"/>
      <w:r w:rsidRPr="00065EA3">
        <w:rPr>
          <w:rFonts w:ascii="Times New Roman" w:hAnsi="Times New Roman"/>
          <w:sz w:val="24"/>
          <w:lang w:val="en-MY"/>
        </w:rPr>
        <w:t>in order to</w:t>
      </w:r>
      <w:proofErr w:type="gramEnd"/>
      <w:r w:rsidRPr="00065EA3">
        <w:rPr>
          <w:rFonts w:ascii="Times New Roman" w:hAnsi="Times New Roman"/>
          <w:sz w:val="24"/>
          <w:lang w:val="en-MY"/>
        </w:rPr>
        <w:t xml:space="preserve"> request for the Government’s approval and then report the Nati</w:t>
      </w:r>
      <w:r w:rsidR="00DB0467">
        <w:rPr>
          <w:rFonts w:ascii="Times New Roman" w:hAnsi="Times New Roman"/>
          <w:sz w:val="24"/>
          <w:lang w:val="en-MY"/>
        </w:rPr>
        <w:t xml:space="preserve">onal Assembly for information. </w:t>
      </w:r>
      <w:proofErr w:type="gramStart"/>
      <w:r w:rsidRPr="00065EA3">
        <w:rPr>
          <w:rFonts w:ascii="Times New Roman" w:hAnsi="Times New Roman"/>
          <w:sz w:val="24"/>
          <w:lang w:val="en-MY"/>
        </w:rPr>
        <w:t>In the event that</w:t>
      </w:r>
      <w:proofErr w:type="gramEnd"/>
      <w:r w:rsidRPr="00065EA3">
        <w:rPr>
          <w:rFonts w:ascii="Times New Roman" w:hAnsi="Times New Roman"/>
          <w:sz w:val="24"/>
          <w:lang w:val="en-MY"/>
        </w:rPr>
        <w:t xml:space="preserve"> the collection of revenue is less than the target plan by five percent or more, the Ministry of Finance shall request the government to propose an adjustment of the State budget plan to the National Assembly for consideration. </w:t>
      </w:r>
      <w:r w:rsidR="000D3B83">
        <w:rPr>
          <w:rFonts w:ascii="Times New Roman" w:hAnsi="Times New Roman"/>
          <w:bCs/>
          <w:sz w:val="24"/>
          <w:lang w:val="en-MY"/>
        </w:rPr>
        <w:t>Article</w:t>
      </w:r>
      <w:r w:rsidRPr="00065EA3">
        <w:rPr>
          <w:rFonts w:ascii="Times New Roman" w:hAnsi="Times New Roman"/>
          <w:bCs/>
          <w:sz w:val="24"/>
          <w:lang w:val="en-MY"/>
        </w:rPr>
        <w:t xml:space="preserve"> 59 authorizes amendment of the State Budget Plan that </w:t>
      </w:r>
      <w:r w:rsidRPr="00065EA3">
        <w:rPr>
          <w:rFonts w:ascii="Times New Roman" w:hAnsi="Times New Roman"/>
          <w:sz w:val="24"/>
          <w:lang w:val="en-MY"/>
        </w:rPr>
        <w:t xml:space="preserve">may take place only once in a fiscal year </w:t>
      </w:r>
      <w:proofErr w:type="gramStart"/>
      <w:r w:rsidRPr="00065EA3">
        <w:rPr>
          <w:rFonts w:ascii="Times New Roman" w:hAnsi="Times New Roman"/>
          <w:sz w:val="24"/>
          <w:lang w:val="en-MY"/>
        </w:rPr>
        <w:t>as a result of</w:t>
      </w:r>
      <w:proofErr w:type="gramEnd"/>
      <w:r w:rsidRPr="00065EA3">
        <w:rPr>
          <w:rFonts w:ascii="Times New Roman" w:hAnsi="Times New Roman"/>
          <w:sz w:val="24"/>
          <w:lang w:val="en-MY"/>
        </w:rPr>
        <w:t xml:space="preserve"> revenue under- or over-collection, any modification to policies or unexpected circumstances that affect annual budget revenues and expenditures.  </w:t>
      </w:r>
      <w:r w:rsidRPr="00065EA3">
        <w:rPr>
          <w:rFonts w:ascii="Times New Roman" w:hAnsi="Times New Roman"/>
          <w:color w:val="000000"/>
          <w:sz w:val="24"/>
        </w:rPr>
        <w:t xml:space="preserve">Since 2013/14 a revised budget has been systematically presented to the NA and most of the changes are guided by the shortfall of the resource envelope and not policy decisions or priorities. </w:t>
      </w:r>
      <w:r w:rsidR="000D3B83">
        <w:rPr>
          <w:rFonts w:ascii="Times New Roman" w:hAnsi="Times New Roman"/>
          <w:color w:val="000000"/>
          <w:sz w:val="24"/>
        </w:rPr>
        <w:t xml:space="preserve"> </w:t>
      </w:r>
      <w:r w:rsidRPr="00065EA3">
        <w:rPr>
          <w:rFonts w:ascii="Times New Roman" w:hAnsi="Times New Roman"/>
          <w:color w:val="000000"/>
          <w:sz w:val="24"/>
        </w:rPr>
        <w:t>Additionally, after in-year budget revisions have been implemented, amendments can still be presented to the NA for approval during the presentation of the following state budget plan.</w:t>
      </w:r>
    </w:p>
    <w:p w14:paraId="3B68CF62" w14:textId="77777777" w:rsidR="007518E4" w:rsidRDefault="007518E4" w:rsidP="008037D9">
      <w:pPr>
        <w:pStyle w:val="ListParagraph"/>
        <w:numPr>
          <w:ilvl w:val="0"/>
          <w:numId w:val="66"/>
        </w:numPr>
        <w:spacing w:after="240"/>
        <w:ind w:left="0"/>
        <w:contextualSpacing w:val="0"/>
        <w:rPr>
          <w:rFonts w:ascii="Times New Roman" w:hAnsi="Times New Roman"/>
          <w:color w:val="000000"/>
          <w:sz w:val="24"/>
        </w:rPr>
      </w:pPr>
      <w:r w:rsidRPr="000D3B83">
        <w:rPr>
          <w:rFonts w:ascii="Times New Roman" w:hAnsi="Times New Roman"/>
          <w:b/>
          <w:color w:val="000000"/>
          <w:sz w:val="24"/>
        </w:rPr>
        <w:t>Following the revision of fiscal forecasts for 2015/2016 based on the initial 4-month revenue outturn and projections for 6-months, the original budget was revised</w:t>
      </w:r>
      <w:r w:rsidR="000D3B83">
        <w:rPr>
          <w:rFonts w:ascii="Times New Roman" w:hAnsi="Times New Roman"/>
          <w:b/>
          <w:color w:val="000000"/>
          <w:sz w:val="24"/>
        </w:rPr>
        <w:t>.</w:t>
      </w:r>
      <w:r w:rsidRPr="00065EA3">
        <w:rPr>
          <w:rFonts w:ascii="Times New Roman" w:hAnsi="Times New Roman"/>
          <w:color w:val="000000"/>
          <w:sz w:val="24"/>
        </w:rPr>
        <w:t xml:space="preserve"> </w:t>
      </w:r>
      <w:r w:rsidR="000D3B83">
        <w:rPr>
          <w:rFonts w:ascii="Times New Roman" w:hAnsi="Times New Roman"/>
          <w:color w:val="000000"/>
          <w:sz w:val="24"/>
        </w:rPr>
        <w:t xml:space="preserve"> This involved a decrease</w:t>
      </w:r>
      <w:r w:rsidRPr="00065EA3">
        <w:rPr>
          <w:rFonts w:ascii="Times New Roman" w:hAnsi="Times New Roman"/>
          <w:color w:val="000000"/>
          <w:sz w:val="24"/>
        </w:rPr>
        <w:t xml:space="preserve"> by 8 percent with a </w:t>
      </w:r>
      <w:proofErr w:type="gramStart"/>
      <w:r w:rsidRPr="00065EA3">
        <w:rPr>
          <w:rFonts w:ascii="Times New Roman" w:hAnsi="Times New Roman"/>
          <w:color w:val="000000"/>
          <w:sz w:val="24"/>
        </w:rPr>
        <w:t>500 billion kip</w:t>
      </w:r>
      <w:proofErr w:type="gramEnd"/>
      <w:r w:rsidRPr="00065EA3">
        <w:rPr>
          <w:rFonts w:ascii="Times New Roman" w:hAnsi="Times New Roman"/>
          <w:color w:val="000000"/>
          <w:sz w:val="24"/>
        </w:rPr>
        <w:t xml:space="preserve"> budget cut affecting the capital budget. As a result, budgetary units received revised expenditure ceilings in September only three months before the end of the fiscal year. The decision was endorsed by the NA.  </w:t>
      </w:r>
    </w:p>
    <w:p w14:paraId="3EE8A763" w14:textId="77777777" w:rsidR="007518E4" w:rsidRPr="00065EA3" w:rsidRDefault="007518E4" w:rsidP="008037D9">
      <w:pPr>
        <w:pStyle w:val="ListParagraph"/>
        <w:numPr>
          <w:ilvl w:val="0"/>
          <w:numId w:val="66"/>
        </w:numPr>
        <w:spacing w:after="240"/>
        <w:ind w:left="0"/>
        <w:contextualSpacing w:val="0"/>
        <w:rPr>
          <w:rFonts w:ascii="Times New Roman" w:hAnsi="Times New Roman"/>
          <w:b/>
          <w:color w:val="000000"/>
          <w:sz w:val="24"/>
        </w:rPr>
      </w:pPr>
      <w:r w:rsidRPr="000D3B83">
        <w:rPr>
          <w:rFonts w:ascii="Times New Roman" w:hAnsi="Times New Roman"/>
          <w:b/>
          <w:color w:val="000000"/>
          <w:sz w:val="24"/>
        </w:rPr>
        <w:t>All budget revisions with an impact on the aggregate ceilings are approved by NA.</w:t>
      </w:r>
      <w:r w:rsidRPr="00065EA3">
        <w:rPr>
          <w:rFonts w:ascii="Times New Roman" w:hAnsi="Times New Roman"/>
          <w:color w:val="000000"/>
          <w:sz w:val="24"/>
        </w:rPr>
        <w:t xml:space="preserve"> However, as NA approval covers the revision of the aggregate macroeconomic and fiscal forecasts and adjustments of aggregate expenditure and revenue ceilings, its input on the decisions made at the level of each budgetary unit is left to the MoF</w:t>
      </w:r>
      <w:r w:rsidR="00DB0467">
        <w:rPr>
          <w:rFonts w:ascii="Times New Roman" w:hAnsi="Times New Roman"/>
          <w:color w:val="000000"/>
          <w:sz w:val="24"/>
        </w:rPr>
        <w:t xml:space="preserve">. </w:t>
      </w:r>
      <w:r w:rsidR="000D3B83">
        <w:rPr>
          <w:rFonts w:ascii="Times New Roman" w:hAnsi="Times New Roman"/>
          <w:color w:val="000000"/>
          <w:sz w:val="24"/>
        </w:rPr>
        <w:t>T</w:t>
      </w:r>
      <w:r w:rsidRPr="00065EA3">
        <w:rPr>
          <w:rFonts w:ascii="Times New Roman" w:hAnsi="Times New Roman"/>
          <w:color w:val="000000"/>
          <w:sz w:val="24"/>
        </w:rPr>
        <w:t>here is no specific debate on clarification and explanations with regards to the detailed amendments proposed to the original budget. As a result, the transparency of the adjustment process, including</w:t>
      </w:r>
      <w:r w:rsidR="00DB0467">
        <w:rPr>
          <w:rFonts w:ascii="Times New Roman" w:hAnsi="Times New Roman"/>
          <w:color w:val="000000"/>
          <w:sz w:val="24"/>
        </w:rPr>
        <w:t xml:space="preserve"> to the NA members, is limited.</w:t>
      </w:r>
      <w:r w:rsidRPr="00065EA3">
        <w:rPr>
          <w:rFonts w:ascii="Times New Roman" w:hAnsi="Times New Roman"/>
          <w:color w:val="000000"/>
          <w:sz w:val="24"/>
        </w:rPr>
        <w:t xml:space="preserve"> Furthermore, if line ministries are informed by the MoF Budget department on proposed budget adjustments, they have limited influence in the final decision on the adjustments and </w:t>
      </w:r>
      <w:proofErr w:type="gramStart"/>
      <w:r w:rsidRPr="00065EA3">
        <w:rPr>
          <w:rFonts w:ascii="Times New Roman" w:hAnsi="Times New Roman"/>
          <w:color w:val="000000"/>
          <w:sz w:val="24"/>
        </w:rPr>
        <w:t>have to</w:t>
      </w:r>
      <w:proofErr w:type="gramEnd"/>
      <w:r w:rsidRPr="00065EA3">
        <w:rPr>
          <w:rFonts w:ascii="Times New Roman" w:hAnsi="Times New Roman"/>
          <w:color w:val="000000"/>
          <w:sz w:val="24"/>
        </w:rPr>
        <w:t xml:space="preserve"> realign their plans with the new envelope. </w:t>
      </w:r>
    </w:p>
    <w:p w14:paraId="7E6A510F" w14:textId="77777777" w:rsidR="007518E4" w:rsidRPr="00065EA3" w:rsidRDefault="000D3B83" w:rsidP="008037D9">
      <w:pPr>
        <w:pStyle w:val="ListParagraph"/>
        <w:numPr>
          <w:ilvl w:val="0"/>
          <w:numId w:val="66"/>
        </w:numPr>
        <w:spacing w:after="240"/>
        <w:ind w:left="0"/>
        <w:contextualSpacing w:val="0"/>
        <w:rPr>
          <w:rFonts w:ascii="Times New Roman" w:hAnsi="Times New Roman"/>
          <w:color w:val="000000"/>
          <w:sz w:val="24"/>
        </w:rPr>
      </w:pPr>
      <w:r w:rsidRPr="000D3B83">
        <w:rPr>
          <w:rFonts w:ascii="Times New Roman" w:hAnsi="Times New Roman"/>
          <w:b/>
          <w:color w:val="000000"/>
          <w:sz w:val="24"/>
        </w:rPr>
        <w:lastRenderedPageBreak/>
        <w:t>Significant in-year budget adjustments to allocations take place every year due to revenue shortfall and are systematically submitted to NA for approval</w:t>
      </w:r>
      <w:r w:rsidR="00DB0467">
        <w:rPr>
          <w:rFonts w:ascii="Times New Roman" w:hAnsi="Times New Roman"/>
          <w:b/>
          <w:color w:val="000000"/>
          <w:sz w:val="24"/>
        </w:rPr>
        <w:t xml:space="preserve">. </w:t>
      </w:r>
      <w:r w:rsidRPr="00DB0467">
        <w:rPr>
          <w:rFonts w:ascii="Times New Roman" w:hAnsi="Times New Roman"/>
          <w:color w:val="000000"/>
          <w:sz w:val="24"/>
        </w:rPr>
        <w:t>T</w:t>
      </w:r>
      <w:r w:rsidR="007518E4" w:rsidRPr="00DB0467">
        <w:rPr>
          <w:rFonts w:ascii="Times New Roman" w:hAnsi="Times New Roman"/>
          <w:color w:val="000000"/>
          <w:sz w:val="24"/>
        </w:rPr>
        <w:t>h</w:t>
      </w:r>
      <w:r w:rsidR="007518E4" w:rsidRPr="00065EA3">
        <w:rPr>
          <w:rFonts w:ascii="Times New Roman" w:hAnsi="Times New Roman"/>
          <w:color w:val="000000"/>
          <w:sz w:val="24"/>
        </w:rPr>
        <w:t>e transparency and fa</w:t>
      </w:r>
      <w:r>
        <w:rPr>
          <w:rFonts w:ascii="Times New Roman" w:hAnsi="Times New Roman"/>
          <w:color w:val="000000"/>
          <w:sz w:val="24"/>
        </w:rPr>
        <w:t>irness of the overall process are</w:t>
      </w:r>
      <w:r w:rsidR="007518E4" w:rsidRPr="00065EA3">
        <w:rPr>
          <w:rFonts w:ascii="Times New Roman" w:hAnsi="Times New Roman"/>
          <w:color w:val="000000"/>
          <w:sz w:val="24"/>
        </w:rPr>
        <w:t xml:space="preserve"> limited by the lack of clear and transparent policy and prioritization decisions involving the line ministries concerned: Score C.</w:t>
      </w:r>
    </w:p>
    <w:p w14:paraId="4FB4B352" w14:textId="77777777" w:rsidR="007518E4" w:rsidRDefault="007518E4" w:rsidP="000D3B83">
      <w:pPr>
        <w:pStyle w:val="Heading3"/>
        <w:keepNext w:val="0"/>
        <w:widowControl w:val="0"/>
        <w:spacing w:after="240"/>
        <w:ind w:left="0"/>
        <w:rPr>
          <w:rFonts w:ascii="Times New Roman" w:eastAsia="Calibri" w:hAnsi="Times New Roman"/>
          <w:b w:val="0"/>
          <w:bCs w:val="0"/>
          <w:color w:val="84C346"/>
          <w:spacing w:val="-1"/>
          <w:szCs w:val="28"/>
        </w:rPr>
      </w:pPr>
      <w:bookmarkStart w:id="88" w:name="_Toc4149002"/>
      <w:bookmarkEnd w:id="87"/>
      <w:r w:rsidRPr="00FE6ED4">
        <w:rPr>
          <w:rFonts w:ascii="Times New Roman" w:eastAsia="Calibri" w:hAnsi="Times New Roman"/>
          <w:color w:val="84C346"/>
          <w:spacing w:val="-1"/>
          <w:szCs w:val="28"/>
        </w:rPr>
        <w:t xml:space="preserve">PI-22. Expenditure </w:t>
      </w:r>
      <w:r>
        <w:rPr>
          <w:rFonts w:ascii="Times New Roman" w:eastAsia="Calibri" w:hAnsi="Times New Roman"/>
          <w:color w:val="84C346"/>
          <w:spacing w:val="-1"/>
          <w:szCs w:val="28"/>
        </w:rPr>
        <w:t>a</w:t>
      </w:r>
      <w:r w:rsidRPr="00FE6ED4">
        <w:rPr>
          <w:rFonts w:ascii="Times New Roman" w:eastAsia="Calibri" w:hAnsi="Times New Roman"/>
          <w:color w:val="84C346"/>
          <w:spacing w:val="-1"/>
          <w:szCs w:val="28"/>
        </w:rPr>
        <w:t>rrears</w:t>
      </w:r>
      <w:bookmarkEnd w:id="88"/>
    </w:p>
    <w:p w14:paraId="625028D4" w14:textId="77777777" w:rsidR="007518E4" w:rsidRPr="00AC3DEB" w:rsidRDefault="007518E4" w:rsidP="008037D9">
      <w:pPr>
        <w:pStyle w:val="ListParagraph"/>
        <w:numPr>
          <w:ilvl w:val="0"/>
          <w:numId w:val="82"/>
        </w:numPr>
        <w:spacing w:after="240"/>
        <w:ind w:left="0"/>
        <w:contextualSpacing w:val="0"/>
        <w:rPr>
          <w:rFonts w:ascii="Times New Roman" w:hAnsi="Times New Roman"/>
          <w:sz w:val="24"/>
        </w:rPr>
      </w:pPr>
      <w:r w:rsidRPr="000D3B83">
        <w:rPr>
          <w:rFonts w:ascii="Times New Roman" w:hAnsi="Times New Roman"/>
          <w:b/>
          <w:sz w:val="24"/>
        </w:rPr>
        <w:t>This indicator measures the extent to which there is a stock of arrears, and the extent to which a systemic problem in this regard is being addressed and brought under control.</w:t>
      </w:r>
      <w:r w:rsidR="00DB0467">
        <w:rPr>
          <w:rFonts w:ascii="Times New Roman" w:hAnsi="Times New Roman"/>
          <w:sz w:val="24"/>
        </w:rPr>
        <w:t xml:space="preserve"> </w:t>
      </w:r>
      <w:r w:rsidRPr="0084361A">
        <w:rPr>
          <w:rFonts w:ascii="Times New Roman" w:hAnsi="Times New Roman"/>
          <w:sz w:val="24"/>
        </w:rPr>
        <w:t xml:space="preserve">For 22.1 the </w:t>
      </w:r>
      <w:proofErr w:type="gramStart"/>
      <w:r w:rsidRPr="0084361A">
        <w:rPr>
          <w:rFonts w:ascii="Times New Roman" w:hAnsi="Times New Roman"/>
          <w:sz w:val="24"/>
        </w:rPr>
        <w:t>time period</w:t>
      </w:r>
      <w:proofErr w:type="gramEnd"/>
      <w:r w:rsidRPr="0084361A">
        <w:rPr>
          <w:rFonts w:ascii="Times New Roman" w:hAnsi="Times New Roman"/>
          <w:sz w:val="24"/>
        </w:rPr>
        <w:t>: is the last three completed fiscal year (</w:t>
      </w:r>
      <w:r>
        <w:rPr>
          <w:rFonts w:ascii="Times New Roman" w:hAnsi="Times New Roman"/>
          <w:sz w:val="24"/>
        </w:rPr>
        <w:t>2014/15</w:t>
      </w:r>
      <w:r w:rsidRPr="0084361A">
        <w:rPr>
          <w:rFonts w:ascii="Times New Roman" w:hAnsi="Times New Roman"/>
          <w:sz w:val="24"/>
        </w:rPr>
        <w:t xml:space="preserve">, </w:t>
      </w:r>
      <w:r>
        <w:rPr>
          <w:rFonts w:ascii="Times New Roman" w:hAnsi="Times New Roman"/>
          <w:sz w:val="24"/>
        </w:rPr>
        <w:t>2015/16</w:t>
      </w:r>
      <w:r w:rsidRPr="0084361A">
        <w:rPr>
          <w:rFonts w:ascii="Times New Roman" w:hAnsi="Times New Roman"/>
          <w:sz w:val="24"/>
        </w:rPr>
        <w:t xml:space="preserve"> and </w:t>
      </w:r>
      <w:r>
        <w:rPr>
          <w:rFonts w:ascii="Times New Roman" w:hAnsi="Times New Roman"/>
          <w:sz w:val="24"/>
        </w:rPr>
        <w:t>2016/17</w:t>
      </w:r>
      <w:r w:rsidRPr="0084361A">
        <w:rPr>
          <w:rFonts w:ascii="Times New Roman" w:hAnsi="Times New Roman"/>
          <w:sz w:val="24"/>
        </w:rPr>
        <w:t>) and for 22.2 at the time of assessment The Coverage is Budgetary Central Government.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1271"/>
        <w:gridCol w:w="4847"/>
      </w:tblGrid>
      <w:tr w:rsidR="007518E4" w:rsidRPr="005C7D72" w14:paraId="4279B249" w14:textId="77777777" w:rsidTr="007518E4">
        <w:trPr>
          <w:trHeight w:val="397"/>
          <w:jc w:val="center"/>
        </w:trPr>
        <w:tc>
          <w:tcPr>
            <w:tcW w:w="16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3B3744" w14:textId="77777777" w:rsidR="007518E4" w:rsidRPr="005C7D72" w:rsidRDefault="007518E4" w:rsidP="00DB0467">
            <w:pPr>
              <w:spacing w:before="0"/>
              <w:ind w:hanging="449"/>
              <w:jc w:val="center"/>
              <w:rPr>
                <w:rFonts w:ascii="Times New Roman" w:hAnsi="Times New Roman"/>
              </w:rPr>
            </w:pPr>
            <w:r w:rsidRPr="005C7D72">
              <w:rPr>
                <w:rFonts w:ascii="Times New Roman" w:hAnsi="Times New Roman"/>
              </w:rPr>
              <w:t>Indicator/Dimension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C3F4E8" w14:textId="77777777" w:rsidR="007518E4" w:rsidRPr="005C7D72" w:rsidRDefault="007518E4" w:rsidP="000D3B83">
            <w:pPr>
              <w:spacing w:before="0"/>
              <w:ind w:left="0"/>
              <w:jc w:val="center"/>
              <w:rPr>
                <w:rFonts w:ascii="Times New Roman" w:hAnsi="Times New Roman"/>
              </w:rPr>
            </w:pPr>
            <w:r w:rsidRPr="005C7D72">
              <w:rPr>
                <w:rFonts w:ascii="Times New Roman" w:hAnsi="Times New Roman"/>
              </w:rPr>
              <w:t>Score</w:t>
            </w:r>
          </w:p>
        </w:tc>
        <w:tc>
          <w:tcPr>
            <w:tcW w:w="26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9753E1" w14:textId="77777777" w:rsidR="007518E4" w:rsidRPr="005C7D72" w:rsidRDefault="007518E4" w:rsidP="00DB0467">
            <w:pPr>
              <w:spacing w:before="0"/>
              <w:ind w:hanging="539"/>
              <w:jc w:val="center"/>
              <w:rPr>
                <w:rFonts w:ascii="Times New Roman" w:hAnsi="Times New Roman"/>
              </w:rPr>
            </w:pPr>
            <w:r w:rsidRPr="005C7D72">
              <w:rPr>
                <w:rFonts w:ascii="Times New Roman" w:hAnsi="Times New Roman"/>
              </w:rPr>
              <w:t>Brief Explanation</w:t>
            </w:r>
          </w:p>
        </w:tc>
      </w:tr>
      <w:tr w:rsidR="007518E4" w:rsidRPr="005C7D72" w14:paraId="6EB0E087" w14:textId="77777777" w:rsidTr="007518E4">
        <w:trPr>
          <w:trHeight w:val="953"/>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51B9624D" w14:textId="77777777" w:rsidR="007518E4" w:rsidRPr="005C7D72" w:rsidRDefault="007518E4" w:rsidP="00DB0467">
            <w:pPr>
              <w:spacing w:before="0"/>
              <w:ind w:left="0"/>
              <w:jc w:val="left"/>
              <w:rPr>
                <w:rFonts w:ascii="Times New Roman" w:hAnsi="Times New Roman"/>
              </w:rPr>
            </w:pPr>
            <w:r w:rsidRPr="005C7D72">
              <w:rPr>
                <w:rFonts w:ascii="Times New Roman" w:hAnsi="Times New Roman"/>
                <w:bCs/>
              </w:rPr>
              <w:t>PI-22 Expenditure arrears</w:t>
            </w:r>
          </w:p>
        </w:tc>
        <w:tc>
          <w:tcPr>
            <w:tcW w:w="705" w:type="pct"/>
            <w:tcBorders>
              <w:top w:val="single" w:sz="4" w:space="0" w:color="auto"/>
              <w:left w:val="single" w:sz="4" w:space="0" w:color="auto"/>
              <w:bottom w:val="single" w:sz="4" w:space="0" w:color="auto"/>
              <w:right w:val="single" w:sz="4" w:space="0" w:color="auto"/>
            </w:tcBorders>
            <w:vAlign w:val="center"/>
          </w:tcPr>
          <w:p w14:paraId="4FFCFE43" w14:textId="77777777" w:rsidR="007518E4" w:rsidRPr="005C7D72" w:rsidRDefault="007518E4" w:rsidP="000D3B83">
            <w:pPr>
              <w:spacing w:before="0"/>
              <w:ind w:left="0"/>
              <w:jc w:val="center"/>
              <w:rPr>
                <w:rFonts w:ascii="Times New Roman" w:hAnsi="Times New Roman"/>
              </w:rPr>
            </w:pPr>
            <w:r w:rsidRPr="005C7D72">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hideMark/>
          </w:tcPr>
          <w:p w14:paraId="37B32576" w14:textId="77777777" w:rsidR="007518E4" w:rsidRPr="005C7D72" w:rsidRDefault="007518E4" w:rsidP="000D3B83">
            <w:pPr>
              <w:spacing w:before="0"/>
              <w:ind w:left="0"/>
              <w:rPr>
                <w:rFonts w:ascii="Times New Roman" w:eastAsia="Calibri" w:hAnsi="Times New Roman"/>
                <w:color w:val="000000"/>
              </w:rPr>
            </w:pPr>
            <w:r w:rsidRPr="005C7D72">
              <w:rPr>
                <w:rFonts w:ascii="Times New Roman" w:eastAsia="Calibri" w:hAnsi="Times New Roman"/>
                <w:bCs/>
                <w:color w:val="000000"/>
              </w:rPr>
              <w:t>Dimensions combined by Method M1 (weakest link).</w:t>
            </w:r>
            <w:r w:rsidRPr="005C7D72">
              <w:rPr>
                <w:rFonts w:ascii="Times New Roman" w:eastAsia="Calibri" w:hAnsi="Times New Roman"/>
                <w:color w:val="000000"/>
              </w:rPr>
              <w:t xml:space="preserve"> </w:t>
            </w:r>
          </w:p>
        </w:tc>
      </w:tr>
      <w:tr w:rsidR="007518E4" w:rsidRPr="005C7D72" w14:paraId="65DA2644" w14:textId="77777777" w:rsidTr="007518E4">
        <w:trPr>
          <w:trHeight w:val="782"/>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12A291E2" w14:textId="77777777" w:rsidR="007518E4" w:rsidRPr="005C7D72" w:rsidRDefault="007518E4" w:rsidP="00DB0467">
            <w:pPr>
              <w:spacing w:before="0"/>
              <w:ind w:left="0"/>
              <w:jc w:val="left"/>
              <w:rPr>
                <w:rFonts w:ascii="Times New Roman" w:hAnsi="Times New Roman"/>
              </w:rPr>
            </w:pPr>
            <w:r w:rsidRPr="005C7D72">
              <w:rPr>
                <w:rFonts w:ascii="Times New Roman" w:hAnsi="Times New Roman"/>
              </w:rPr>
              <w:t>22.1 Stock of expenditure arrears</w:t>
            </w:r>
          </w:p>
        </w:tc>
        <w:tc>
          <w:tcPr>
            <w:tcW w:w="705" w:type="pct"/>
            <w:tcBorders>
              <w:top w:val="single" w:sz="4" w:space="0" w:color="auto"/>
              <w:left w:val="single" w:sz="4" w:space="0" w:color="auto"/>
              <w:bottom w:val="single" w:sz="4" w:space="0" w:color="auto"/>
              <w:right w:val="single" w:sz="4" w:space="0" w:color="auto"/>
            </w:tcBorders>
            <w:vAlign w:val="center"/>
          </w:tcPr>
          <w:p w14:paraId="01C341E1" w14:textId="77777777" w:rsidR="007518E4" w:rsidRPr="005C7D72" w:rsidRDefault="007518E4" w:rsidP="000D3B83">
            <w:pPr>
              <w:spacing w:before="0"/>
              <w:ind w:left="0"/>
              <w:jc w:val="center"/>
              <w:rPr>
                <w:rFonts w:ascii="Times New Roman" w:hAnsi="Times New Roman"/>
              </w:rPr>
            </w:pPr>
            <w:r w:rsidRPr="005C7D72">
              <w:rPr>
                <w:rFonts w:ascii="Times New Roman" w:hAnsi="Times New Roman"/>
              </w:rPr>
              <w:t>D</w:t>
            </w:r>
            <w:r w:rsidR="00CC482D">
              <w:rPr>
                <w:rFonts w:ascii="Times New Roman" w:hAnsi="Times New Roman"/>
              </w:rPr>
              <w:t>*</w:t>
            </w:r>
          </w:p>
        </w:tc>
        <w:tc>
          <w:tcPr>
            <w:tcW w:w="2688" w:type="pct"/>
            <w:tcBorders>
              <w:top w:val="single" w:sz="4" w:space="0" w:color="auto"/>
              <w:left w:val="single" w:sz="4" w:space="0" w:color="auto"/>
              <w:bottom w:val="single" w:sz="4" w:space="0" w:color="auto"/>
              <w:right w:val="single" w:sz="4" w:space="0" w:color="auto"/>
            </w:tcBorders>
            <w:vAlign w:val="center"/>
          </w:tcPr>
          <w:p w14:paraId="3AC2FFBF" w14:textId="77777777" w:rsidR="007518E4" w:rsidRPr="00A313E4" w:rsidRDefault="007518E4" w:rsidP="000D3B83">
            <w:pPr>
              <w:pStyle w:val="ListParagraph"/>
              <w:spacing w:before="0"/>
              <w:ind w:left="0"/>
              <w:contextualSpacing w:val="0"/>
              <w:rPr>
                <w:rFonts w:ascii="Times New Roman" w:eastAsia="Calibri" w:hAnsi="Times New Roman"/>
              </w:rPr>
            </w:pPr>
            <w:r w:rsidRPr="00A313E4">
              <w:rPr>
                <w:rFonts w:ascii="Times New Roman" w:eastAsia="Calibri" w:hAnsi="Times New Roman"/>
                <w:bCs/>
                <w:color w:val="000000"/>
              </w:rPr>
              <w:t xml:space="preserve">Although data on the stock of identified and recorded expenditure arrears </w:t>
            </w:r>
            <w:r>
              <w:rPr>
                <w:rFonts w:ascii="Times New Roman" w:eastAsia="Calibri" w:hAnsi="Times New Roman"/>
                <w:bCs/>
                <w:color w:val="000000"/>
              </w:rPr>
              <w:t>are</w:t>
            </w:r>
            <w:r w:rsidRPr="00A313E4">
              <w:rPr>
                <w:rFonts w:ascii="Times New Roman" w:eastAsia="Calibri" w:hAnsi="Times New Roman"/>
                <w:bCs/>
                <w:color w:val="000000"/>
              </w:rPr>
              <w:t xml:space="preserve"> not up to date, the evidence is that in 2013/14, excluding significant arrears on the capital account it was more than 10% of total expenditure just on recurrent arrears alone.  The situation has not changed markedly to date. </w:t>
            </w:r>
          </w:p>
        </w:tc>
      </w:tr>
      <w:tr w:rsidR="007518E4" w:rsidRPr="005C7D72" w14:paraId="09BB597D" w14:textId="77777777" w:rsidTr="007518E4">
        <w:trPr>
          <w:trHeight w:val="125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7CFAF469" w14:textId="77777777" w:rsidR="007518E4" w:rsidRPr="005C7D72" w:rsidRDefault="007518E4" w:rsidP="00DB0467">
            <w:pPr>
              <w:spacing w:before="0"/>
              <w:ind w:left="0"/>
              <w:jc w:val="left"/>
              <w:rPr>
                <w:rFonts w:ascii="Times New Roman" w:hAnsi="Times New Roman"/>
              </w:rPr>
            </w:pPr>
            <w:r w:rsidRPr="005C7D72">
              <w:rPr>
                <w:rFonts w:ascii="Times New Roman" w:hAnsi="Times New Roman"/>
              </w:rPr>
              <w:t xml:space="preserve">22.2 </w:t>
            </w:r>
            <w:r w:rsidRPr="005C7D72">
              <w:rPr>
                <w:rFonts w:ascii="Times New Roman" w:hAnsi="Times New Roman"/>
                <w:bCs/>
                <w:color w:val="000000"/>
              </w:rPr>
              <w:t>Expenditure arrears monitoring</w:t>
            </w:r>
          </w:p>
        </w:tc>
        <w:tc>
          <w:tcPr>
            <w:tcW w:w="705" w:type="pct"/>
            <w:tcBorders>
              <w:top w:val="single" w:sz="4" w:space="0" w:color="auto"/>
              <w:left w:val="single" w:sz="4" w:space="0" w:color="auto"/>
              <w:bottom w:val="single" w:sz="4" w:space="0" w:color="auto"/>
              <w:right w:val="single" w:sz="4" w:space="0" w:color="auto"/>
            </w:tcBorders>
            <w:vAlign w:val="center"/>
          </w:tcPr>
          <w:p w14:paraId="427F6E0F" w14:textId="77777777" w:rsidR="007518E4" w:rsidRPr="005C7D72" w:rsidRDefault="007518E4" w:rsidP="000D3B83">
            <w:pPr>
              <w:spacing w:before="0"/>
              <w:ind w:left="0"/>
              <w:jc w:val="center"/>
              <w:rPr>
                <w:rFonts w:ascii="Times New Roman" w:hAnsi="Times New Roman"/>
              </w:rPr>
            </w:pPr>
            <w:r w:rsidRPr="005C7D72">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tcPr>
          <w:p w14:paraId="2DAE107D" w14:textId="77777777" w:rsidR="007518E4" w:rsidRPr="005C7D72" w:rsidRDefault="007518E4" w:rsidP="000D3B83">
            <w:pPr>
              <w:spacing w:before="0"/>
              <w:ind w:left="0"/>
              <w:rPr>
                <w:rFonts w:ascii="Times New Roman" w:hAnsi="Times New Roman"/>
              </w:rPr>
            </w:pPr>
            <w:r w:rsidRPr="005C7D72">
              <w:rPr>
                <w:rFonts w:ascii="Times New Roman" w:hAnsi="Times New Roman"/>
              </w:rPr>
              <w:t>There is no systematic system in place for monitoring expenditure arrears at the level of the line ministries and consolidation of annual arrears by MoF is done manually resulting in Treasury being unable to report arrears at the aggregate level</w:t>
            </w:r>
            <w:r>
              <w:rPr>
                <w:rFonts w:ascii="Times New Roman" w:hAnsi="Times New Roman"/>
              </w:rPr>
              <w:t>.</w:t>
            </w:r>
          </w:p>
        </w:tc>
      </w:tr>
    </w:tbl>
    <w:p w14:paraId="7364CE39" w14:textId="77777777" w:rsidR="007518E4" w:rsidRPr="000D3B83" w:rsidRDefault="007518E4" w:rsidP="000D3B83">
      <w:pPr>
        <w:spacing w:after="240"/>
        <w:ind w:left="0"/>
        <w:rPr>
          <w:rFonts w:ascii="Times New Roman" w:eastAsia="Calibri" w:hAnsi="Times New Roman"/>
          <w:b/>
          <w:bCs/>
          <w:color w:val="92D050"/>
          <w:spacing w:val="-1"/>
          <w:sz w:val="24"/>
        </w:rPr>
      </w:pPr>
      <w:r w:rsidRPr="000D3B83">
        <w:rPr>
          <w:rFonts w:ascii="Times New Roman" w:eastAsia="Calibri" w:hAnsi="Times New Roman"/>
          <w:b/>
          <w:bCs/>
          <w:color w:val="84C346"/>
          <w:spacing w:val="-1"/>
          <w:sz w:val="24"/>
        </w:rPr>
        <w:t xml:space="preserve">22.1. </w:t>
      </w:r>
      <w:r w:rsidRPr="000D3B83">
        <w:rPr>
          <w:rFonts w:ascii="Times New Roman" w:hAnsi="Times New Roman"/>
          <w:b/>
          <w:color w:val="92D050"/>
          <w:sz w:val="24"/>
        </w:rPr>
        <w:t>Stock of expenditure arrears</w:t>
      </w:r>
      <w:r w:rsidRPr="000D3B83">
        <w:rPr>
          <w:rFonts w:ascii="Times New Roman" w:eastAsia="Calibri" w:hAnsi="Times New Roman"/>
          <w:b/>
          <w:bCs/>
          <w:color w:val="92D050"/>
          <w:spacing w:val="-1"/>
          <w:sz w:val="24"/>
        </w:rPr>
        <w:t xml:space="preserve"> </w:t>
      </w:r>
    </w:p>
    <w:p w14:paraId="7D485B49" w14:textId="77777777" w:rsidR="007518E4" w:rsidRDefault="007518E4" w:rsidP="008037D9">
      <w:pPr>
        <w:pStyle w:val="ListParagraph"/>
        <w:widowControl w:val="0"/>
        <w:numPr>
          <w:ilvl w:val="0"/>
          <w:numId w:val="82"/>
        </w:numPr>
        <w:autoSpaceDE w:val="0"/>
        <w:autoSpaceDN w:val="0"/>
        <w:adjustRightInd w:val="0"/>
        <w:spacing w:after="240" w:line="280" w:lineRule="atLeast"/>
        <w:ind w:left="0"/>
        <w:contextualSpacing w:val="0"/>
        <w:rPr>
          <w:rFonts w:ascii="Times New Roman" w:hAnsi="Times New Roman"/>
          <w:sz w:val="24"/>
        </w:rPr>
      </w:pPr>
      <w:r w:rsidRPr="000D3B83">
        <w:rPr>
          <w:rFonts w:ascii="Times New Roman" w:eastAsia="Calibri" w:hAnsi="Times New Roman"/>
          <w:b/>
          <w:sz w:val="24"/>
        </w:rPr>
        <w:t>The issue of expenditure arrears has been identified as one of the major weaknesses of the PFM systems performance</w:t>
      </w:r>
      <w:r w:rsidR="00DB0467">
        <w:rPr>
          <w:rFonts w:ascii="Times New Roman" w:eastAsia="Calibri" w:hAnsi="Times New Roman"/>
          <w:sz w:val="24"/>
        </w:rPr>
        <w:t xml:space="preserve">. </w:t>
      </w:r>
      <w:r w:rsidR="000D3B83">
        <w:rPr>
          <w:rFonts w:ascii="Times New Roman" w:eastAsia="Calibri" w:hAnsi="Times New Roman"/>
          <w:sz w:val="24"/>
        </w:rPr>
        <w:t>T</w:t>
      </w:r>
      <w:r w:rsidRPr="005C7D72">
        <w:rPr>
          <w:rFonts w:ascii="Times New Roman" w:eastAsia="Calibri" w:hAnsi="Times New Roman"/>
          <w:sz w:val="24"/>
        </w:rPr>
        <w:t xml:space="preserve">he government has made </w:t>
      </w:r>
      <w:r w:rsidR="000D3B83">
        <w:rPr>
          <w:rFonts w:ascii="Times New Roman" w:eastAsia="Calibri" w:hAnsi="Times New Roman"/>
          <w:sz w:val="24"/>
        </w:rPr>
        <w:t xml:space="preserve">arrears </w:t>
      </w:r>
      <w:r w:rsidRPr="005C7D72">
        <w:rPr>
          <w:rFonts w:ascii="Times New Roman" w:eastAsia="Calibri" w:hAnsi="Times New Roman"/>
          <w:sz w:val="24"/>
        </w:rPr>
        <w:t>a key priori</w:t>
      </w:r>
      <w:r>
        <w:rPr>
          <w:rFonts w:ascii="Times New Roman" w:eastAsia="Calibri" w:hAnsi="Times New Roman"/>
          <w:sz w:val="24"/>
        </w:rPr>
        <w:t xml:space="preserve">ty since </w:t>
      </w:r>
      <w:r w:rsidRPr="005C7D72">
        <w:rPr>
          <w:rFonts w:ascii="Times New Roman" w:eastAsia="Calibri" w:hAnsi="Times New Roman"/>
          <w:sz w:val="24"/>
        </w:rPr>
        <w:t xml:space="preserve">2015/16 </w:t>
      </w:r>
      <w:proofErr w:type="gramStart"/>
      <w:r w:rsidR="000D3B83">
        <w:rPr>
          <w:rFonts w:ascii="Times New Roman" w:eastAsia="Calibri" w:hAnsi="Times New Roman"/>
          <w:sz w:val="24"/>
        </w:rPr>
        <w:t xml:space="preserve">so as </w:t>
      </w:r>
      <w:r w:rsidRPr="005C7D72">
        <w:rPr>
          <w:rFonts w:ascii="Times New Roman" w:eastAsia="Calibri" w:hAnsi="Times New Roman"/>
          <w:sz w:val="24"/>
        </w:rPr>
        <w:t>to</w:t>
      </w:r>
      <w:proofErr w:type="gramEnd"/>
      <w:r w:rsidRPr="005C7D72">
        <w:rPr>
          <w:rFonts w:ascii="Times New Roman" w:eastAsia="Calibri" w:hAnsi="Times New Roman"/>
          <w:sz w:val="24"/>
        </w:rPr>
        <w:t xml:space="preserve"> track existing arrears systematically and to prevent further accumulation of arrears. Reasons </w:t>
      </w:r>
      <w:r w:rsidRPr="005C7D72">
        <w:rPr>
          <w:rFonts w:ascii="Times New Roman" w:hAnsi="Times New Roman"/>
          <w:sz w:val="24"/>
        </w:rPr>
        <w:t xml:space="preserve">for expenditure arrears are multiple and there is no integrated system to track and consolidate the arrears at MoF level.  </w:t>
      </w:r>
    </w:p>
    <w:p w14:paraId="5BE30604" w14:textId="77777777" w:rsidR="007518E4" w:rsidRDefault="007518E4" w:rsidP="008037D9">
      <w:pPr>
        <w:pStyle w:val="ListParagraph"/>
        <w:widowControl w:val="0"/>
        <w:numPr>
          <w:ilvl w:val="0"/>
          <w:numId w:val="82"/>
        </w:numPr>
        <w:autoSpaceDE w:val="0"/>
        <w:autoSpaceDN w:val="0"/>
        <w:adjustRightInd w:val="0"/>
        <w:spacing w:after="240" w:line="280" w:lineRule="atLeast"/>
        <w:ind w:left="0"/>
        <w:contextualSpacing w:val="0"/>
        <w:rPr>
          <w:rFonts w:ascii="Times New Roman" w:hAnsi="Times New Roman"/>
          <w:sz w:val="24"/>
        </w:rPr>
      </w:pPr>
      <w:r w:rsidRPr="000D3B83">
        <w:rPr>
          <w:rFonts w:ascii="Times New Roman" w:hAnsi="Times New Roman"/>
          <w:b/>
          <w:sz w:val="24"/>
        </w:rPr>
        <w:t xml:space="preserve">At the Treasury department level, arrears are recorded when the payments requests received at the end of the FY cannot be covered due to cash restrictions and </w:t>
      </w:r>
      <w:proofErr w:type="gramStart"/>
      <w:r w:rsidRPr="000D3B83">
        <w:rPr>
          <w:rFonts w:ascii="Times New Roman" w:hAnsi="Times New Roman"/>
          <w:b/>
          <w:sz w:val="24"/>
        </w:rPr>
        <w:t>have to</w:t>
      </w:r>
      <w:proofErr w:type="gramEnd"/>
      <w:r w:rsidRPr="000D3B83">
        <w:rPr>
          <w:rFonts w:ascii="Times New Roman" w:hAnsi="Times New Roman"/>
          <w:b/>
          <w:sz w:val="24"/>
        </w:rPr>
        <w:t xml:space="preserve"> carried forward into the following period</w:t>
      </w:r>
      <w:r w:rsidRPr="005C7D72">
        <w:rPr>
          <w:rFonts w:ascii="Times New Roman" w:hAnsi="Times New Roman"/>
          <w:sz w:val="24"/>
        </w:rPr>
        <w:t>. The calculation of the stock of debt payable is based on the unpaid obligations for goods and services received to satisfaction as of Decem</w:t>
      </w:r>
      <w:r w:rsidR="00DB0467">
        <w:rPr>
          <w:rFonts w:ascii="Times New Roman" w:hAnsi="Times New Roman"/>
          <w:sz w:val="24"/>
        </w:rPr>
        <w:t>ber 31, when payments were due.</w:t>
      </w:r>
      <w:r w:rsidRPr="005C7D72">
        <w:rPr>
          <w:rFonts w:ascii="Times New Roman" w:hAnsi="Times New Roman"/>
          <w:sz w:val="24"/>
        </w:rPr>
        <w:t xml:space="preserve"> </w:t>
      </w:r>
      <w:r w:rsidR="00DB0467">
        <w:rPr>
          <w:rFonts w:ascii="Times New Roman" w:hAnsi="Times New Roman"/>
          <w:sz w:val="24"/>
        </w:rPr>
        <w:t>S</w:t>
      </w:r>
      <w:r w:rsidRPr="005C7D72">
        <w:rPr>
          <w:rFonts w:ascii="Times New Roman" w:hAnsi="Times New Roman"/>
          <w:sz w:val="24"/>
        </w:rPr>
        <w:t xml:space="preserve">uch case, the expenditures are checked against the expenditure plans and the amount is recorded as Accounts Payables and cleared in the following quarter period, covered by short term borrowing if needed. The amount for 2015/2016 was not available but the 2013/2014 Treasury department report states an amount equivalent to 10% of the annual expenditure at central and provincial level. </w:t>
      </w:r>
    </w:p>
    <w:p w14:paraId="2F6AA317" w14:textId="77777777" w:rsidR="007518E4" w:rsidRPr="00DF2D1D" w:rsidRDefault="007518E4" w:rsidP="008037D9">
      <w:pPr>
        <w:pStyle w:val="ListParagraph"/>
        <w:widowControl w:val="0"/>
        <w:numPr>
          <w:ilvl w:val="0"/>
          <w:numId w:val="82"/>
        </w:numPr>
        <w:autoSpaceDE w:val="0"/>
        <w:autoSpaceDN w:val="0"/>
        <w:adjustRightInd w:val="0"/>
        <w:spacing w:after="240" w:line="280" w:lineRule="atLeast"/>
        <w:ind w:left="0"/>
        <w:contextualSpacing w:val="0"/>
        <w:rPr>
          <w:rFonts w:ascii="Times New Roman" w:eastAsia="ヒラギノ角ゴ Pro W3" w:hAnsi="Times New Roman"/>
          <w:color w:val="000000"/>
          <w:sz w:val="24"/>
          <w:lang w:eastAsia="en-IN"/>
        </w:rPr>
      </w:pPr>
      <w:r w:rsidRPr="000D3B83">
        <w:rPr>
          <w:rFonts w:ascii="Times New Roman" w:hAnsi="Times New Roman"/>
          <w:b/>
          <w:sz w:val="24"/>
        </w:rPr>
        <w:t xml:space="preserve">There are also </w:t>
      </w:r>
      <w:r w:rsidR="000D3B83">
        <w:rPr>
          <w:rFonts w:ascii="Times New Roman" w:hAnsi="Times New Roman"/>
          <w:b/>
          <w:sz w:val="24"/>
        </w:rPr>
        <w:t xml:space="preserve">arrears </w:t>
      </w:r>
      <w:r w:rsidRPr="000D3B83">
        <w:rPr>
          <w:rFonts w:ascii="Times New Roman" w:hAnsi="Times New Roman"/>
          <w:b/>
          <w:sz w:val="24"/>
        </w:rPr>
        <w:t xml:space="preserve">accumulated on capital expenditures </w:t>
      </w:r>
      <w:r w:rsidR="00C41C56">
        <w:rPr>
          <w:rFonts w:ascii="Times New Roman" w:hAnsi="Times New Roman"/>
          <w:b/>
          <w:sz w:val="24"/>
        </w:rPr>
        <w:t>that have resulted in t</w:t>
      </w:r>
      <w:r w:rsidRPr="000D3B83">
        <w:rPr>
          <w:rFonts w:ascii="Times New Roman" w:hAnsi="Times New Roman"/>
          <w:b/>
          <w:sz w:val="24"/>
        </w:rPr>
        <w:t xml:space="preserve">he </w:t>
      </w:r>
      <w:r w:rsidRPr="000D3B83">
        <w:rPr>
          <w:rFonts w:ascii="Times New Roman" w:eastAsia="ヒラギノ角ゴ Pro W3" w:hAnsi="Times New Roman"/>
          <w:b/>
          <w:color w:val="000000"/>
          <w:sz w:val="24"/>
          <w:lang w:eastAsia="en-IN"/>
        </w:rPr>
        <w:t>government’s triangle-debt-diversion disbursement initiative</w:t>
      </w:r>
      <w:r w:rsidR="00DB0467">
        <w:rPr>
          <w:rFonts w:ascii="Times New Roman" w:eastAsia="ヒラギノ角ゴ Pro W3" w:hAnsi="Times New Roman"/>
          <w:color w:val="000000"/>
          <w:sz w:val="24"/>
          <w:lang w:eastAsia="en-IN"/>
        </w:rPr>
        <w:t xml:space="preserve">. </w:t>
      </w:r>
      <w:r w:rsidRPr="00DF2D1D">
        <w:rPr>
          <w:rFonts w:ascii="Times New Roman" w:eastAsia="ヒラギノ角ゴ Pro W3" w:hAnsi="Times New Roman"/>
          <w:color w:val="000000"/>
          <w:sz w:val="24"/>
          <w:lang w:eastAsia="en-IN"/>
        </w:rPr>
        <w:t xml:space="preserve">The amount </w:t>
      </w:r>
      <w:r w:rsidRPr="00DF2D1D">
        <w:rPr>
          <w:rFonts w:ascii="Times New Roman" w:eastAsia="ヒラギノ角ゴ Pro W3" w:hAnsi="Times New Roman"/>
          <w:color w:val="000000"/>
          <w:sz w:val="24"/>
          <w:lang w:eastAsia="en-IN"/>
        </w:rPr>
        <w:lastRenderedPageBreak/>
        <w:t xml:space="preserve">recorded at the end of 2017, for 22.5 trillion kip led the government to establish a repayment schedule and an annual allocation from the State budget of 3.3 trillion kip over a 10-year period. </w:t>
      </w:r>
      <w:r w:rsidRPr="00DF2D1D">
        <w:rPr>
          <w:rFonts w:ascii="Times New Roman" w:hAnsi="Times New Roman"/>
          <w:bCs/>
          <w:sz w:val="24"/>
        </w:rPr>
        <w:t xml:space="preserve"> Efforts by the authorities to stop off-budget projects appear to have had some success; however, the stock of arrears on these projects is sizeable and will require many years to clear.</w:t>
      </w:r>
      <w:r w:rsidR="00DB0467">
        <w:rPr>
          <w:rFonts w:ascii="Times New Roman" w:hAnsi="Times New Roman"/>
          <w:sz w:val="24"/>
        </w:rPr>
        <w:t xml:space="preserve"> </w:t>
      </w:r>
      <w:r w:rsidRPr="00DF2D1D">
        <w:rPr>
          <w:rFonts w:ascii="Times New Roman" w:hAnsi="Times New Roman"/>
          <w:sz w:val="24"/>
        </w:rPr>
        <w:t xml:space="preserve">Settlement of the arrears verified and certified is made through conversion of arrears to government bonds with maturity up </w:t>
      </w:r>
      <w:r w:rsidRPr="005D0D16">
        <w:rPr>
          <w:rFonts w:ascii="Times New Roman" w:hAnsi="Times New Roman"/>
          <w:sz w:val="24"/>
        </w:rPr>
        <w:t>to three</w:t>
      </w:r>
      <w:r w:rsidRPr="00DF2D1D">
        <w:rPr>
          <w:rFonts w:ascii="Times New Roman" w:hAnsi="Times New Roman"/>
          <w:sz w:val="24"/>
        </w:rPr>
        <w:t xml:space="preserve"> years. The unverified balance of arrears has is not available and it is unclear if they have been written off or are still pending a decision.  No information on developments in the stock during 2017 and 2018 was available.    </w:t>
      </w:r>
    </w:p>
    <w:p w14:paraId="28FF88D1" w14:textId="77777777" w:rsidR="007518E4" w:rsidRPr="00DF2D1D" w:rsidRDefault="007518E4" w:rsidP="008037D9">
      <w:pPr>
        <w:pStyle w:val="ListParagraph"/>
        <w:widowControl w:val="0"/>
        <w:numPr>
          <w:ilvl w:val="0"/>
          <w:numId w:val="82"/>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hAnsi="Times New Roman"/>
          <w:b/>
          <w:sz w:val="24"/>
        </w:rPr>
        <w:t xml:space="preserve">At the budgetary unit level, including the provinces, the context of constant fiscal adjustment and budget cuts for </w:t>
      </w:r>
      <w:r w:rsidRPr="00C41C56">
        <w:rPr>
          <w:rFonts w:ascii="Times New Roman" w:eastAsia="ヒラギノ角ゴ Pro W3" w:hAnsi="Times New Roman"/>
          <w:b/>
          <w:color w:val="000000"/>
          <w:sz w:val="24"/>
          <w:lang w:eastAsia="en-IN"/>
        </w:rPr>
        <w:t>already unfunded activities often result in further accumulation or arrears</w:t>
      </w:r>
      <w:r w:rsidR="00DB0467">
        <w:rPr>
          <w:rFonts w:ascii="Times New Roman" w:eastAsia="ヒラギノ角ゴ Pro W3" w:hAnsi="Times New Roman"/>
          <w:color w:val="000000"/>
          <w:sz w:val="24"/>
          <w:lang w:eastAsia="en-IN"/>
        </w:rPr>
        <w:t>. O</w:t>
      </w:r>
      <w:r w:rsidRPr="00DF2D1D">
        <w:rPr>
          <w:rFonts w:ascii="Times New Roman" w:eastAsia="ヒラギノ角ゴ Pro W3" w:hAnsi="Times New Roman"/>
          <w:color w:val="000000"/>
          <w:sz w:val="24"/>
          <w:lang w:eastAsia="en-IN"/>
        </w:rPr>
        <w:t xml:space="preserve">n the one hand, the lack of availability of already allocated funds poses clear challenges to service delivery ministries. The </w:t>
      </w:r>
      <w:proofErr w:type="spellStart"/>
      <w:r w:rsidRPr="00DF2D1D">
        <w:rPr>
          <w:rFonts w:ascii="Times New Roman" w:eastAsia="ヒラギノ角ゴ Pro W3" w:hAnsi="Times New Roman"/>
          <w:color w:val="000000"/>
          <w:sz w:val="24"/>
          <w:lang w:eastAsia="en-IN"/>
        </w:rPr>
        <w:t>MoES</w:t>
      </w:r>
      <w:proofErr w:type="spellEnd"/>
      <w:r w:rsidRPr="00DF2D1D">
        <w:rPr>
          <w:rFonts w:ascii="Times New Roman" w:eastAsia="ヒラギノ角ゴ Pro W3" w:hAnsi="Times New Roman"/>
          <w:color w:val="000000"/>
          <w:sz w:val="24"/>
          <w:lang w:eastAsia="en-IN"/>
        </w:rPr>
        <w:t xml:space="preserve"> reported that </w:t>
      </w:r>
      <w:proofErr w:type="gramStart"/>
      <w:r w:rsidRPr="00DF2D1D">
        <w:rPr>
          <w:rFonts w:ascii="Times New Roman" w:eastAsia="ヒラギノ角ゴ Pro W3" w:hAnsi="Times New Roman"/>
          <w:color w:val="000000"/>
          <w:sz w:val="24"/>
          <w:lang w:eastAsia="en-IN"/>
        </w:rPr>
        <w:t>as a consequence of</w:t>
      </w:r>
      <w:proofErr w:type="gramEnd"/>
      <w:r w:rsidRPr="00DF2D1D">
        <w:rPr>
          <w:rFonts w:ascii="Times New Roman" w:eastAsia="ヒラギノ角ゴ Pro W3" w:hAnsi="Times New Roman"/>
          <w:color w:val="000000"/>
          <w:sz w:val="24"/>
          <w:lang w:eastAsia="en-IN"/>
        </w:rPr>
        <w:t xml:space="preserve"> 2017 budget cuts, activities are suspended (for example, provision of pedagogical advisory services and immunizations), teaching aides and supplies are in shortage and arrears on non-priority expenditures like public utilities are accumulating. In the other hand, the resources are not enough to cover priority operations and in the absence of prioritization of expenditure allocations, budgetary units “negotiate” the conditions of emergency supply with their contractors. The </w:t>
      </w:r>
      <w:proofErr w:type="spellStart"/>
      <w:r w:rsidRPr="00DF2D1D">
        <w:rPr>
          <w:rFonts w:ascii="Times New Roman" w:eastAsia="ヒラギノ角ゴ Pro W3" w:hAnsi="Times New Roman"/>
          <w:color w:val="000000"/>
          <w:sz w:val="24"/>
          <w:lang w:eastAsia="en-IN"/>
        </w:rPr>
        <w:t>MoH</w:t>
      </w:r>
      <w:proofErr w:type="spellEnd"/>
      <w:r w:rsidRPr="00DF2D1D">
        <w:rPr>
          <w:rFonts w:ascii="Times New Roman" w:eastAsia="ヒラギノ角ゴ Pro W3" w:hAnsi="Times New Roman"/>
          <w:color w:val="000000"/>
          <w:sz w:val="24"/>
          <w:lang w:eastAsia="en-IN"/>
        </w:rPr>
        <w:t xml:space="preserve"> reported a critical mismatch between drug demand and drug supply in 2017 driving hospitals to incur debts with pharmaceutical companies and ca</w:t>
      </w:r>
      <w:r w:rsidR="00DB0467">
        <w:rPr>
          <w:rFonts w:ascii="Times New Roman" w:eastAsia="ヒラギノ角ゴ Pro W3" w:hAnsi="Times New Roman"/>
          <w:color w:val="000000"/>
          <w:sz w:val="24"/>
          <w:lang w:eastAsia="en-IN"/>
        </w:rPr>
        <w:t xml:space="preserve">rry over expenditures to 2018. </w:t>
      </w:r>
      <w:r w:rsidRPr="00DF2D1D">
        <w:rPr>
          <w:rFonts w:ascii="Times New Roman" w:eastAsia="ヒラギノ角ゴ Pro W3" w:hAnsi="Times New Roman"/>
          <w:color w:val="000000"/>
          <w:sz w:val="24"/>
          <w:lang w:eastAsia="en-IN"/>
        </w:rPr>
        <w:t>Allocations for utilities fall significantly short of needs and were reported by all ministries. This is, to a significant degree, due to the budget preparation practices stemming from</w:t>
      </w:r>
      <w:r w:rsidRPr="00DF2D1D">
        <w:rPr>
          <w:rFonts w:ascii="Times New Roman" w:hAnsi="Times New Roman"/>
          <w:sz w:val="24"/>
        </w:rPr>
        <w:t xml:space="preserve"> too-low budget norms</w:t>
      </w:r>
      <w:r w:rsidRPr="00DF2D1D">
        <w:rPr>
          <w:rFonts w:ascii="Times New Roman" w:eastAsia="ヒラギノ角ゴ Pro W3" w:hAnsi="Times New Roman"/>
          <w:color w:val="000000"/>
          <w:sz w:val="24"/>
          <w:lang w:eastAsia="en-IN"/>
        </w:rPr>
        <w:t xml:space="preserve"> but it seems to be common practice to give low priority to the payment of utility (electricity and water) bills, and simply allow the arrears to accumulate from year to year.</w:t>
      </w:r>
    </w:p>
    <w:p w14:paraId="6E307D22" w14:textId="77777777" w:rsidR="007518E4" w:rsidRDefault="007518E4" w:rsidP="008037D9">
      <w:pPr>
        <w:pStyle w:val="ListParagraph"/>
        <w:widowControl w:val="0"/>
        <w:numPr>
          <w:ilvl w:val="0"/>
          <w:numId w:val="82"/>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hAnsi="Times New Roman"/>
          <w:b/>
          <w:bCs/>
          <w:sz w:val="24"/>
        </w:rPr>
        <w:t>Capital expenditure could also be easily underreported due to the existence of off-budget projects and need to clean up the existing arrears</w:t>
      </w:r>
      <w:r w:rsidRPr="00DF2D1D">
        <w:rPr>
          <w:rFonts w:ascii="Times New Roman" w:hAnsi="Times New Roman"/>
          <w:sz w:val="24"/>
        </w:rPr>
        <w:t>. The backlog of ongoing projects and the need to honor commitments to local contractors for the off-budget debt-projects reduces the capital resources available f</w:t>
      </w:r>
      <w:r w:rsidR="00DB0467">
        <w:rPr>
          <w:rFonts w:ascii="Times New Roman" w:hAnsi="Times New Roman"/>
          <w:sz w:val="24"/>
        </w:rPr>
        <w:t xml:space="preserve">or new and routine activities. </w:t>
      </w:r>
      <w:r w:rsidRPr="00DF2D1D">
        <w:rPr>
          <w:rFonts w:ascii="Times New Roman" w:hAnsi="Times New Roman"/>
          <w:sz w:val="24"/>
        </w:rPr>
        <w:t xml:space="preserve">MPI instruction to budgetary units in 2017 to allocate up to 45 percent of their PIP allocation to clear arrears and 55 percent to ongoing projects means that only up to 10 percent of the PIP can be used for new projects, clearly insufficient to address the numerous priorities. In the case of the </w:t>
      </w:r>
      <w:proofErr w:type="spellStart"/>
      <w:r w:rsidRPr="00DF2D1D">
        <w:rPr>
          <w:rFonts w:ascii="Times New Roman" w:hAnsi="Times New Roman"/>
          <w:sz w:val="24"/>
        </w:rPr>
        <w:t>MoPW</w:t>
      </w:r>
      <w:proofErr w:type="spellEnd"/>
      <w:r w:rsidRPr="00DF2D1D">
        <w:rPr>
          <w:rFonts w:ascii="Times New Roman" w:hAnsi="Times New Roman"/>
          <w:sz w:val="24"/>
        </w:rPr>
        <w:t>, the envelope available for road maintenance in 2017 represented only 30 percent of the budget plan prepared by the Road Fund Committee an</w:t>
      </w:r>
      <w:r w:rsidR="00DB0467">
        <w:rPr>
          <w:rFonts w:ascii="Times New Roman" w:hAnsi="Times New Roman"/>
          <w:sz w:val="24"/>
        </w:rPr>
        <w:t>d</w:t>
      </w:r>
      <w:r w:rsidRPr="00DF2D1D">
        <w:rPr>
          <w:rFonts w:ascii="Times New Roman" w:hAnsi="Times New Roman"/>
          <w:sz w:val="24"/>
        </w:rPr>
        <w:t xml:space="preserve"> submitted to NA. As a result, the rollover of arrears become systemic and pushes budgetary units to generate and underreport their own resources. More agreements are made with revenue generating budgetary units to declare and keep a defined percentage of their collected revenue to cover their own operational needs. </w:t>
      </w:r>
    </w:p>
    <w:p w14:paraId="553D7EEE" w14:textId="77777777" w:rsidR="007518E4" w:rsidRPr="00DF2D1D" w:rsidRDefault="007518E4" w:rsidP="008037D9">
      <w:pPr>
        <w:pStyle w:val="ListParagraph"/>
        <w:widowControl w:val="0"/>
        <w:numPr>
          <w:ilvl w:val="0"/>
          <w:numId w:val="82"/>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eastAsia="ヒラギノ角ゴ Pro W3" w:hAnsi="Times New Roman"/>
          <w:b/>
          <w:color w:val="000000"/>
          <w:sz w:val="24"/>
          <w:lang w:eastAsia="en-IN"/>
        </w:rPr>
        <w:t>VAT refunds have also been mentioned as a source of unpaid obligations under the jurisdiction of the Treasury department since 2017 and monitored by the Budget department.</w:t>
      </w:r>
      <w:r w:rsidRPr="00DF2D1D">
        <w:rPr>
          <w:rFonts w:ascii="Times New Roman" w:eastAsia="ヒラギノ角ゴ Pro W3" w:hAnsi="Times New Roman"/>
          <w:color w:val="000000"/>
          <w:sz w:val="24"/>
          <w:lang w:eastAsia="en-IN"/>
        </w:rPr>
        <w:t xml:space="preserve"> According to the VAT Law, Vat refunds have to be cleared within 3 </w:t>
      </w:r>
      <w:proofErr w:type="gramStart"/>
      <w:r w:rsidRPr="00DF2D1D">
        <w:rPr>
          <w:rFonts w:ascii="Times New Roman" w:eastAsia="ヒラギノ角ゴ Pro W3" w:hAnsi="Times New Roman"/>
          <w:color w:val="000000"/>
          <w:sz w:val="24"/>
          <w:lang w:eastAsia="en-IN"/>
        </w:rPr>
        <w:t>months</w:t>
      </w:r>
      <w:proofErr w:type="gramEnd"/>
      <w:r w:rsidRPr="00DF2D1D">
        <w:rPr>
          <w:rFonts w:ascii="Times New Roman" w:eastAsia="ヒラギノ角ゴ Pro W3" w:hAnsi="Times New Roman"/>
          <w:color w:val="000000"/>
          <w:sz w:val="24"/>
          <w:lang w:eastAsia="en-IN"/>
        </w:rPr>
        <w:t xml:space="preserve"> but actual reimbursements have been delayed and complaints </w:t>
      </w:r>
      <w:r w:rsidR="00C41C56">
        <w:rPr>
          <w:rFonts w:ascii="Times New Roman" w:eastAsia="ヒラギノ角ゴ Pro W3" w:hAnsi="Times New Roman"/>
          <w:color w:val="000000"/>
          <w:sz w:val="24"/>
          <w:lang w:eastAsia="en-IN"/>
        </w:rPr>
        <w:t xml:space="preserve">have been </w:t>
      </w:r>
      <w:r w:rsidRPr="00DF2D1D">
        <w:rPr>
          <w:rFonts w:ascii="Times New Roman" w:eastAsia="ヒラギノ角ゴ Pro W3" w:hAnsi="Times New Roman"/>
          <w:color w:val="000000"/>
          <w:sz w:val="24"/>
          <w:lang w:eastAsia="en-IN"/>
        </w:rPr>
        <w:t xml:space="preserve">lodged by multiple companies.  </w:t>
      </w:r>
    </w:p>
    <w:p w14:paraId="333B5AC9" w14:textId="77777777" w:rsidR="007518E4" w:rsidRPr="00DF2D1D" w:rsidRDefault="007518E4" w:rsidP="008037D9">
      <w:pPr>
        <w:pStyle w:val="ListParagraph"/>
        <w:widowControl w:val="0"/>
        <w:numPr>
          <w:ilvl w:val="0"/>
          <w:numId w:val="65"/>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hAnsi="Times New Roman"/>
          <w:b/>
          <w:sz w:val="24"/>
        </w:rPr>
        <w:t>The stock of expenditure arrears to suppliers of goods and services is said to be submitted to the SAO for verification</w:t>
      </w:r>
      <w:r w:rsidR="00DB0467">
        <w:rPr>
          <w:rFonts w:ascii="Times New Roman" w:hAnsi="Times New Roman"/>
          <w:sz w:val="24"/>
        </w:rPr>
        <w:t xml:space="preserve">. </w:t>
      </w:r>
      <w:r w:rsidR="00C41C56" w:rsidRPr="00C41C56">
        <w:rPr>
          <w:rFonts w:ascii="Times New Roman" w:hAnsi="Times New Roman"/>
          <w:sz w:val="24"/>
        </w:rPr>
        <w:t>This documentation</w:t>
      </w:r>
      <w:r w:rsidR="00C41C56">
        <w:rPr>
          <w:rFonts w:ascii="Times New Roman" w:hAnsi="Times New Roman"/>
          <w:b/>
          <w:sz w:val="24"/>
        </w:rPr>
        <w:t xml:space="preserve"> </w:t>
      </w:r>
      <w:r>
        <w:rPr>
          <w:rFonts w:ascii="Times New Roman" w:hAnsi="Times New Roman"/>
          <w:sz w:val="24"/>
        </w:rPr>
        <w:t>was not available to</w:t>
      </w:r>
      <w:r w:rsidRPr="00DF2D1D">
        <w:rPr>
          <w:rFonts w:ascii="Times New Roman" w:hAnsi="Times New Roman"/>
          <w:sz w:val="24"/>
        </w:rPr>
        <w:t xml:space="preserve"> the</w:t>
      </w:r>
      <w:r w:rsidRPr="00DF2D1D">
        <w:rPr>
          <w:rFonts w:ascii="Times New Roman" w:eastAsia="Calibri" w:hAnsi="Times New Roman"/>
          <w:b/>
          <w:bCs/>
          <w:color w:val="000000"/>
          <w:sz w:val="24"/>
        </w:rPr>
        <w:t xml:space="preserve"> </w:t>
      </w:r>
      <w:r w:rsidRPr="00DF2D1D">
        <w:rPr>
          <w:rFonts w:ascii="Times New Roman" w:hAnsi="Times New Roman"/>
          <w:sz w:val="24"/>
        </w:rPr>
        <w:t>assessment</w:t>
      </w:r>
      <w:r>
        <w:rPr>
          <w:rFonts w:ascii="Times New Roman" w:hAnsi="Times New Roman"/>
          <w:sz w:val="24"/>
        </w:rPr>
        <w:t xml:space="preserve"> team</w:t>
      </w:r>
      <w:r w:rsidRPr="00DF2D1D">
        <w:rPr>
          <w:rFonts w:ascii="Times New Roman" w:hAnsi="Times New Roman"/>
          <w:sz w:val="24"/>
        </w:rPr>
        <w:t>.</w:t>
      </w:r>
    </w:p>
    <w:p w14:paraId="0716A132" w14:textId="77777777" w:rsidR="007518E4" w:rsidRPr="005D0D16" w:rsidRDefault="007518E4" w:rsidP="008037D9">
      <w:pPr>
        <w:pStyle w:val="ListParagraph"/>
        <w:widowControl w:val="0"/>
        <w:numPr>
          <w:ilvl w:val="0"/>
          <w:numId w:val="65"/>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eastAsia="Calibri" w:hAnsi="Times New Roman"/>
          <w:b/>
          <w:bCs/>
          <w:color w:val="000000"/>
          <w:sz w:val="24"/>
        </w:rPr>
        <w:lastRenderedPageBreak/>
        <w:t>Although data on the stock of identified and recorded expenditure arrears are not up to date, the evidence is that in 2013/14, it was more than 10% of total expenditure just on recurrent arrears alone.</w:t>
      </w:r>
      <w:r w:rsidRPr="005D0D16">
        <w:rPr>
          <w:rFonts w:ascii="Times New Roman" w:eastAsia="Calibri" w:hAnsi="Times New Roman"/>
          <w:bCs/>
          <w:color w:val="000000"/>
          <w:sz w:val="24"/>
        </w:rPr>
        <w:t xml:space="preserve"> </w:t>
      </w:r>
      <w:r w:rsidR="00C41C56" w:rsidRPr="00C41C56">
        <w:rPr>
          <w:rFonts w:ascii="Times New Roman" w:eastAsia="Calibri" w:hAnsi="Times New Roman"/>
          <w:bCs/>
          <w:color w:val="000000"/>
          <w:sz w:val="24"/>
        </w:rPr>
        <w:t>This figure</w:t>
      </w:r>
      <w:r w:rsidRPr="00C41C56">
        <w:rPr>
          <w:rFonts w:ascii="Times New Roman" w:eastAsia="Calibri" w:hAnsi="Times New Roman"/>
          <w:bCs/>
          <w:color w:val="000000"/>
          <w:sz w:val="24"/>
        </w:rPr>
        <w:t xml:space="preserve"> </w:t>
      </w:r>
      <w:r w:rsidR="00C41C56" w:rsidRPr="00C41C56">
        <w:rPr>
          <w:rFonts w:ascii="Times New Roman" w:eastAsia="Calibri" w:hAnsi="Times New Roman"/>
          <w:bCs/>
          <w:color w:val="000000"/>
          <w:sz w:val="24"/>
        </w:rPr>
        <w:t xml:space="preserve">excludes significant arrears on the capital account.   </w:t>
      </w:r>
      <w:r w:rsidRPr="005D0D16">
        <w:rPr>
          <w:rFonts w:ascii="Times New Roman" w:eastAsia="Calibri" w:hAnsi="Times New Roman"/>
          <w:bCs/>
          <w:color w:val="000000"/>
          <w:sz w:val="24"/>
        </w:rPr>
        <w:t>The situation has not changed markedly to date. Score D</w:t>
      </w:r>
      <w:r w:rsidR="00CC482D">
        <w:rPr>
          <w:rFonts w:ascii="Times New Roman" w:eastAsia="Calibri" w:hAnsi="Times New Roman"/>
          <w:bCs/>
          <w:color w:val="000000"/>
          <w:sz w:val="24"/>
        </w:rPr>
        <w:t>* given data unavailability.</w:t>
      </w:r>
    </w:p>
    <w:p w14:paraId="0A32BC48" w14:textId="77777777" w:rsidR="007518E4" w:rsidRPr="00A313E4" w:rsidRDefault="007518E4" w:rsidP="00C41C56">
      <w:pPr>
        <w:spacing w:after="240"/>
        <w:ind w:left="0"/>
        <w:rPr>
          <w:rFonts w:ascii="Times New Roman" w:eastAsia="Calibri" w:hAnsi="Times New Roman"/>
          <w:b/>
          <w:bCs/>
          <w:color w:val="84C346"/>
          <w:spacing w:val="-1"/>
          <w:sz w:val="24"/>
        </w:rPr>
      </w:pPr>
      <w:r w:rsidRPr="00A313E4">
        <w:rPr>
          <w:rFonts w:ascii="Times New Roman" w:eastAsia="Calibri" w:hAnsi="Times New Roman"/>
          <w:b/>
          <w:bCs/>
          <w:color w:val="84C346"/>
          <w:spacing w:val="-1"/>
          <w:sz w:val="24"/>
        </w:rPr>
        <w:t>22.2. Expenditure arrears monitoring</w:t>
      </w:r>
    </w:p>
    <w:p w14:paraId="576DC3B6" w14:textId="77777777" w:rsidR="007518E4" w:rsidRPr="00A313E4" w:rsidRDefault="007518E4" w:rsidP="008037D9">
      <w:pPr>
        <w:pStyle w:val="ListParagraph"/>
        <w:widowControl w:val="0"/>
        <w:numPr>
          <w:ilvl w:val="0"/>
          <w:numId w:val="65"/>
        </w:numPr>
        <w:autoSpaceDE w:val="0"/>
        <w:autoSpaceDN w:val="0"/>
        <w:adjustRightInd w:val="0"/>
        <w:spacing w:after="240" w:line="280" w:lineRule="atLeast"/>
        <w:ind w:left="0"/>
        <w:contextualSpacing w:val="0"/>
        <w:rPr>
          <w:rFonts w:ascii="Times New Roman" w:eastAsia="Calibri" w:hAnsi="Times New Roman"/>
          <w:color w:val="000000"/>
          <w:sz w:val="24"/>
        </w:rPr>
      </w:pPr>
      <w:r w:rsidRPr="00C41C56">
        <w:rPr>
          <w:rFonts w:ascii="Times New Roman" w:hAnsi="Times New Roman"/>
          <w:b/>
          <w:sz w:val="24"/>
        </w:rPr>
        <w:t>There is no systematic mechanism for monitoring expenditure arrears in place at the Treasury and ministry levels</w:t>
      </w:r>
      <w:r w:rsidR="00DB0467">
        <w:rPr>
          <w:rFonts w:ascii="Times New Roman" w:hAnsi="Times New Roman"/>
          <w:sz w:val="24"/>
        </w:rPr>
        <w:t xml:space="preserve">. </w:t>
      </w:r>
      <w:r w:rsidRPr="00A313E4">
        <w:rPr>
          <w:rFonts w:ascii="Times New Roman" w:hAnsi="Times New Roman"/>
          <w:sz w:val="24"/>
        </w:rPr>
        <w:t>The absence of a comprehensive accounting system and a clear obligation for budgetary units to report on commitments until the end of the fiscal year makes the monitoring of pending commitments and later expenditure arrears challenging. As a result, the Treasury department cannot report arrears beyond the unpaid obligations as of 31 December and there is no consolidated available data on stock arrears from all possible sources at the end of 2017.</w:t>
      </w:r>
    </w:p>
    <w:p w14:paraId="28FA07BE" w14:textId="77777777" w:rsidR="007518E4" w:rsidRPr="00A313E4" w:rsidRDefault="007518E4" w:rsidP="008037D9">
      <w:pPr>
        <w:pStyle w:val="ListParagraph"/>
        <w:widowControl w:val="0"/>
        <w:numPr>
          <w:ilvl w:val="0"/>
          <w:numId w:val="65"/>
        </w:numPr>
        <w:autoSpaceDE w:val="0"/>
        <w:autoSpaceDN w:val="0"/>
        <w:adjustRightInd w:val="0"/>
        <w:spacing w:after="240" w:line="280" w:lineRule="atLeast"/>
        <w:ind w:left="0"/>
        <w:contextualSpacing w:val="0"/>
        <w:rPr>
          <w:rFonts w:ascii="Times New Roman" w:eastAsia="Calibri" w:hAnsi="Times New Roman"/>
          <w:color w:val="000000"/>
          <w:sz w:val="24"/>
        </w:rPr>
      </w:pPr>
      <w:r w:rsidRPr="00C41C56">
        <w:rPr>
          <w:rFonts w:ascii="Times New Roman" w:eastAsia="Calibri" w:hAnsi="Times New Roman"/>
          <w:b/>
          <w:color w:val="000000"/>
          <w:sz w:val="24"/>
        </w:rPr>
        <w:t>Consolidated and comprehensive data on stock and composition of expenditure arrears is not available and is not timely generated</w:t>
      </w:r>
      <w:r w:rsidR="00DB0467">
        <w:rPr>
          <w:rFonts w:ascii="Times New Roman" w:eastAsia="Calibri" w:hAnsi="Times New Roman"/>
          <w:color w:val="000000"/>
          <w:sz w:val="24"/>
        </w:rPr>
        <w:t xml:space="preserve">. </w:t>
      </w:r>
      <w:r w:rsidRPr="00A313E4">
        <w:rPr>
          <w:rFonts w:ascii="Times New Roman" w:eastAsia="Calibri" w:hAnsi="Times New Roman"/>
          <w:color w:val="000000"/>
          <w:sz w:val="24"/>
        </w:rPr>
        <w:t>There was no data provided at the time of assessment: Score D.</w:t>
      </w:r>
    </w:p>
    <w:p w14:paraId="1B07C9B6" w14:textId="77777777" w:rsidR="007518E4" w:rsidRDefault="007518E4" w:rsidP="00C41C56">
      <w:pPr>
        <w:pStyle w:val="Heading3"/>
        <w:keepNext w:val="0"/>
        <w:widowControl w:val="0"/>
        <w:spacing w:after="240"/>
        <w:ind w:left="0"/>
        <w:rPr>
          <w:rFonts w:ascii="Times New Roman" w:eastAsia="Calibri" w:hAnsi="Times New Roman"/>
          <w:b w:val="0"/>
          <w:bCs w:val="0"/>
          <w:color w:val="84C346"/>
          <w:spacing w:val="-1"/>
          <w:szCs w:val="28"/>
        </w:rPr>
      </w:pPr>
      <w:bookmarkStart w:id="89" w:name="_Toc518901808"/>
      <w:bookmarkStart w:id="90" w:name="_Toc4149003"/>
      <w:r w:rsidRPr="00FE6ED4">
        <w:rPr>
          <w:rFonts w:ascii="Times New Roman" w:eastAsia="Calibri" w:hAnsi="Times New Roman"/>
          <w:color w:val="84C346"/>
          <w:spacing w:val="-1"/>
          <w:szCs w:val="28"/>
        </w:rPr>
        <w:t xml:space="preserve">PI-23. Payroll </w:t>
      </w:r>
      <w:r>
        <w:rPr>
          <w:rFonts w:ascii="Times New Roman" w:eastAsia="Calibri" w:hAnsi="Times New Roman"/>
          <w:color w:val="84C346"/>
          <w:spacing w:val="-1"/>
          <w:szCs w:val="28"/>
        </w:rPr>
        <w:t>c</w:t>
      </w:r>
      <w:r w:rsidRPr="00FE6ED4">
        <w:rPr>
          <w:rFonts w:ascii="Times New Roman" w:eastAsia="Calibri" w:hAnsi="Times New Roman"/>
          <w:color w:val="84C346"/>
          <w:spacing w:val="-1"/>
          <w:szCs w:val="28"/>
        </w:rPr>
        <w:t>ontrols</w:t>
      </w:r>
      <w:bookmarkEnd w:id="89"/>
      <w:bookmarkEnd w:id="90"/>
    </w:p>
    <w:p w14:paraId="14D1FBC0" w14:textId="77777777" w:rsidR="007518E4" w:rsidRDefault="007518E4" w:rsidP="008037D9">
      <w:pPr>
        <w:pStyle w:val="ListParagraph"/>
        <w:numPr>
          <w:ilvl w:val="0"/>
          <w:numId w:val="77"/>
        </w:numPr>
        <w:spacing w:after="240"/>
        <w:ind w:left="0"/>
        <w:contextualSpacing w:val="0"/>
        <w:rPr>
          <w:rFonts w:ascii="Times New Roman" w:hAnsi="Times New Roman"/>
          <w:sz w:val="24"/>
        </w:rPr>
      </w:pPr>
      <w:r w:rsidRPr="00C41C56">
        <w:rPr>
          <w:rFonts w:ascii="Times New Roman" w:hAnsi="Times New Roman"/>
          <w:b/>
          <w:sz w:val="24"/>
        </w:rPr>
        <w:t>This indicator is concerned with the payroll for public servants only: how it is managed, how changes are handled, and how consistency with personnel records management is achieved</w:t>
      </w:r>
      <w:r w:rsidRPr="000F6B28">
        <w:rPr>
          <w:rFonts w:ascii="Times New Roman" w:hAnsi="Times New Roman"/>
          <w:sz w:val="24"/>
        </w:rPr>
        <w:t xml:space="preserve">. </w:t>
      </w:r>
      <w:r w:rsidRPr="00661FA5">
        <w:rPr>
          <w:rFonts w:ascii="Times New Roman" w:hAnsi="Times New Roman"/>
          <w:sz w:val="24"/>
        </w:rPr>
        <w:t>Wages for casual labor and discretionary allowances that do not form part of the payroll system are included in the assessment of non</w:t>
      </w:r>
      <w:r>
        <w:rPr>
          <w:rFonts w:ascii="Times New Roman" w:hAnsi="Times New Roman"/>
          <w:sz w:val="24"/>
        </w:rPr>
        <w:t>-</w:t>
      </w:r>
      <w:r w:rsidRPr="00661FA5">
        <w:rPr>
          <w:rFonts w:ascii="Times New Roman" w:hAnsi="Times New Roman"/>
          <w:sz w:val="24"/>
        </w:rPr>
        <w:t>salary internal controls, PI-25.</w:t>
      </w:r>
      <w:r>
        <w:rPr>
          <w:rFonts w:ascii="Times New Roman" w:hAnsi="Times New Roman"/>
          <w:sz w:val="24"/>
        </w:rPr>
        <w:t xml:space="preserve">  The </w:t>
      </w:r>
      <w:proofErr w:type="gramStart"/>
      <w:r>
        <w:rPr>
          <w:rFonts w:ascii="Times New Roman" w:hAnsi="Times New Roman"/>
          <w:sz w:val="24"/>
        </w:rPr>
        <w:t>t</w:t>
      </w:r>
      <w:r w:rsidRPr="00033BF7">
        <w:rPr>
          <w:rFonts w:ascii="Times New Roman" w:hAnsi="Times New Roman"/>
          <w:sz w:val="24"/>
        </w:rPr>
        <w:t>ime period</w:t>
      </w:r>
      <w:proofErr w:type="gramEnd"/>
      <w:r>
        <w:rPr>
          <w:rFonts w:ascii="Times New Roman" w:hAnsi="Times New Roman"/>
          <w:sz w:val="24"/>
        </w:rPr>
        <w:t xml:space="preserve"> for </w:t>
      </w:r>
      <w:r w:rsidRPr="00033BF7">
        <w:rPr>
          <w:rFonts w:ascii="Times New Roman" w:hAnsi="Times New Roman"/>
          <w:sz w:val="24"/>
        </w:rPr>
        <w:t xml:space="preserve">23.1, </w:t>
      </w:r>
      <w:r>
        <w:rPr>
          <w:rFonts w:ascii="Times New Roman" w:hAnsi="Times New Roman"/>
          <w:sz w:val="24"/>
        </w:rPr>
        <w:t>23.</w:t>
      </w:r>
      <w:r w:rsidRPr="00033BF7">
        <w:rPr>
          <w:rFonts w:ascii="Times New Roman" w:hAnsi="Times New Roman"/>
          <w:sz w:val="24"/>
        </w:rPr>
        <w:t xml:space="preserve">2 and </w:t>
      </w:r>
      <w:r>
        <w:rPr>
          <w:rFonts w:ascii="Times New Roman" w:hAnsi="Times New Roman"/>
          <w:sz w:val="24"/>
        </w:rPr>
        <w:t>23.</w:t>
      </w:r>
      <w:r w:rsidRPr="00033BF7">
        <w:rPr>
          <w:rFonts w:ascii="Times New Roman" w:hAnsi="Times New Roman"/>
          <w:sz w:val="24"/>
        </w:rPr>
        <w:t xml:space="preserve">3 </w:t>
      </w:r>
      <w:r>
        <w:rPr>
          <w:rFonts w:ascii="Times New Roman" w:hAnsi="Times New Roman"/>
          <w:sz w:val="24"/>
        </w:rPr>
        <w:t xml:space="preserve">is at the </w:t>
      </w:r>
      <w:r w:rsidRPr="00033BF7">
        <w:rPr>
          <w:rFonts w:ascii="Times New Roman" w:hAnsi="Times New Roman"/>
          <w:sz w:val="24"/>
        </w:rPr>
        <w:t xml:space="preserve">time of assessment </w:t>
      </w:r>
      <w:r>
        <w:rPr>
          <w:rFonts w:ascii="Times New Roman" w:hAnsi="Times New Roman"/>
          <w:sz w:val="24"/>
        </w:rPr>
        <w:t xml:space="preserve">and for </w:t>
      </w:r>
      <w:r w:rsidRPr="00033BF7">
        <w:rPr>
          <w:rFonts w:ascii="Times New Roman" w:hAnsi="Times New Roman"/>
          <w:sz w:val="24"/>
        </w:rPr>
        <w:t xml:space="preserve">23.4 </w:t>
      </w:r>
      <w:r>
        <w:rPr>
          <w:rFonts w:ascii="Times New Roman" w:hAnsi="Times New Roman"/>
          <w:sz w:val="24"/>
        </w:rPr>
        <w:t>is for the l</w:t>
      </w:r>
      <w:r w:rsidRPr="00033BF7">
        <w:rPr>
          <w:rFonts w:ascii="Times New Roman" w:hAnsi="Times New Roman"/>
          <w:sz w:val="24"/>
        </w:rPr>
        <w:t>ast three completed fiscal year (</w:t>
      </w:r>
      <w:r>
        <w:rPr>
          <w:rFonts w:ascii="Times New Roman" w:hAnsi="Times New Roman"/>
          <w:sz w:val="24"/>
        </w:rPr>
        <w:t>2014/15</w:t>
      </w:r>
      <w:r w:rsidRPr="00033BF7">
        <w:rPr>
          <w:rFonts w:ascii="Times New Roman" w:hAnsi="Times New Roman"/>
          <w:sz w:val="24"/>
        </w:rPr>
        <w:t xml:space="preserve">, </w:t>
      </w:r>
      <w:r>
        <w:rPr>
          <w:rFonts w:ascii="Times New Roman" w:hAnsi="Times New Roman"/>
          <w:sz w:val="24"/>
        </w:rPr>
        <w:t>2015/16</w:t>
      </w:r>
      <w:r w:rsidRPr="00033BF7">
        <w:rPr>
          <w:rFonts w:ascii="Times New Roman" w:hAnsi="Times New Roman"/>
          <w:sz w:val="24"/>
        </w:rPr>
        <w:t xml:space="preserve"> and </w:t>
      </w:r>
      <w:r>
        <w:rPr>
          <w:rFonts w:ascii="Times New Roman" w:hAnsi="Times New Roman"/>
          <w:sz w:val="24"/>
        </w:rPr>
        <w:t>2016/17</w:t>
      </w:r>
      <w:r w:rsidRPr="00033BF7">
        <w:rPr>
          <w:rFonts w:ascii="Times New Roman" w:hAnsi="Times New Roman"/>
          <w:sz w:val="24"/>
        </w:rPr>
        <w:t xml:space="preserve">) and </w:t>
      </w:r>
      <w:r>
        <w:rPr>
          <w:rFonts w:ascii="Times New Roman" w:hAnsi="Times New Roman"/>
          <w:sz w:val="24"/>
        </w:rPr>
        <w:t>c</w:t>
      </w:r>
      <w:r w:rsidRPr="00033BF7">
        <w:rPr>
          <w:rFonts w:ascii="Times New Roman" w:hAnsi="Times New Roman"/>
          <w:sz w:val="24"/>
        </w:rPr>
        <w:t>overage</w:t>
      </w:r>
      <w:r>
        <w:rPr>
          <w:rFonts w:ascii="Times New Roman" w:hAnsi="Times New Roman"/>
          <w:sz w:val="24"/>
        </w:rPr>
        <w:t xml:space="preserve"> is c</w:t>
      </w:r>
      <w:r w:rsidRPr="00033BF7">
        <w:rPr>
          <w:rFonts w:ascii="Times New Roman" w:hAnsi="Times New Roman"/>
          <w:sz w:val="24"/>
        </w:rPr>
        <w:t xml:space="preserve">entral </w:t>
      </w:r>
      <w:r>
        <w:rPr>
          <w:rFonts w:ascii="Times New Roman" w:hAnsi="Times New Roman"/>
          <w:sz w:val="24"/>
        </w:rPr>
        <w:t>g</w:t>
      </w:r>
      <w:r w:rsidRPr="00033BF7">
        <w:rPr>
          <w:rFonts w:ascii="Times New Roman" w:hAnsi="Times New Roman"/>
          <w:sz w:val="24"/>
        </w:rPr>
        <w:t xml:space="preserve">overnment.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1271"/>
        <w:gridCol w:w="4847"/>
      </w:tblGrid>
      <w:tr w:rsidR="007518E4" w:rsidRPr="008274D3" w14:paraId="005458C6" w14:textId="77777777" w:rsidTr="007518E4">
        <w:trPr>
          <w:trHeight w:val="397"/>
          <w:jc w:val="center"/>
        </w:trPr>
        <w:tc>
          <w:tcPr>
            <w:tcW w:w="16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B3A3CE" w14:textId="77777777" w:rsidR="007518E4" w:rsidRPr="00B87E56" w:rsidRDefault="007518E4" w:rsidP="00DB0467">
            <w:pPr>
              <w:spacing w:before="0"/>
              <w:ind w:hanging="539"/>
              <w:jc w:val="center"/>
              <w:rPr>
                <w:rFonts w:ascii="Times New Roman" w:hAnsi="Times New Roman"/>
              </w:rPr>
            </w:pPr>
            <w:r w:rsidRPr="00B87E56">
              <w:rPr>
                <w:rFonts w:ascii="Times New Roman" w:hAnsi="Times New Roman"/>
              </w:rPr>
              <w:t>Indicator/Dimension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9FF25F" w14:textId="77777777" w:rsidR="007518E4" w:rsidRPr="00B87E56" w:rsidRDefault="007518E4" w:rsidP="00C41C56">
            <w:pPr>
              <w:spacing w:before="0"/>
              <w:ind w:left="0"/>
              <w:jc w:val="center"/>
              <w:rPr>
                <w:rFonts w:ascii="Times New Roman" w:hAnsi="Times New Roman"/>
              </w:rPr>
            </w:pPr>
            <w:r w:rsidRPr="00B87E56">
              <w:rPr>
                <w:rFonts w:ascii="Times New Roman" w:hAnsi="Times New Roman"/>
              </w:rPr>
              <w:t>Score</w:t>
            </w:r>
          </w:p>
        </w:tc>
        <w:tc>
          <w:tcPr>
            <w:tcW w:w="26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220CDD" w14:textId="77777777" w:rsidR="007518E4" w:rsidRPr="00B87E56" w:rsidRDefault="007518E4" w:rsidP="00DB0467">
            <w:pPr>
              <w:spacing w:before="0"/>
              <w:ind w:hanging="491"/>
              <w:jc w:val="center"/>
              <w:rPr>
                <w:rFonts w:ascii="Times New Roman" w:hAnsi="Times New Roman"/>
              </w:rPr>
            </w:pPr>
            <w:r w:rsidRPr="00B87E56">
              <w:rPr>
                <w:rFonts w:ascii="Times New Roman" w:hAnsi="Times New Roman"/>
              </w:rPr>
              <w:t>Brief Explanation</w:t>
            </w:r>
          </w:p>
        </w:tc>
      </w:tr>
      <w:tr w:rsidR="007518E4" w:rsidRPr="008274D3" w14:paraId="0421ED06" w14:textId="77777777" w:rsidTr="00DB0467">
        <w:trPr>
          <w:trHeight w:val="683"/>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3EDE5947" w14:textId="77777777" w:rsidR="007518E4" w:rsidRPr="00B87E56" w:rsidRDefault="007518E4" w:rsidP="00C41C56">
            <w:pPr>
              <w:spacing w:before="0"/>
              <w:ind w:left="0"/>
              <w:rPr>
                <w:rFonts w:ascii="Times New Roman" w:hAnsi="Times New Roman"/>
              </w:rPr>
            </w:pPr>
            <w:r w:rsidRPr="00B87E56">
              <w:rPr>
                <w:rFonts w:ascii="Times New Roman" w:hAnsi="Times New Roman"/>
                <w:bCs/>
              </w:rPr>
              <w:t xml:space="preserve">PI-23 Payroll </w:t>
            </w:r>
          </w:p>
        </w:tc>
        <w:tc>
          <w:tcPr>
            <w:tcW w:w="705" w:type="pct"/>
            <w:tcBorders>
              <w:top w:val="single" w:sz="4" w:space="0" w:color="auto"/>
              <w:left w:val="single" w:sz="4" w:space="0" w:color="auto"/>
              <w:bottom w:val="single" w:sz="4" w:space="0" w:color="auto"/>
              <w:right w:val="single" w:sz="4" w:space="0" w:color="auto"/>
            </w:tcBorders>
            <w:vAlign w:val="center"/>
          </w:tcPr>
          <w:p w14:paraId="7313DF38" w14:textId="77777777" w:rsidR="007518E4" w:rsidRPr="00B87E56" w:rsidRDefault="007518E4" w:rsidP="00C41C56">
            <w:pPr>
              <w:spacing w:before="0"/>
              <w:ind w:left="0"/>
              <w:jc w:val="center"/>
              <w:rPr>
                <w:rFonts w:ascii="Times New Roman" w:hAnsi="Times New Roman"/>
              </w:rPr>
            </w:pPr>
            <w:r w:rsidRPr="00B87E5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hideMark/>
          </w:tcPr>
          <w:p w14:paraId="5C675B2E" w14:textId="77777777" w:rsidR="007518E4" w:rsidRPr="00B87E56" w:rsidRDefault="007518E4" w:rsidP="00C41C56">
            <w:pPr>
              <w:spacing w:before="0"/>
              <w:ind w:left="0"/>
              <w:rPr>
                <w:rFonts w:ascii="Times New Roman" w:eastAsia="Calibri" w:hAnsi="Times New Roman"/>
              </w:rPr>
            </w:pPr>
            <w:r w:rsidRPr="00B87E56">
              <w:rPr>
                <w:rFonts w:ascii="Times New Roman" w:eastAsia="Calibri" w:hAnsi="Times New Roman"/>
              </w:rPr>
              <w:t xml:space="preserve">Dimensions combined by Method M1 (weakest link). </w:t>
            </w:r>
          </w:p>
        </w:tc>
      </w:tr>
      <w:tr w:rsidR="007518E4" w:rsidRPr="008274D3" w14:paraId="29A230CA" w14:textId="77777777" w:rsidTr="00DB0467">
        <w:trPr>
          <w:trHeight w:val="26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248EB594" w14:textId="77777777" w:rsidR="007518E4" w:rsidRPr="00B87E56" w:rsidRDefault="007518E4" w:rsidP="00C41C56">
            <w:pPr>
              <w:spacing w:before="0"/>
              <w:ind w:left="0"/>
              <w:rPr>
                <w:rFonts w:ascii="Times New Roman" w:hAnsi="Times New Roman"/>
              </w:rPr>
            </w:pPr>
            <w:r w:rsidRPr="00B87E56">
              <w:rPr>
                <w:rFonts w:ascii="Times New Roman" w:hAnsi="Times New Roman"/>
              </w:rPr>
              <w:t>23.1 Integration of payroll and personnel records</w:t>
            </w:r>
          </w:p>
        </w:tc>
        <w:tc>
          <w:tcPr>
            <w:tcW w:w="705" w:type="pct"/>
            <w:tcBorders>
              <w:top w:val="single" w:sz="4" w:space="0" w:color="auto"/>
              <w:left w:val="single" w:sz="4" w:space="0" w:color="auto"/>
              <w:bottom w:val="single" w:sz="4" w:space="0" w:color="auto"/>
              <w:right w:val="single" w:sz="4" w:space="0" w:color="auto"/>
            </w:tcBorders>
            <w:vAlign w:val="center"/>
          </w:tcPr>
          <w:p w14:paraId="11D8C3AA" w14:textId="77777777" w:rsidR="007518E4" w:rsidRPr="00B87E56" w:rsidRDefault="007518E4" w:rsidP="00C41C56">
            <w:pPr>
              <w:spacing w:before="0"/>
              <w:ind w:left="0"/>
              <w:jc w:val="center"/>
              <w:rPr>
                <w:rFonts w:ascii="Times New Roman" w:hAnsi="Times New Roman"/>
              </w:rPr>
            </w:pPr>
            <w:r w:rsidRPr="00B87E56">
              <w:rPr>
                <w:rFonts w:ascii="Times New Roman" w:hAnsi="Times New Roman"/>
              </w:rPr>
              <w:t>C</w:t>
            </w:r>
          </w:p>
        </w:tc>
        <w:tc>
          <w:tcPr>
            <w:tcW w:w="2688" w:type="pct"/>
            <w:tcBorders>
              <w:top w:val="single" w:sz="4" w:space="0" w:color="auto"/>
              <w:left w:val="single" w:sz="4" w:space="0" w:color="auto"/>
              <w:bottom w:val="single" w:sz="4" w:space="0" w:color="auto"/>
              <w:right w:val="single" w:sz="4" w:space="0" w:color="auto"/>
            </w:tcBorders>
            <w:vAlign w:val="center"/>
          </w:tcPr>
          <w:p w14:paraId="43D6FC84" w14:textId="77777777" w:rsidR="007518E4" w:rsidRPr="007E584D" w:rsidRDefault="00CF622C" w:rsidP="00C41C56">
            <w:pPr>
              <w:spacing w:before="0"/>
              <w:ind w:left="0"/>
              <w:rPr>
                <w:rFonts w:ascii="Times New Roman" w:eastAsia="Calibri" w:hAnsi="Times New Roman"/>
              </w:rPr>
            </w:pPr>
            <w:r w:rsidRPr="00CF622C">
              <w:rPr>
                <w:rFonts w:ascii="Times New Roman" w:eastAsia="Calibri" w:hAnsi="Times New Roman"/>
                <w:bCs/>
                <w:color w:val="000000"/>
                <w:szCs w:val="22"/>
              </w:rPr>
              <w:t xml:space="preserve">Approved staff list, personnel database, and payroll are not directly linked.  Delays up to 3 months (from one to the following quarterly payroll the payroll) can occur for budget control, data consistency, and personnel records reconciliation to take place. Appointments and promotions are controlled against approved staff quotas by </w:t>
            </w:r>
            <w:proofErr w:type="spellStart"/>
            <w:r w:rsidRPr="00CF622C">
              <w:rPr>
                <w:rFonts w:ascii="Times New Roman" w:eastAsia="Calibri" w:hAnsi="Times New Roman"/>
                <w:bCs/>
                <w:color w:val="000000"/>
                <w:szCs w:val="22"/>
              </w:rPr>
              <w:t>MoHA</w:t>
            </w:r>
            <w:proofErr w:type="spellEnd"/>
            <w:r w:rsidRPr="00CF622C">
              <w:rPr>
                <w:rFonts w:ascii="Times New Roman" w:eastAsia="Calibri" w:hAnsi="Times New Roman"/>
                <w:bCs/>
                <w:color w:val="000000"/>
                <w:szCs w:val="22"/>
              </w:rPr>
              <w:t xml:space="preserve"> and budget allocations by MoF.</w:t>
            </w:r>
          </w:p>
        </w:tc>
      </w:tr>
      <w:tr w:rsidR="007518E4" w:rsidRPr="008274D3" w14:paraId="0E2A0531" w14:textId="77777777" w:rsidTr="007518E4">
        <w:trPr>
          <w:trHeight w:val="80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4E36913F" w14:textId="77777777" w:rsidR="007518E4" w:rsidRPr="00B87E56" w:rsidRDefault="007518E4" w:rsidP="00C41C56">
            <w:pPr>
              <w:spacing w:before="0"/>
              <w:ind w:left="0"/>
              <w:rPr>
                <w:rFonts w:ascii="Times New Roman" w:hAnsi="Times New Roman"/>
              </w:rPr>
            </w:pPr>
            <w:r w:rsidRPr="00B87E56">
              <w:rPr>
                <w:rFonts w:ascii="Times New Roman" w:hAnsi="Times New Roman"/>
              </w:rPr>
              <w:t xml:space="preserve">23.2 </w:t>
            </w:r>
            <w:r w:rsidRPr="00B87E56">
              <w:rPr>
                <w:rFonts w:ascii="Times New Roman" w:hAnsi="Times New Roman"/>
                <w:bCs/>
                <w:color w:val="000000"/>
              </w:rPr>
              <w:t>Management of payroll changes</w:t>
            </w:r>
          </w:p>
        </w:tc>
        <w:tc>
          <w:tcPr>
            <w:tcW w:w="705" w:type="pct"/>
            <w:tcBorders>
              <w:top w:val="single" w:sz="4" w:space="0" w:color="auto"/>
              <w:left w:val="single" w:sz="4" w:space="0" w:color="auto"/>
              <w:bottom w:val="single" w:sz="4" w:space="0" w:color="auto"/>
              <w:right w:val="single" w:sz="4" w:space="0" w:color="auto"/>
            </w:tcBorders>
            <w:vAlign w:val="center"/>
          </w:tcPr>
          <w:p w14:paraId="1E6EEBE4" w14:textId="77777777" w:rsidR="007518E4" w:rsidRPr="00B87E56" w:rsidRDefault="007518E4" w:rsidP="00C41C56">
            <w:pPr>
              <w:spacing w:before="0"/>
              <w:ind w:left="0"/>
              <w:jc w:val="center"/>
              <w:rPr>
                <w:rFonts w:ascii="Times New Roman" w:hAnsi="Times New Roman"/>
              </w:rPr>
            </w:pPr>
            <w:r w:rsidRPr="00B87E56">
              <w:rPr>
                <w:rFonts w:ascii="Times New Roman" w:hAnsi="Times New Roman"/>
              </w:rPr>
              <w:t>C</w:t>
            </w:r>
          </w:p>
        </w:tc>
        <w:tc>
          <w:tcPr>
            <w:tcW w:w="2688" w:type="pct"/>
            <w:tcBorders>
              <w:top w:val="single" w:sz="4" w:space="0" w:color="auto"/>
              <w:left w:val="single" w:sz="4" w:space="0" w:color="auto"/>
              <w:bottom w:val="single" w:sz="4" w:space="0" w:color="auto"/>
              <w:right w:val="single" w:sz="4" w:space="0" w:color="auto"/>
            </w:tcBorders>
            <w:vAlign w:val="center"/>
          </w:tcPr>
          <w:p w14:paraId="205C40AE" w14:textId="77777777" w:rsidR="007518E4" w:rsidRPr="00B87E56" w:rsidRDefault="007518E4" w:rsidP="00C41C56">
            <w:pPr>
              <w:spacing w:before="0"/>
              <w:ind w:left="0"/>
              <w:rPr>
                <w:rFonts w:ascii="Times New Roman" w:hAnsi="Times New Roman"/>
              </w:rPr>
            </w:pPr>
            <w:r w:rsidRPr="00B87E56">
              <w:rPr>
                <w:rFonts w:ascii="Times New Roman" w:eastAsia="Calibri" w:hAnsi="Times New Roman"/>
                <w:color w:val="000000"/>
              </w:rPr>
              <w:t xml:space="preserve">Payroll data is updated quarterly </w:t>
            </w:r>
            <w:r>
              <w:rPr>
                <w:rFonts w:ascii="Times New Roman" w:eastAsia="Calibri" w:hAnsi="Times New Roman"/>
                <w:color w:val="000000"/>
              </w:rPr>
              <w:t>and processed</w:t>
            </w:r>
            <w:r w:rsidRPr="00B87E56">
              <w:rPr>
                <w:rFonts w:ascii="Times New Roman" w:eastAsia="Calibri" w:hAnsi="Times New Roman"/>
                <w:color w:val="000000"/>
              </w:rPr>
              <w:t xml:space="preserve"> by Treasury at the end of each quarter. Retroactive adjustments are limited.</w:t>
            </w:r>
          </w:p>
        </w:tc>
      </w:tr>
      <w:tr w:rsidR="007518E4" w:rsidRPr="008274D3" w14:paraId="42C6A0E0" w14:textId="77777777" w:rsidTr="007518E4">
        <w:trPr>
          <w:trHeight w:val="881"/>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7D15E231" w14:textId="77777777" w:rsidR="007518E4" w:rsidRPr="00B87E56" w:rsidRDefault="007518E4" w:rsidP="00C41C56">
            <w:pPr>
              <w:spacing w:before="0"/>
              <w:ind w:left="0"/>
              <w:rPr>
                <w:rFonts w:ascii="Times New Roman" w:hAnsi="Times New Roman"/>
              </w:rPr>
            </w:pPr>
            <w:r w:rsidRPr="00B87E56">
              <w:rPr>
                <w:rFonts w:ascii="Times New Roman" w:hAnsi="Times New Roman"/>
              </w:rPr>
              <w:t xml:space="preserve">23.3 Internal control of payroll </w:t>
            </w:r>
          </w:p>
        </w:tc>
        <w:tc>
          <w:tcPr>
            <w:tcW w:w="705" w:type="pct"/>
            <w:tcBorders>
              <w:top w:val="single" w:sz="4" w:space="0" w:color="auto"/>
              <w:left w:val="single" w:sz="4" w:space="0" w:color="auto"/>
              <w:bottom w:val="single" w:sz="4" w:space="0" w:color="auto"/>
              <w:right w:val="single" w:sz="4" w:space="0" w:color="auto"/>
            </w:tcBorders>
            <w:vAlign w:val="center"/>
          </w:tcPr>
          <w:p w14:paraId="4B93773F" w14:textId="77777777" w:rsidR="007518E4" w:rsidRPr="00B87E56" w:rsidRDefault="007518E4" w:rsidP="00C41C56">
            <w:pPr>
              <w:spacing w:before="0"/>
              <w:ind w:left="0"/>
              <w:jc w:val="center"/>
              <w:rPr>
                <w:rFonts w:ascii="Times New Roman" w:hAnsi="Times New Roman"/>
              </w:rPr>
            </w:pPr>
            <w:r w:rsidRPr="00B87E5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tcPr>
          <w:p w14:paraId="7352990E" w14:textId="77777777" w:rsidR="007518E4" w:rsidRPr="00B87E56" w:rsidRDefault="007518E4" w:rsidP="00C41C56">
            <w:pPr>
              <w:spacing w:before="0"/>
              <w:ind w:left="0"/>
              <w:rPr>
                <w:rFonts w:ascii="Times New Roman" w:eastAsia="Calibri" w:hAnsi="Times New Roman"/>
              </w:rPr>
            </w:pPr>
            <w:r w:rsidRPr="00B87E56">
              <w:rPr>
                <w:rFonts w:ascii="Times New Roman" w:eastAsia="Calibri" w:hAnsi="Times New Roman"/>
              </w:rPr>
              <w:t>Segregation of roles and responsibilities and payroll controls are well defined and restricted to user defined access levels ensuring data integrity in the PIMS database and MoF payroll system. Changes to the payroll and PIMS database are well documented with</w:t>
            </w:r>
            <w:r w:rsidR="00DB0467">
              <w:rPr>
                <w:rFonts w:ascii="Times New Roman" w:eastAsia="Calibri" w:hAnsi="Times New Roman"/>
              </w:rPr>
              <w:t xml:space="preserve"> readily available audit trail.</w:t>
            </w:r>
            <w:r w:rsidRPr="00B87E56">
              <w:rPr>
                <w:rFonts w:ascii="Times New Roman" w:eastAsia="Calibri" w:hAnsi="Times New Roman"/>
              </w:rPr>
              <w:t xml:space="preserve"> However</w:t>
            </w:r>
            <w:r w:rsidR="00DB0467">
              <w:rPr>
                <w:rFonts w:ascii="Times New Roman" w:eastAsia="Calibri" w:hAnsi="Times New Roman"/>
              </w:rPr>
              <w:t>,</w:t>
            </w:r>
            <w:r w:rsidRPr="00B87E56">
              <w:rPr>
                <w:rFonts w:ascii="Times New Roman" w:eastAsia="Calibri" w:hAnsi="Times New Roman"/>
              </w:rPr>
              <w:t xml:space="preserve"> the </w:t>
            </w:r>
            <w:r w:rsidRPr="00B87E56">
              <w:rPr>
                <w:rFonts w:ascii="Times New Roman" w:eastAsia="Calibri" w:hAnsi="Times New Roman"/>
              </w:rPr>
              <w:lastRenderedPageBreak/>
              <w:t xml:space="preserve">coverage of the </w:t>
            </w:r>
            <w:proofErr w:type="spellStart"/>
            <w:r w:rsidRPr="00B87E56">
              <w:rPr>
                <w:rFonts w:ascii="Times New Roman" w:eastAsia="Calibri" w:hAnsi="Times New Roman"/>
              </w:rPr>
              <w:t>MoHA</w:t>
            </w:r>
            <w:proofErr w:type="spellEnd"/>
            <w:r w:rsidRPr="00B87E56">
              <w:rPr>
                <w:rFonts w:ascii="Times New Roman" w:eastAsia="Calibri" w:hAnsi="Times New Roman"/>
              </w:rPr>
              <w:t xml:space="preserve"> and MoF controls does not include the significant part represented by the police and armed forces managed separately.</w:t>
            </w:r>
          </w:p>
        </w:tc>
      </w:tr>
      <w:tr w:rsidR="007518E4" w:rsidRPr="008274D3" w14:paraId="5071C810" w14:textId="77777777" w:rsidTr="00DB0467">
        <w:trPr>
          <w:trHeight w:val="674"/>
          <w:jc w:val="center"/>
        </w:trPr>
        <w:tc>
          <w:tcPr>
            <w:tcW w:w="1607" w:type="pct"/>
            <w:tcBorders>
              <w:top w:val="single" w:sz="4" w:space="0" w:color="auto"/>
              <w:left w:val="single" w:sz="4" w:space="0" w:color="auto"/>
              <w:bottom w:val="single" w:sz="4" w:space="0" w:color="auto"/>
              <w:right w:val="single" w:sz="4" w:space="0" w:color="auto"/>
            </w:tcBorders>
            <w:vAlign w:val="center"/>
          </w:tcPr>
          <w:p w14:paraId="591695B4" w14:textId="77777777" w:rsidR="007518E4" w:rsidRPr="00B87E56" w:rsidRDefault="007518E4" w:rsidP="00C41C56">
            <w:pPr>
              <w:spacing w:before="0"/>
              <w:ind w:left="0"/>
              <w:rPr>
                <w:rFonts w:ascii="Times New Roman" w:hAnsi="Times New Roman"/>
              </w:rPr>
            </w:pPr>
            <w:r w:rsidRPr="00B87E56">
              <w:rPr>
                <w:rFonts w:ascii="Times New Roman" w:hAnsi="Times New Roman"/>
              </w:rPr>
              <w:lastRenderedPageBreak/>
              <w:t>23.4 Payroll audit</w:t>
            </w:r>
          </w:p>
        </w:tc>
        <w:tc>
          <w:tcPr>
            <w:tcW w:w="705" w:type="pct"/>
            <w:tcBorders>
              <w:top w:val="single" w:sz="4" w:space="0" w:color="auto"/>
              <w:left w:val="single" w:sz="4" w:space="0" w:color="auto"/>
              <w:bottom w:val="single" w:sz="4" w:space="0" w:color="auto"/>
              <w:right w:val="single" w:sz="4" w:space="0" w:color="auto"/>
            </w:tcBorders>
            <w:vAlign w:val="center"/>
          </w:tcPr>
          <w:p w14:paraId="5279FC8C" w14:textId="77777777" w:rsidR="007518E4" w:rsidRPr="00B87E56" w:rsidRDefault="007518E4" w:rsidP="00C41C56">
            <w:pPr>
              <w:spacing w:before="0"/>
              <w:ind w:left="0"/>
              <w:jc w:val="center"/>
              <w:rPr>
                <w:rFonts w:ascii="Times New Roman" w:hAnsi="Times New Roman"/>
              </w:rPr>
            </w:pPr>
            <w:r w:rsidRPr="00B87E5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tcPr>
          <w:p w14:paraId="2CDA5EC0" w14:textId="77777777" w:rsidR="007518E4" w:rsidRPr="00AB1EA4" w:rsidRDefault="007518E4" w:rsidP="00C41C56">
            <w:pPr>
              <w:spacing w:before="0"/>
              <w:ind w:left="0"/>
              <w:rPr>
                <w:rFonts w:ascii="Times New Roman" w:eastAsia="Calibri" w:hAnsi="Times New Roman"/>
              </w:rPr>
            </w:pPr>
            <w:r w:rsidRPr="00AB1EA4">
              <w:rPr>
                <w:rFonts w:ascii="Times New Roman" w:hAnsi="Times New Roman"/>
              </w:rPr>
              <w:t>No comprehensive or partial payroll audit by SAO has been completed within the last three years.</w:t>
            </w:r>
          </w:p>
        </w:tc>
      </w:tr>
    </w:tbl>
    <w:p w14:paraId="3814DF43" w14:textId="77777777" w:rsidR="007518E4" w:rsidRPr="00B87E56" w:rsidRDefault="007518E4" w:rsidP="008037D9">
      <w:pPr>
        <w:pStyle w:val="ListParagraph"/>
        <w:numPr>
          <w:ilvl w:val="0"/>
          <w:numId w:val="77"/>
        </w:numPr>
        <w:autoSpaceDE w:val="0"/>
        <w:autoSpaceDN w:val="0"/>
        <w:adjustRightInd w:val="0"/>
        <w:spacing w:after="240"/>
        <w:ind w:left="0"/>
        <w:contextualSpacing w:val="0"/>
        <w:rPr>
          <w:rFonts w:ascii="Times New Roman" w:hAnsi="Times New Roman"/>
          <w:sz w:val="24"/>
        </w:rPr>
      </w:pPr>
      <w:r w:rsidRPr="00C41C56">
        <w:rPr>
          <w:rFonts w:ascii="Times New Roman" w:hAnsi="Times New Roman"/>
          <w:b/>
          <w:sz w:val="24"/>
        </w:rPr>
        <w:t>In 2017, 2.8 percent of the Lao PDR population was employed in the civilian public service.</w:t>
      </w:r>
      <w:r w:rsidRPr="000B6A45">
        <w:rPr>
          <w:rFonts w:ascii="Times New Roman" w:hAnsi="Times New Roman"/>
          <w:b/>
          <w:sz w:val="24"/>
        </w:rPr>
        <w:t xml:space="preserve"> </w:t>
      </w:r>
      <w:r>
        <w:rPr>
          <w:rFonts w:ascii="Times New Roman" w:hAnsi="Times New Roman"/>
          <w:sz w:val="24"/>
        </w:rPr>
        <w:t>T</w:t>
      </w:r>
      <w:r w:rsidRPr="00B87E56">
        <w:rPr>
          <w:rFonts w:ascii="Times New Roman" w:hAnsi="Times New Roman"/>
          <w:sz w:val="24"/>
        </w:rPr>
        <w:t xml:space="preserve">he development agenda of the </w:t>
      </w:r>
      <w:r w:rsidR="00DB0467">
        <w:rPr>
          <w:rFonts w:ascii="Times New Roman" w:hAnsi="Times New Roman"/>
          <w:sz w:val="24"/>
        </w:rPr>
        <w:t>GoL</w:t>
      </w:r>
      <w:r w:rsidRPr="00B87E56">
        <w:rPr>
          <w:rFonts w:ascii="Times New Roman" w:hAnsi="Times New Roman"/>
          <w:sz w:val="24"/>
        </w:rPr>
        <w:t xml:space="preserve"> over the past decade has put a special emphasis on modernizing the public sector institutions and policies and strengthening its human resource systems as presented in the “Civil Service Strategy Plan up to 2020”, and Decree No. 471/ PM, 13/12/2011.</w:t>
      </w:r>
      <w:r>
        <w:rPr>
          <w:rFonts w:ascii="Times New Roman" w:hAnsi="Times New Roman"/>
          <w:sz w:val="24"/>
        </w:rPr>
        <w:t xml:space="preserve"> </w:t>
      </w:r>
      <w:r w:rsidRPr="00B87E56">
        <w:rPr>
          <w:rFonts w:ascii="Times New Roman" w:hAnsi="Times New Roman"/>
          <w:sz w:val="24"/>
        </w:rPr>
        <w:t>The increase in the wage-bill – almost doubling in 2012/2013 due to new wage policy and employment increase - raised significant fiscal stress, leading to macroeconomic vulnerability. Ever since, managing the wage-bill has become a key priority and the government is currently considering the main directions and policies regarding the size, composition and deployment of the public service which will be implemented as a part of the next National Socio-Economic Development Plan (NSEDP) 2021-2025.</w:t>
      </w:r>
    </w:p>
    <w:p w14:paraId="13C5D1D4" w14:textId="77777777" w:rsidR="007518E4" w:rsidRPr="00B87E56" w:rsidRDefault="007518E4" w:rsidP="008037D9">
      <w:pPr>
        <w:pStyle w:val="ListParagraph"/>
        <w:numPr>
          <w:ilvl w:val="0"/>
          <w:numId w:val="77"/>
        </w:numPr>
        <w:autoSpaceDE w:val="0"/>
        <w:autoSpaceDN w:val="0"/>
        <w:adjustRightInd w:val="0"/>
        <w:spacing w:after="240"/>
        <w:ind w:left="0"/>
        <w:contextualSpacing w:val="0"/>
        <w:rPr>
          <w:rFonts w:ascii="Times New Roman" w:hAnsi="Times New Roman"/>
          <w:sz w:val="24"/>
        </w:rPr>
      </w:pPr>
      <w:r w:rsidRPr="00C41C56">
        <w:rPr>
          <w:rFonts w:ascii="Times New Roman" w:hAnsi="Times New Roman"/>
          <w:b/>
          <w:sz w:val="24"/>
        </w:rPr>
        <w:t xml:space="preserve">The </w:t>
      </w:r>
      <w:proofErr w:type="spellStart"/>
      <w:r w:rsidRPr="00C41C56">
        <w:rPr>
          <w:rFonts w:ascii="Times New Roman" w:hAnsi="Times New Roman"/>
          <w:b/>
          <w:sz w:val="24"/>
        </w:rPr>
        <w:t>MoHA</w:t>
      </w:r>
      <w:proofErr w:type="spellEnd"/>
      <w:r w:rsidRPr="00C41C56">
        <w:rPr>
          <w:rFonts w:ascii="Times New Roman" w:hAnsi="Times New Roman"/>
          <w:b/>
          <w:sz w:val="24"/>
        </w:rPr>
        <w:t xml:space="preserve"> holds the responsibility for the policy and oversight of the human resource management and records of the civil service composed of 183.000 staff at central and local government level.</w:t>
      </w:r>
      <w:r w:rsidRPr="00B87E56">
        <w:rPr>
          <w:rFonts w:ascii="Times New Roman" w:hAnsi="Times New Roman"/>
          <w:sz w:val="24"/>
        </w:rPr>
        <w:t xml:space="preserve"> </w:t>
      </w:r>
      <w:proofErr w:type="spellStart"/>
      <w:r w:rsidRPr="00B87E56">
        <w:rPr>
          <w:rFonts w:ascii="Times New Roman" w:hAnsi="Times New Roman"/>
          <w:sz w:val="24"/>
        </w:rPr>
        <w:t>MoHA</w:t>
      </w:r>
      <w:proofErr w:type="spellEnd"/>
      <w:r w:rsidRPr="00B87E56">
        <w:rPr>
          <w:rFonts w:ascii="Times New Roman" w:hAnsi="Times New Roman"/>
          <w:sz w:val="24"/>
        </w:rPr>
        <w:t xml:space="preserve"> also serves as an oversight body responsible for reviewing the requests from line ministries and provinces and setting the staffing ceilings. In 2007 </w:t>
      </w:r>
      <w:proofErr w:type="spellStart"/>
      <w:r w:rsidRPr="00B87E56">
        <w:rPr>
          <w:rFonts w:ascii="Times New Roman" w:hAnsi="Times New Roman"/>
          <w:sz w:val="24"/>
        </w:rPr>
        <w:t>MoHA</w:t>
      </w:r>
      <w:proofErr w:type="spellEnd"/>
      <w:r w:rsidRPr="00B87E56">
        <w:rPr>
          <w:rFonts w:ascii="Times New Roman" w:hAnsi="Times New Roman"/>
          <w:sz w:val="24"/>
        </w:rPr>
        <w:t xml:space="preserve"> launched and started piloting the Personnel Information Management System </w:t>
      </w:r>
      <w:r w:rsidR="00DB0467">
        <w:rPr>
          <w:rFonts w:ascii="Times New Roman" w:hAnsi="Times New Roman"/>
          <w:sz w:val="24"/>
        </w:rPr>
        <w:t xml:space="preserve">(PIMS) program. </w:t>
      </w:r>
      <w:r w:rsidRPr="00B87E56">
        <w:rPr>
          <w:rFonts w:ascii="Times New Roman" w:hAnsi="Times New Roman"/>
          <w:sz w:val="24"/>
        </w:rPr>
        <w:t xml:space="preserve">The PIMS is automated web-based application accessible for update of personnel information and payroll information with restricted access to classified levels of authority as a control mechanism. </w:t>
      </w:r>
      <w:r>
        <w:rPr>
          <w:rFonts w:ascii="Times New Roman" w:hAnsi="Times New Roman"/>
          <w:sz w:val="24"/>
        </w:rPr>
        <w:t xml:space="preserve">The pilot was applied </w:t>
      </w:r>
      <w:r w:rsidRPr="00B87E56">
        <w:rPr>
          <w:rFonts w:ascii="Times New Roman" w:hAnsi="Times New Roman"/>
          <w:sz w:val="24"/>
        </w:rPr>
        <w:t xml:space="preserve">in 7 government agencies including </w:t>
      </w:r>
      <w:proofErr w:type="spellStart"/>
      <w:r w:rsidRPr="00B87E56">
        <w:rPr>
          <w:rFonts w:ascii="Times New Roman" w:hAnsi="Times New Roman"/>
          <w:sz w:val="24"/>
        </w:rPr>
        <w:t>MoPW</w:t>
      </w:r>
      <w:proofErr w:type="spellEnd"/>
      <w:r w:rsidRPr="00B87E56">
        <w:rPr>
          <w:rFonts w:ascii="Times New Roman" w:hAnsi="Times New Roman"/>
          <w:sz w:val="24"/>
        </w:rPr>
        <w:t xml:space="preserve"> and </w:t>
      </w:r>
      <w:proofErr w:type="spellStart"/>
      <w:r w:rsidRPr="00B87E56">
        <w:rPr>
          <w:rFonts w:ascii="Times New Roman" w:hAnsi="Times New Roman"/>
          <w:sz w:val="24"/>
        </w:rPr>
        <w:t>MoH</w:t>
      </w:r>
      <w:proofErr w:type="spellEnd"/>
      <w:r w:rsidRPr="00B87E56">
        <w:rPr>
          <w:rFonts w:ascii="Times New Roman" w:hAnsi="Times New Roman"/>
          <w:sz w:val="24"/>
        </w:rPr>
        <w:t xml:space="preserve">. </w:t>
      </w:r>
      <w:r>
        <w:rPr>
          <w:rFonts w:ascii="Times New Roman" w:hAnsi="Times New Roman"/>
          <w:sz w:val="24"/>
        </w:rPr>
        <w:t xml:space="preserve"> </w:t>
      </w:r>
      <w:r w:rsidRPr="00B87E56">
        <w:rPr>
          <w:rFonts w:ascii="Times New Roman" w:hAnsi="Times New Roman"/>
          <w:sz w:val="24"/>
        </w:rPr>
        <w:t xml:space="preserve">The design of the PIMS was revised in 2015 to address issues regarding the connectivity, data accuracy and legal basis to determine eligibility and calculation of benefits and roll-out a provincial level. In 2018, </w:t>
      </w:r>
      <w:r>
        <w:rPr>
          <w:rFonts w:ascii="Times New Roman" w:hAnsi="Times New Roman"/>
          <w:sz w:val="24"/>
        </w:rPr>
        <w:t>the implementation of</w:t>
      </w:r>
      <w:r w:rsidRPr="00B87E56">
        <w:rPr>
          <w:rFonts w:ascii="Times New Roman" w:hAnsi="Times New Roman"/>
          <w:sz w:val="24"/>
        </w:rPr>
        <w:t xml:space="preserve"> instruction no.01/MOHA 27/01/2015 on civil service database management, </w:t>
      </w:r>
      <w:r>
        <w:rPr>
          <w:rFonts w:ascii="Times New Roman" w:hAnsi="Times New Roman"/>
          <w:sz w:val="24"/>
        </w:rPr>
        <w:t>(</w:t>
      </w:r>
      <w:r w:rsidRPr="00B87E56">
        <w:rPr>
          <w:rFonts w:ascii="Times New Roman" w:hAnsi="Times New Roman"/>
          <w:sz w:val="24"/>
        </w:rPr>
        <w:t xml:space="preserve">PIMS) </w:t>
      </w:r>
      <w:r>
        <w:rPr>
          <w:rFonts w:ascii="Times New Roman" w:hAnsi="Times New Roman"/>
          <w:sz w:val="24"/>
        </w:rPr>
        <w:t>was rolled out to cover</w:t>
      </w:r>
      <w:r w:rsidRPr="00B87E56">
        <w:rPr>
          <w:rFonts w:ascii="Times New Roman" w:hAnsi="Times New Roman"/>
          <w:sz w:val="24"/>
        </w:rPr>
        <w:t xml:space="preserve"> all line ministries at central level and centrally deployed civil servants (30,467 staff) with relevant and accurate personnel information. </w:t>
      </w:r>
    </w:p>
    <w:p w14:paraId="270F663E" w14:textId="77777777" w:rsidR="007518E4" w:rsidRPr="00B87E56" w:rsidRDefault="007518E4" w:rsidP="008037D9">
      <w:pPr>
        <w:pStyle w:val="ListParagraph"/>
        <w:numPr>
          <w:ilvl w:val="0"/>
          <w:numId w:val="77"/>
        </w:numPr>
        <w:autoSpaceDE w:val="0"/>
        <w:autoSpaceDN w:val="0"/>
        <w:adjustRightInd w:val="0"/>
        <w:spacing w:after="240"/>
        <w:ind w:left="0"/>
        <w:contextualSpacing w:val="0"/>
        <w:rPr>
          <w:rFonts w:ascii="Times New Roman" w:hAnsi="Times New Roman"/>
          <w:sz w:val="24"/>
        </w:rPr>
      </w:pPr>
      <w:r w:rsidRPr="00C41C56">
        <w:rPr>
          <w:rFonts w:ascii="Times New Roman" w:hAnsi="Times New Roman"/>
          <w:b/>
          <w:sz w:val="24"/>
        </w:rPr>
        <w:t>The database only covers 16.7 percent of the public sector workforce</w:t>
      </w:r>
      <w:r w:rsidRPr="00C41C56">
        <w:rPr>
          <w:rStyle w:val="FootnoteReference"/>
          <w:rFonts w:ascii="Times New Roman" w:hAnsi="Times New Roman"/>
          <w:b/>
          <w:sz w:val="24"/>
        </w:rPr>
        <w:footnoteReference w:id="44"/>
      </w:r>
      <w:r w:rsidRPr="00C41C56">
        <w:rPr>
          <w:rFonts w:ascii="Times New Roman" w:hAnsi="Times New Roman"/>
          <w:b/>
          <w:sz w:val="24"/>
        </w:rPr>
        <w:t xml:space="preserve"> and does not include some large public sectors such as the police and armed forces, contracted workers, casual and voluntary labor employees working in government institutions.</w:t>
      </w:r>
      <w:r w:rsidR="00DB0467">
        <w:rPr>
          <w:rFonts w:ascii="Times New Roman" w:hAnsi="Times New Roman"/>
          <w:sz w:val="24"/>
        </w:rPr>
        <w:t xml:space="preserve"> </w:t>
      </w:r>
      <w:r w:rsidRPr="000F6B28">
        <w:rPr>
          <w:rFonts w:ascii="Times New Roman" w:hAnsi="Times New Roman"/>
          <w:sz w:val="24"/>
        </w:rPr>
        <w:t>According to the 2015 government census, around 347,000 responded as being</w:t>
      </w:r>
      <w:r w:rsidRPr="00B87E56">
        <w:rPr>
          <w:rFonts w:ascii="Times New Roman" w:hAnsi="Times New Roman"/>
          <w:sz w:val="24"/>
        </w:rPr>
        <w:t xml:space="preserve"> employed by the Government. A substantial number of employees work at the sub-national level, with education and health making up the major bulk of sub-national public employment. The Ministry of Education and Sports (</w:t>
      </w:r>
      <w:proofErr w:type="spellStart"/>
      <w:r w:rsidRPr="00B87E56">
        <w:rPr>
          <w:rFonts w:ascii="Times New Roman" w:hAnsi="Times New Roman"/>
          <w:sz w:val="24"/>
        </w:rPr>
        <w:t>MoES</w:t>
      </w:r>
      <w:proofErr w:type="spellEnd"/>
      <w:r w:rsidRPr="00B87E56">
        <w:rPr>
          <w:rFonts w:ascii="Times New Roman" w:hAnsi="Times New Roman"/>
          <w:sz w:val="24"/>
        </w:rPr>
        <w:t xml:space="preserve">) maintains a database of employees in the education sector </w:t>
      </w:r>
      <w:r>
        <w:rPr>
          <w:rFonts w:ascii="Times New Roman" w:hAnsi="Times New Roman"/>
          <w:sz w:val="24"/>
        </w:rPr>
        <w:t>(including 75,000 teachers) but it is not linked to PIMS</w:t>
      </w:r>
      <w:r w:rsidRPr="00B87E56">
        <w:rPr>
          <w:rFonts w:ascii="Times New Roman" w:hAnsi="Times New Roman"/>
          <w:sz w:val="24"/>
        </w:rPr>
        <w:t>.</w:t>
      </w:r>
      <w:r>
        <w:rPr>
          <w:rFonts w:ascii="Times New Roman" w:hAnsi="Times New Roman"/>
          <w:sz w:val="24"/>
        </w:rPr>
        <w:t xml:space="preserve"> </w:t>
      </w:r>
      <w:r w:rsidRPr="00B87E56">
        <w:rPr>
          <w:rFonts w:ascii="Times New Roman" w:hAnsi="Times New Roman"/>
          <w:sz w:val="24"/>
        </w:rPr>
        <w:t xml:space="preserve"> The Ministry of Health (</w:t>
      </w:r>
      <w:proofErr w:type="spellStart"/>
      <w:r w:rsidRPr="00B87E56">
        <w:rPr>
          <w:rFonts w:ascii="Times New Roman" w:hAnsi="Times New Roman"/>
          <w:sz w:val="24"/>
        </w:rPr>
        <w:t>MoH</w:t>
      </w:r>
      <w:proofErr w:type="spellEnd"/>
      <w:r w:rsidRPr="00B87E56">
        <w:rPr>
          <w:rFonts w:ascii="Times New Roman" w:hAnsi="Times New Roman"/>
          <w:sz w:val="24"/>
        </w:rPr>
        <w:t xml:space="preserve">) has already started using the PIMS application and extending it to health sector staff at the sub-national level. </w:t>
      </w:r>
      <w:proofErr w:type="spellStart"/>
      <w:r w:rsidRPr="00B87E56">
        <w:rPr>
          <w:rFonts w:ascii="Times New Roman" w:hAnsi="Times New Roman"/>
          <w:sz w:val="24"/>
        </w:rPr>
        <w:t>MoHA</w:t>
      </w:r>
      <w:proofErr w:type="spellEnd"/>
      <w:r w:rsidRPr="00B87E56">
        <w:rPr>
          <w:rFonts w:ascii="Times New Roman" w:hAnsi="Times New Roman"/>
          <w:sz w:val="24"/>
        </w:rPr>
        <w:t xml:space="preserve"> plans to roll out the PIMS application to provinces in 2019.</w:t>
      </w:r>
    </w:p>
    <w:p w14:paraId="14D22328" w14:textId="77777777" w:rsidR="007518E4" w:rsidRPr="000F6B28" w:rsidRDefault="007518E4" w:rsidP="008037D9">
      <w:pPr>
        <w:pStyle w:val="ListParagraph"/>
        <w:numPr>
          <w:ilvl w:val="0"/>
          <w:numId w:val="77"/>
        </w:numPr>
        <w:autoSpaceDE w:val="0"/>
        <w:autoSpaceDN w:val="0"/>
        <w:adjustRightInd w:val="0"/>
        <w:spacing w:after="240"/>
        <w:ind w:left="0"/>
        <w:contextualSpacing w:val="0"/>
        <w:rPr>
          <w:rFonts w:ascii="Times New Roman" w:hAnsi="Times New Roman"/>
          <w:sz w:val="24"/>
        </w:rPr>
      </w:pPr>
      <w:r w:rsidRPr="00C41C56">
        <w:rPr>
          <w:rFonts w:ascii="Times New Roman" w:hAnsi="Times New Roman"/>
          <w:b/>
          <w:sz w:val="24"/>
        </w:rPr>
        <w:t>Retirement benefits and pensions are managed by the Ministry of Social Welfare</w:t>
      </w:r>
      <w:r w:rsidR="00DB0467">
        <w:rPr>
          <w:rFonts w:ascii="Times New Roman" w:hAnsi="Times New Roman"/>
          <w:sz w:val="24"/>
        </w:rPr>
        <w:t xml:space="preserve">. </w:t>
      </w:r>
      <w:r w:rsidR="00C41C56">
        <w:rPr>
          <w:rFonts w:ascii="Times New Roman" w:hAnsi="Times New Roman"/>
          <w:sz w:val="24"/>
        </w:rPr>
        <w:t xml:space="preserve">First, </w:t>
      </w:r>
      <w:proofErr w:type="spellStart"/>
      <w:r w:rsidRPr="000F6B28">
        <w:rPr>
          <w:rFonts w:ascii="Times New Roman" w:hAnsi="Times New Roman"/>
          <w:sz w:val="24"/>
        </w:rPr>
        <w:t>MoHA</w:t>
      </w:r>
      <w:proofErr w:type="spellEnd"/>
      <w:r w:rsidRPr="000F6B28">
        <w:rPr>
          <w:rFonts w:ascii="Times New Roman" w:hAnsi="Times New Roman"/>
          <w:sz w:val="24"/>
        </w:rPr>
        <w:t xml:space="preserve"> transmits the paperwork for the transfer of the data and records.</w:t>
      </w:r>
    </w:p>
    <w:p w14:paraId="5C9B65B5" w14:textId="77777777" w:rsidR="007518E4" w:rsidRPr="00FE6ED4" w:rsidRDefault="007518E4" w:rsidP="00C41C56">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lastRenderedPageBreak/>
        <w:t xml:space="preserve">23.1. Integration of </w:t>
      </w:r>
      <w:r>
        <w:rPr>
          <w:rFonts w:ascii="Times New Roman" w:eastAsia="Calibri" w:hAnsi="Times New Roman"/>
          <w:b/>
          <w:bCs/>
          <w:color w:val="84C346"/>
          <w:spacing w:val="-1"/>
          <w:sz w:val="24"/>
        </w:rPr>
        <w:t>p</w:t>
      </w:r>
      <w:r w:rsidRPr="00FE6ED4">
        <w:rPr>
          <w:rFonts w:ascii="Times New Roman" w:eastAsia="Calibri" w:hAnsi="Times New Roman"/>
          <w:b/>
          <w:bCs/>
          <w:color w:val="84C346"/>
          <w:spacing w:val="-1"/>
          <w:sz w:val="24"/>
        </w:rPr>
        <w:t xml:space="preserve">ayroll and </w:t>
      </w:r>
      <w:r>
        <w:rPr>
          <w:rFonts w:ascii="Times New Roman" w:eastAsia="Calibri" w:hAnsi="Times New Roman"/>
          <w:b/>
          <w:bCs/>
          <w:color w:val="84C346"/>
          <w:spacing w:val="-1"/>
          <w:sz w:val="24"/>
        </w:rPr>
        <w:t>p</w:t>
      </w:r>
      <w:r w:rsidRPr="00FE6ED4">
        <w:rPr>
          <w:rFonts w:ascii="Times New Roman" w:eastAsia="Calibri" w:hAnsi="Times New Roman"/>
          <w:b/>
          <w:bCs/>
          <w:color w:val="84C346"/>
          <w:spacing w:val="-1"/>
          <w:sz w:val="24"/>
        </w:rPr>
        <w:t xml:space="preserve">ersonnel </w:t>
      </w:r>
      <w:r>
        <w:rPr>
          <w:rFonts w:ascii="Times New Roman" w:eastAsia="Calibri" w:hAnsi="Times New Roman"/>
          <w:b/>
          <w:bCs/>
          <w:color w:val="84C346"/>
          <w:spacing w:val="-1"/>
          <w:sz w:val="24"/>
        </w:rPr>
        <w:t>r</w:t>
      </w:r>
      <w:r w:rsidRPr="00FE6ED4">
        <w:rPr>
          <w:rFonts w:ascii="Times New Roman" w:eastAsia="Calibri" w:hAnsi="Times New Roman"/>
          <w:b/>
          <w:bCs/>
          <w:color w:val="84C346"/>
          <w:spacing w:val="-1"/>
          <w:sz w:val="24"/>
        </w:rPr>
        <w:t>ecords</w:t>
      </w:r>
    </w:p>
    <w:p w14:paraId="5099C917" w14:textId="77777777" w:rsidR="007518E4" w:rsidRPr="00CC5C79" w:rsidRDefault="007518E4" w:rsidP="008037D9">
      <w:pPr>
        <w:pStyle w:val="ListParagraph"/>
        <w:widowControl w:val="0"/>
        <w:numPr>
          <w:ilvl w:val="0"/>
          <w:numId w:val="77"/>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eastAsia="Calibri" w:hAnsi="Times New Roman"/>
          <w:b/>
          <w:color w:val="000000"/>
          <w:sz w:val="24"/>
        </w:rPr>
        <w:t xml:space="preserve">The PIMS payroll management system within </w:t>
      </w:r>
      <w:proofErr w:type="spellStart"/>
      <w:r w:rsidRPr="00C41C56">
        <w:rPr>
          <w:rFonts w:ascii="Times New Roman" w:eastAsia="Calibri" w:hAnsi="Times New Roman"/>
          <w:b/>
          <w:color w:val="000000"/>
          <w:sz w:val="24"/>
        </w:rPr>
        <w:t>MoHA</w:t>
      </w:r>
      <w:proofErr w:type="spellEnd"/>
      <w:r w:rsidRPr="00C41C56">
        <w:rPr>
          <w:rFonts w:ascii="Times New Roman" w:eastAsia="Calibri" w:hAnsi="Times New Roman"/>
          <w:b/>
          <w:color w:val="000000"/>
          <w:sz w:val="24"/>
        </w:rPr>
        <w:t xml:space="preserve"> is integrated for those ministries covered by it</w:t>
      </w:r>
      <w:r w:rsidRPr="000F6B28">
        <w:rPr>
          <w:rFonts w:ascii="Times New Roman" w:eastAsia="Calibri" w:hAnsi="Times New Roman"/>
          <w:color w:val="000000"/>
          <w:sz w:val="24"/>
        </w:rPr>
        <w:t>.</w:t>
      </w:r>
      <w:r w:rsidRPr="00CC5C79">
        <w:rPr>
          <w:rFonts w:ascii="Times New Roman" w:eastAsia="Calibri" w:hAnsi="Times New Roman"/>
          <w:color w:val="000000"/>
          <w:sz w:val="24"/>
        </w:rPr>
        <w:t xml:space="preserve"> For personnel records and payroll data that are managed within PIMS, there is secure reconciliation and data integrity between the two modules. </w:t>
      </w:r>
      <w:r w:rsidRPr="00CC5C79">
        <w:rPr>
          <w:rFonts w:ascii="Times New Roman" w:hAnsi="Times New Roman"/>
          <w:sz w:val="24"/>
        </w:rPr>
        <w:t xml:space="preserve">The actual payroll payments by MoF is consistent with </w:t>
      </w:r>
      <w:proofErr w:type="spellStart"/>
      <w:r w:rsidRPr="00CC5C79">
        <w:rPr>
          <w:rFonts w:ascii="Times New Roman" w:hAnsi="Times New Roman"/>
          <w:sz w:val="24"/>
        </w:rPr>
        <w:t>MoHA</w:t>
      </w:r>
      <w:proofErr w:type="spellEnd"/>
      <w:r w:rsidRPr="00CC5C79">
        <w:rPr>
          <w:rFonts w:ascii="Times New Roman" w:hAnsi="Times New Roman"/>
          <w:sz w:val="24"/>
        </w:rPr>
        <w:t xml:space="preserve"> authorizations as line agencies that are in PIMS prepare wage payment calculations by</w:t>
      </w:r>
      <w:r w:rsidRPr="00CC5C79">
        <w:rPr>
          <w:rFonts w:ascii="Times New Roman" w:eastAsia="Calibri" w:hAnsi="Times New Roman"/>
          <w:color w:val="000000"/>
          <w:sz w:val="24"/>
        </w:rPr>
        <w:t xml:space="preserve"> accessing the PIMS database for processing the payroll.  </w:t>
      </w:r>
    </w:p>
    <w:p w14:paraId="36C44641" w14:textId="77777777" w:rsidR="007518E4" w:rsidRPr="000B6A45" w:rsidRDefault="007518E4" w:rsidP="008037D9">
      <w:pPr>
        <w:pStyle w:val="ListParagraph"/>
        <w:widowControl w:val="0"/>
        <w:numPr>
          <w:ilvl w:val="0"/>
          <w:numId w:val="77"/>
        </w:numPr>
        <w:autoSpaceDE w:val="0"/>
        <w:autoSpaceDN w:val="0"/>
        <w:adjustRightInd w:val="0"/>
        <w:spacing w:after="240" w:line="280" w:lineRule="atLeast"/>
        <w:ind w:left="0"/>
        <w:contextualSpacing w:val="0"/>
        <w:rPr>
          <w:rFonts w:ascii="Times New Roman" w:eastAsia="Calibri" w:hAnsi="Times New Roman"/>
          <w:b/>
          <w:bCs/>
          <w:color w:val="000000"/>
          <w:sz w:val="24"/>
        </w:rPr>
      </w:pPr>
      <w:r w:rsidRPr="00C41C56">
        <w:rPr>
          <w:rFonts w:ascii="Times New Roman" w:eastAsia="Calibri" w:hAnsi="Times New Roman"/>
          <w:b/>
          <w:color w:val="000000"/>
          <w:sz w:val="24"/>
        </w:rPr>
        <w:t>H</w:t>
      </w:r>
      <w:r w:rsidRPr="00C41C56">
        <w:rPr>
          <w:rFonts w:ascii="Times New Roman" w:hAnsi="Times New Roman"/>
          <w:b/>
          <w:sz w:val="24"/>
        </w:rPr>
        <w:t xml:space="preserve">owever, the coverage of government personnel within PIMS is limited. </w:t>
      </w:r>
      <w:r w:rsidRPr="000B6A45">
        <w:rPr>
          <w:rFonts w:ascii="Times New Roman" w:hAnsi="Times New Roman"/>
          <w:sz w:val="24"/>
        </w:rPr>
        <w:t xml:space="preserve">Firstly, </w:t>
      </w:r>
      <w:proofErr w:type="spellStart"/>
      <w:r w:rsidRPr="000B6A45">
        <w:rPr>
          <w:rFonts w:ascii="Times New Roman" w:eastAsia="Calibri" w:hAnsi="Times New Roman"/>
          <w:color w:val="000000"/>
          <w:sz w:val="24"/>
        </w:rPr>
        <w:t>MoHA</w:t>
      </w:r>
      <w:proofErr w:type="spellEnd"/>
      <w:r w:rsidRPr="000B6A45">
        <w:rPr>
          <w:rFonts w:ascii="Times New Roman" w:eastAsia="Calibri" w:hAnsi="Times New Roman"/>
          <w:color w:val="000000"/>
          <w:sz w:val="24"/>
        </w:rPr>
        <w:t xml:space="preserve"> manages only part of the central government workforce through the PIMS de-concentrated personnel management system. </w:t>
      </w:r>
      <w:r w:rsidRPr="000B6A45">
        <w:rPr>
          <w:rFonts w:ascii="Times New Roman" w:hAnsi="Times New Roman"/>
          <w:sz w:val="24"/>
        </w:rPr>
        <w:t xml:space="preserve">The Ministry of Home Affairs keeps a central database of all central public servants (including those working in health and education but excluding police and armed forces). Secondly, differences still exist in the wage calculation as not all benefits and allowances – and particularly promotion information - are not covered by the system at ministries’ level and </w:t>
      </w:r>
      <w:proofErr w:type="spellStart"/>
      <w:r w:rsidRPr="000B6A45">
        <w:rPr>
          <w:rFonts w:ascii="Times New Roman" w:hAnsi="Times New Roman"/>
          <w:sz w:val="24"/>
        </w:rPr>
        <w:t>MoHA</w:t>
      </w:r>
      <w:proofErr w:type="spellEnd"/>
      <w:r w:rsidRPr="000B6A45">
        <w:rPr>
          <w:rFonts w:ascii="Times New Roman" w:hAnsi="Times New Roman"/>
          <w:sz w:val="24"/>
        </w:rPr>
        <w:t xml:space="preserve"> still controls </w:t>
      </w:r>
      <w:proofErr w:type="gramStart"/>
      <w:r w:rsidRPr="000B6A45">
        <w:rPr>
          <w:rFonts w:ascii="Times New Roman" w:hAnsi="Times New Roman"/>
          <w:sz w:val="24"/>
        </w:rPr>
        <w:t>a number of</w:t>
      </w:r>
      <w:proofErr w:type="gramEnd"/>
      <w:r w:rsidRPr="000B6A45">
        <w:rPr>
          <w:rFonts w:ascii="Times New Roman" w:hAnsi="Times New Roman"/>
          <w:sz w:val="24"/>
        </w:rPr>
        <w:t xml:space="preserve"> benefits and entitlements, as well as terminations, and transfers. For civil servants at the central level, this data is stored in PIMS, which provides consistency checks for them. At the provincial level, delays can occur as the line ministries have to submit information to MOHA and the MoF Budget department for review and authorization. Finally, PIMS is not yet directly interfaced or linked to the MoF payroll database and GFIS in the Treasury department.  This causes issues of reconciliation even for payroll data.</w:t>
      </w:r>
      <w:r w:rsidRPr="000B6A45">
        <w:rPr>
          <w:rFonts w:ascii="Times New Roman" w:eastAsia="Calibri" w:hAnsi="Times New Roman"/>
          <w:b/>
          <w:bCs/>
          <w:color w:val="000000"/>
          <w:sz w:val="24"/>
        </w:rPr>
        <w:t xml:space="preserve"> </w:t>
      </w:r>
      <w:proofErr w:type="spellStart"/>
      <w:r w:rsidRPr="000B6A45">
        <w:rPr>
          <w:rFonts w:ascii="Times New Roman" w:hAnsi="Times New Roman"/>
          <w:sz w:val="24"/>
        </w:rPr>
        <w:t>MoHA</w:t>
      </w:r>
      <w:proofErr w:type="spellEnd"/>
      <w:r w:rsidRPr="000B6A45">
        <w:rPr>
          <w:rFonts w:ascii="Times New Roman" w:hAnsi="Times New Roman"/>
          <w:sz w:val="24"/>
        </w:rPr>
        <w:t xml:space="preserve"> is currently adding a wage calculation module to its system. The link is planned for 2018 and piloted in 3 ministries to test the direct access to PIMS by Treasury. </w:t>
      </w:r>
    </w:p>
    <w:p w14:paraId="22C80FB8" w14:textId="77777777" w:rsidR="007518E4" w:rsidRDefault="00D23EDB" w:rsidP="008037D9">
      <w:pPr>
        <w:pStyle w:val="ListParagraph"/>
        <w:widowControl w:val="0"/>
        <w:numPr>
          <w:ilvl w:val="0"/>
          <w:numId w:val="77"/>
        </w:numPr>
        <w:autoSpaceDE w:val="0"/>
        <w:autoSpaceDN w:val="0"/>
        <w:adjustRightInd w:val="0"/>
        <w:spacing w:after="240" w:line="280" w:lineRule="atLeast"/>
        <w:ind w:left="0"/>
        <w:contextualSpacing w:val="0"/>
        <w:rPr>
          <w:rFonts w:ascii="Times New Roman" w:hAnsi="Times New Roman"/>
          <w:sz w:val="24"/>
        </w:rPr>
      </w:pPr>
      <w:r>
        <w:rPr>
          <w:rFonts w:ascii="Times New Roman" w:hAnsi="Times New Roman"/>
          <w:b/>
          <w:sz w:val="24"/>
        </w:rPr>
        <w:t>R</w:t>
      </w:r>
      <w:r w:rsidR="007518E4" w:rsidRPr="00C41C56">
        <w:rPr>
          <w:rFonts w:ascii="Times New Roman" w:hAnsi="Times New Roman"/>
          <w:b/>
          <w:sz w:val="24"/>
        </w:rPr>
        <w:t>econciliation of the personnel records and the payroll operations throughout the government work force</w:t>
      </w:r>
      <w:r>
        <w:rPr>
          <w:rFonts w:ascii="Times New Roman" w:hAnsi="Times New Roman"/>
          <w:b/>
          <w:sz w:val="24"/>
        </w:rPr>
        <w:t xml:space="preserve"> is carried out every six months</w:t>
      </w:r>
      <w:r w:rsidR="007518E4" w:rsidRPr="000F6B28">
        <w:rPr>
          <w:rFonts w:ascii="Times New Roman" w:hAnsi="Times New Roman"/>
          <w:sz w:val="24"/>
        </w:rPr>
        <w:t>.</w:t>
      </w:r>
      <w:r w:rsidR="00DB0467">
        <w:rPr>
          <w:rFonts w:ascii="Times New Roman" w:hAnsi="Times New Roman"/>
          <w:sz w:val="24"/>
        </w:rPr>
        <w:t xml:space="preserve"> </w:t>
      </w:r>
      <w:r w:rsidR="007518E4" w:rsidRPr="00890264">
        <w:rPr>
          <w:rFonts w:ascii="Times New Roman" w:hAnsi="Times New Roman"/>
          <w:sz w:val="24"/>
        </w:rPr>
        <w:t xml:space="preserve">Payroll changes are not updated in a timely manner. </w:t>
      </w:r>
      <w:r w:rsidR="007518E4">
        <w:rPr>
          <w:rFonts w:ascii="Times New Roman" w:hAnsi="Times New Roman"/>
          <w:sz w:val="24"/>
        </w:rPr>
        <w:t xml:space="preserve"> </w:t>
      </w:r>
      <w:r w:rsidR="007518E4" w:rsidRPr="00890264">
        <w:rPr>
          <w:rFonts w:ascii="Times New Roman" w:hAnsi="Times New Roman"/>
          <w:sz w:val="24"/>
        </w:rPr>
        <w:t>Mo</w:t>
      </w:r>
      <w:r w:rsidR="007518E4">
        <w:rPr>
          <w:rFonts w:ascii="Times New Roman" w:hAnsi="Times New Roman"/>
          <w:sz w:val="24"/>
        </w:rPr>
        <w:t>F and the finance department</w:t>
      </w:r>
      <w:r w:rsidR="007518E4" w:rsidRPr="00890264">
        <w:rPr>
          <w:rFonts w:ascii="Times New Roman" w:hAnsi="Times New Roman"/>
          <w:sz w:val="24"/>
        </w:rPr>
        <w:t xml:space="preserve"> in each ministry/province have their own excel-based database of the payroll (poli</w:t>
      </w:r>
      <w:r w:rsidR="00DB0467">
        <w:rPr>
          <w:rFonts w:ascii="Times New Roman" w:hAnsi="Times New Roman"/>
          <w:sz w:val="24"/>
        </w:rPr>
        <w:t xml:space="preserve">ce and armed forces excluded). </w:t>
      </w:r>
      <w:r w:rsidR="007518E4" w:rsidRPr="00890264">
        <w:rPr>
          <w:rFonts w:ascii="Times New Roman" w:hAnsi="Times New Roman"/>
          <w:sz w:val="24"/>
        </w:rPr>
        <w:t>Twice annually, as of 1</w:t>
      </w:r>
      <w:r w:rsidR="007518E4" w:rsidRPr="00890264">
        <w:rPr>
          <w:rFonts w:ascii="Times New Roman" w:hAnsi="Times New Roman"/>
          <w:sz w:val="24"/>
          <w:vertAlign w:val="superscript"/>
        </w:rPr>
        <w:t>st</w:t>
      </w:r>
      <w:r w:rsidR="007518E4" w:rsidRPr="00890264">
        <w:rPr>
          <w:rFonts w:ascii="Times New Roman" w:hAnsi="Times New Roman"/>
          <w:sz w:val="24"/>
        </w:rPr>
        <w:t xml:space="preserve"> January and 1</w:t>
      </w:r>
      <w:r w:rsidR="007518E4" w:rsidRPr="00890264">
        <w:rPr>
          <w:rFonts w:ascii="Times New Roman" w:hAnsi="Times New Roman"/>
          <w:sz w:val="24"/>
          <w:vertAlign w:val="superscript"/>
        </w:rPr>
        <w:t>st</w:t>
      </w:r>
      <w:r w:rsidR="007518E4" w:rsidRPr="00890264">
        <w:rPr>
          <w:rFonts w:ascii="Times New Roman" w:hAnsi="Times New Roman"/>
          <w:sz w:val="24"/>
        </w:rPr>
        <w:t xml:space="preserve"> July, </w:t>
      </w:r>
      <w:proofErr w:type="spellStart"/>
      <w:r w:rsidR="007518E4" w:rsidRPr="00890264">
        <w:rPr>
          <w:rFonts w:ascii="Times New Roman" w:hAnsi="Times New Roman"/>
          <w:sz w:val="24"/>
        </w:rPr>
        <w:t>MoHA</w:t>
      </w:r>
      <w:proofErr w:type="spellEnd"/>
      <w:r w:rsidR="007518E4" w:rsidRPr="00890264">
        <w:rPr>
          <w:rFonts w:ascii="Times New Roman" w:hAnsi="Times New Roman"/>
          <w:sz w:val="24"/>
        </w:rPr>
        <w:t xml:space="preserve"> issues letters of authorization of approved staff numbers, grades, and incremental steps for each ministry and province payroll and notifies recorded changes to these authorizations. Processing for the changes can therefore be implemented at the line ministry level within Q1 and Q3. However, actual approval of changes to the payroll individual records can be made only during the following quarters Q2 and Q4 when the subsequent payroll is submitted to </w:t>
      </w:r>
      <w:proofErr w:type="spellStart"/>
      <w:r w:rsidR="007518E4" w:rsidRPr="00890264">
        <w:rPr>
          <w:rFonts w:ascii="Times New Roman" w:hAnsi="Times New Roman"/>
          <w:sz w:val="24"/>
        </w:rPr>
        <w:t>MoHA</w:t>
      </w:r>
      <w:proofErr w:type="spellEnd"/>
      <w:r w:rsidR="007518E4" w:rsidRPr="00890264">
        <w:rPr>
          <w:rFonts w:ascii="Times New Roman" w:hAnsi="Times New Roman"/>
          <w:sz w:val="24"/>
        </w:rPr>
        <w:t xml:space="preserve"> and MoF for review and approval. Given that the salary entitlement is effective from the date of change processed at the line ministry level, this practice results in frequent retroactive payments that can take up to three months to be adjusted in the system and paid.  </w:t>
      </w:r>
    </w:p>
    <w:p w14:paraId="700FD318" w14:textId="77777777" w:rsidR="007518E4" w:rsidRPr="00ED6F7A" w:rsidRDefault="007518E4" w:rsidP="008037D9">
      <w:pPr>
        <w:pStyle w:val="ListParagraph"/>
        <w:widowControl w:val="0"/>
        <w:numPr>
          <w:ilvl w:val="0"/>
          <w:numId w:val="77"/>
        </w:numPr>
        <w:autoSpaceDE w:val="0"/>
        <w:autoSpaceDN w:val="0"/>
        <w:adjustRightInd w:val="0"/>
        <w:spacing w:after="240" w:line="280" w:lineRule="atLeast"/>
        <w:ind w:left="0"/>
        <w:contextualSpacing w:val="0"/>
        <w:rPr>
          <w:rFonts w:ascii="Times New Roman" w:hAnsi="Times New Roman"/>
          <w:sz w:val="24"/>
        </w:rPr>
      </w:pPr>
      <w:r w:rsidRPr="00C41C56">
        <w:rPr>
          <w:rFonts w:ascii="Times New Roman" w:eastAsia="Calibri" w:hAnsi="Times New Roman"/>
          <w:b/>
          <w:bCs/>
          <w:color w:val="000000"/>
          <w:sz w:val="24"/>
        </w:rPr>
        <w:t xml:space="preserve">Approved staff list, personnel database, and payroll are not directly linked. </w:t>
      </w:r>
      <w:r>
        <w:rPr>
          <w:rFonts w:ascii="Times New Roman" w:eastAsia="Calibri" w:hAnsi="Times New Roman"/>
          <w:b/>
          <w:bCs/>
          <w:color w:val="000000"/>
          <w:sz w:val="24"/>
        </w:rPr>
        <w:t xml:space="preserve"> </w:t>
      </w:r>
      <w:r w:rsidRPr="00890264">
        <w:rPr>
          <w:rFonts w:ascii="Times New Roman" w:eastAsia="Calibri" w:hAnsi="Times New Roman"/>
          <w:bCs/>
          <w:color w:val="000000"/>
          <w:sz w:val="24"/>
        </w:rPr>
        <w:t xml:space="preserve">Delays up to 3 months (from one to the following quarterly </w:t>
      </w:r>
      <w:r>
        <w:rPr>
          <w:rFonts w:ascii="Times New Roman" w:eastAsia="Calibri" w:hAnsi="Times New Roman"/>
          <w:bCs/>
          <w:color w:val="000000"/>
          <w:sz w:val="24"/>
        </w:rPr>
        <w:t>payroll</w:t>
      </w:r>
      <w:r w:rsidRPr="00890264">
        <w:rPr>
          <w:rFonts w:ascii="Times New Roman" w:eastAsia="Calibri" w:hAnsi="Times New Roman"/>
          <w:bCs/>
          <w:color w:val="000000"/>
          <w:sz w:val="24"/>
        </w:rPr>
        <w:t xml:space="preserve"> the payroll) can occur for budget control, data consistency, and personnel records reconciliation to take place. Appointments and promotions are controlled against approved staff quotas by </w:t>
      </w:r>
      <w:proofErr w:type="spellStart"/>
      <w:r w:rsidRPr="00890264">
        <w:rPr>
          <w:rFonts w:ascii="Times New Roman" w:eastAsia="Calibri" w:hAnsi="Times New Roman"/>
          <w:bCs/>
          <w:color w:val="000000"/>
          <w:sz w:val="24"/>
        </w:rPr>
        <w:t>MoHA</w:t>
      </w:r>
      <w:proofErr w:type="spellEnd"/>
      <w:r w:rsidRPr="00890264">
        <w:rPr>
          <w:rFonts w:ascii="Times New Roman" w:eastAsia="Calibri" w:hAnsi="Times New Roman"/>
          <w:bCs/>
          <w:color w:val="000000"/>
          <w:sz w:val="24"/>
        </w:rPr>
        <w:t xml:space="preserve"> and budget allocations by MoF: Score C.</w:t>
      </w:r>
      <w:r w:rsidRPr="00890264">
        <w:rPr>
          <w:rFonts w:ascii="Times New Roman" w:eastAsia="Calibri" w:hAnsi="Times New Roman"/>
          <w:b/>
          <w:bCs/>
          <w:color w:val="000000"/>
          <w:sz w:val="24"/>
        </w:rPr>
        <w:t xml:space="preserve"> </w:t>
      </w:r>
    </w:p>
    <w:p w14:paraId="2A2223F9" w14:textId="77777777" w:rsidR="007518E4" w:rsidRPr="00FE6ED4" w:rsidRDefault="007518E4" w:rsidP="00C41C56">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23.2. Management of </w:t>
      </w:r>
      <w:r>
        <w:rPr>
          <w:rFonts w:ascii="Times New Roman" w:eastAsia="Calibri" w:hAnsi="Times New Roman"/>
          <w:b/>
          <w:bCs/>
          <w:color w:val="84C346"/>
          <w:spacing w:val="-1"/>
          <w:sz w:val="24"/>
        </w:rPr>
        <w:t>p</w:t>
      </w:r>
      <w:r w:rsidRPr="00FE6ED4">
        <w:rPr>
          <w:rFonts w:ascii="Times New Roman" w:eastAsia="Calibri" w:hAnsi="Times New Roman"/>
          <w:b/>
          <w:bCs/>
          <w:color w:val="84C346"/>
          <w:spacing w:val="-1"/>
          <w:sz w:val="24"/>
        </w:rPr>
        <w:t xml:space="preserve">ayroll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 xml:space="preserve">hanges </w:t>
      </w:r>
    </w:p>
    <w:p w14:paraId="7ACAE2CB" w14:textId="77777777" w:rsidR="007518E4" w:rsidRPr="000B6A45" w:rsidRDefault="007518E4" w:rsidP="008037D9">
      <w:pPr>
        <w:pStyle w:val="ListParagraph"/>
        <w:numPr>
          <w:ilvl w:val="0"/>
          <w:numId w:val="77"/>
        </w:numPr>
        <w:autoSpaceDE w:val="0"/>
        <w:autoSpaceDN w:val="0"/>
        <w:adjustRightInd w:val="0"/>
        <w:spacing w:after="240"/>
        <w:ind w:left="0"/>
        <w:contextualSpacing w:val="0"/>
        <w:rPr>
          <w:rFonts w:ascii="Times New Roman" w:hAnsi="Times New Roman"/>
          <w:sz w:val="24"/>
        </w:rPr>
      </w:pPr>
      <w:r w:rsidRPr="00C41C56">
        <w:rPr>
          <w:rFonts w:ascii="Times New Roman" w:hAnsi="Times New Roman"/>
          <w:b/>
          <w:bCs/>
          <w:color w:val="000000"/>
          <w:sz w:val="24"/>
        </w:rPr>
        <w:t>Ministries are responsible for updating their personnel records</w:t>
      </w:r>
      <w:r w:rsidRPr="000F6B28">
        <w:rPr>
          <w:rFonts w:ascii="Times New Roman" w:hAnsi="Times New Roman"/>
          <w:bCs/>
          <w:color w:val="000000"/>
          <w:sz w:val="24"/>
        </w:rPr>
        <w:t>.</w:t>
      </w:r>
      <w:r>
        <w:rPr>
          <w:rFonts w:ascii="Times New Roman" w:hAnsi="Times New Roman"/>
          <w:b/>
          <w:bCs/>
          <w:color w:val="000000"/>
          <w:sz w:val="24"/>
        </w:rPr>
        <w:t xml:space="preserve"> </w:t>
      </w:r>
      <w:r w:rsidRPr="00E81C4A">
        <w:rPr>
          <w:rFonts w:ascii="Times New Roman" w:hAnsi="Times New Roman"/>
          <w:bCs/>
          <w:color w:val="000000"/>
          <w:sz w:val="24"/>
        </w:rPr>
        <w:t xml:space="preserve">This includes submitting personnel data and documentation </w:t>
      </w:r>
      <w:r>
        <w:rPr>
          <w:rFonts w:ascii="Times New Roman" w:hAnsi="Times New Roman"/>
          <w:bCs/>
          <w:color w:val="000000"/>
          <w:sz w:val="24"/>
        </w:rPr>
        <w:t xml:space="preserve">that are adequate </w:t>
      </w:r>
      <w:r w:rsidRPr="00E81C4A">
        <w:rPr>
          <w:rFonts w:ascii="Times New Roman" w:hAnsi="Times New Roman"/>
          <w:bCs/>
          <w:color w:val="000000"/>
          <w:sz w:val="24"/>
        </w:rPr>
        <w:t>for audit</w:t>
      </w:r>
      <w:r>
        <w:rPr>
          <w:rFonts w:ascii="Times New Roman" w:hAnsi="Times New Roman"/>
          <w:bCs/>
          <w:color w:val="000000"/>
          <w:sz w:val="24"/>
        </w:rPr>
        <w:t xml:space="preserve"> purposes. </w:t>
      </w:r>
      <w:r w:rsidRPr="000B6A45">
        <w:rPr>
          <w:rFonts w:ascii="Times New Roman" w:hAnsi="Times New Roman"/>
          <w:bCs/>
          <w:color w:val="000000"/>
          <w:sz w:val="24"/>
        </w:rPr>
        <w:t xml:space="preserve"> </w:t>
      </w:r>
      <w:r w:rsidRPr="000B6A45">
        <w:rPr>
          <w:rFonts w:ascii="Times New Roman" w:hAnsi="Times New Roman"/>
          <w:sz w:val="24"/>
        </w:rPr>
        <w:t xml:space="preserve">Processing of payroll including changes is prepared by the respective </w:t>
      </w:r>
      <w:r>
        <w:rPr>
          <w:rFonts w:ascii="Times New Roman" w:hAnsi="Times New Roman"/>
          <w:sz w:val="24"/>
        </w:rPr>
        <w:t>f</w:t>
      </w:r>
      <w:r w:rsidRPr="000B6A45">
        <w:rPr>
          <w:rFonts w:ascii="Times New Roman" w:hAnsi="Times New Roman"/>
          <w:sz w:val="24"/>
        </w:rPr>
        <w:t xml:space="preserve">inance departments of line </w:t>
      </w:r>
      <w:r w:rsidRPr="000B6A45">
        <w:rPr>
          <w:rFonts w:ascii="Times New Roman" w:hAnsi="Times New Roman"/>
          <w:sz w:val="24"/>
        </w:rPr>
        <w:lastRenderedPageBreak/>
        <w:t>ministries</w:t>
      </w:r>
      <w:r w:rsidR="00DB0467">
        <w:rPr>
          <w:rFonts w:ascii="Times New Roman" w:hAnsi="Times New Roman"/>
          <w:sz w:val="24"/>
        </w:rPr>
        <w:t xml:space="preserve">. </w:t>
      </w:r>
      <w:r>
        <w:rPr>
          <w:rFonts w:ascii="Times New Roman" w:hAnsi="Times New Roman"/>
          <w:sz w:val="24"/>
        </w:rPr>
        <w:t>A p</w:t>
      </w:r>
      <w:r w:rsidRPr="000B6A45">
        <w:rPr>
          <w:rFonts w:ascii="Times New Roman" w:hAnsi="Times New Roman"/>
          <w:sz w:val="24"/>
        </w:rPr>
        <w:t xml:space="preserve">ayment request in the form of a Payment voucher with the list of staff and payroll amounts </w:t>
      </w:r>
      <w:r>
        <w:rPr>
          <w:rFonts w:ascii="Times New Roman" w:hAnsi="Times New Roman"/>
          <w:sz w:val="24"/>
        </w:rPr>
        <w:t>is</w:t>
      </w:r>
      <w:r w:rsidRPr="000B6A45">
        <w:rPr>
          <w:rFonts w:ascii="Times New Roman" w:hAnsi="Times New Roman"/>
          <w:sz w:val="24"/>
        </w:rPr>
        <w:t xml:space="preserve"> submitted to the </w:t>
      </w:r>
      <w:proofErr w:type="spellStart"/>
      <w:r w:rsidRPr="000B6A45">
        <w:rPr>
          <w:rFonts w:ascii="Times New Roman" w:hAnsi="Times New Roman"/>
          <w:sz w:val="24"/>
        </w:rPr>
        <w:t>MoHA</w:t>
      </w:r>
      <w:proofErr w:type="spellEnd"/>
      <w:r w:rsidRPr="000B6A45">
        <w:rPr>
          <w:rFonts w:ascii="Times New Roman" w:hAnsi="Times New Roman"/>
          <w:sz w:val="24"/>
        </w:rPr>
        <w:t xml:space="preserve"> and MoF. This process is strictly implemented. Once </w:t>
      </w:r>
      <w:proofErr w:type="spellStart"/>
      <w:r w:rsidRPr="000B6A45">
        <w:rPr>
          <w:rFonts w:ascii="Times New Roman" w:hAnsi="Times New Roman"/>
          <w:sz w:val="24"/>
        </w:rPr>
        <w:t>MoHA</w:t>
      </w:r>
      <w:proofErr w:type="spellEnd"/>
      <w:r w:rsidRPr="000B6A45">
        <w:rPr>
          <w:rFonts w:ascii="Times New Roman" w:hAnsi="Times New Roman"/>
          <w:sz w:val="24"/>
        </w:rPr>
        <w:t xml:space="preserve"> has </w:t>
      </w:r>
      <w:r>
        <w:rPr>
          <w:rFonts w:ascii="Times New Roman" w:hAnsi="Times New Roman"/>
          <w:sz w:val="24"/>
        </w:rPr>
        <w:t>validated the HR information, Mo</w:t>
      </w:r>
      <w:r w:rsidRPr="000B6A45">
        <w:rPr>
          <w:rFonts w:ascii="Times New Roman" w:hAnsi="Times New Roman"/>
          <w:sz w:val="24"/>
        </w:rPr>
        <w:t xml:space="preserve">F is informed and the payroll is processed manually with </w:t>
      </w:r>
      <w:r>
        <w:rPr>
          <w:rFonts w:ascii="Times New Roman" w:hAnsi="Times New Roman"/>
          <w:sz w:val="24"/>
        </w:rPr>
        <w:t xml:space="preserve">all payments made though </w:t>
      </w:r>
      <w:r w:rsidRPr="000B6A45">
        <w:rPr>
          <w:rFonts w:ascii="Times New Roman" w:hAnsi="Times New Roman"/>
          <w:sz w:val="24"/>
        </w:rPr>
        <w:t xml:space="preserve">commercial banks. </w:t>
      </w:r>
    </w:p>
    <w:p w14:paraId="546B6FB2" w14:textId="77777777" w:rsidR="007518E4" w:rsidRPr="000B6A45" w:rsidRDefault="007518E4" w:rsidP="008037D9">
      <w:pPr>
        <w:pStyle w:val="ListParagraph"/>
        <w:numPr>
          <w:ilvl w:val="0"/>
          <w:numId w:val="77"/>
        </w:numPr>
        <w:spacing w:after="240"/>
        <w:ind w:left="0"/>
        <w:contextualSpacing w:val="0"/>
        <w:rPr>
          <w:rFonts w:ascii="Times New Roman" w:hAnsi="Times New Roman"/>
          <w:bCs/>
          <w:color w:val="000000"/>
          <w:sz w:val="24"/>
        </w:rPr>
      </w:pPr>
      <w:r w:rsidRPr="00C41C56">
        <w:rPr>
          <w:rFonts w:ascii="Times New Roman" w:hAnsi="Times New Roman"/>
          <w:b/>
          <w:bCs/>
          <w:color w:val="000000"/>
          <w:sz w:val="24"/>
        </w:rPr>
        <w:t xml:space="preserve">Changes relating to new appointments and introduction of new posts on the payroll are first authorized by </w:t>
      </w:r>
      <w:proofErr w:type="spellStart"/>
      <w:r w:rsidRPr="00C41C56">
        <w:rPr>
          <w:rFonts w:ascii="Times New Roman" w:hAnsi="Times New Roman"/>
          <w:b/>
          <w:bCs/>
          <w:color w:val="000000"/>
          <w:sz w:val="24"/>
        </w:rPr>
        <w:t>MoHA</w:t>
      </w:r>
      <w:proofErr w:type="spellEnd"/>
      <w:r w:rsidRPr="00C41C56">
        <w:rPr>
          <w:rFonts w:ascii="Times New Roman" w:hAnsi="Times New Roman"/>
          <w:b/>
          <w:bCs/>
          <w:color w:val="000000"/>
          <w:sz w:val="24"/>
        </w:rPr>
        <w:t xml:space="preserve"> and then </w:t>
      </w:r>
      <w:proofErr w:type="gramStart"/>
      <w:r w:rsidRPr="00C41C56">
        <w:rPr>
          <w:rFonts w:ascii="Times New Roman" w:hAnsi="Times New Roman"/>
          <w:b/>
          <w:bCs/>
          <w:color w:val="000000"/>
          <w:sz w:val="24"/>
        </w:rPr>
        <w:t>entered into</w:t>
      </w:r>
      <w:proofErr w:type="gramEnd"/>
      <w:r w:rsidRPr="00C41C56">
        <w:rPr>
          <w:rFonts w:ascii="Times New Roman" w:hAnsi="Times New Roman"/>
          <w:b/>
          <w:bCs/>
          <w:color w:val="000000"/>
          <w:sz w:val="24"/>
        </w:rPr>
        <w:t xml:space="preserve"> PIMS</w:t>
      </w:r>
      <w:r w:rsidRPr="000F6B28">
        <w:rPr>
          <w:rFonts w:ascii="Times New Roman" w:hAnsi="Times New Roman"/>
          <w:bCs/>
          <w:color w:val="000000"/>
          <w:sz w:val="24"/>
        </w:rPr>
        <w:t>.</w:t>
      </w:r>
      <w:r w:rsidRPr="000B6A45">
        <w:rPr>
          <w:rFonts w:ascii="Times New Roman" w:hAnsi="Times New Roman"/>
          <w:bCs/>
          <w:color w:val="000000"/>
          <w:sz w:val="24"/>
        </w:rPr>
        <w:t xml:space="preserve"> Retroactive adjustments at central level are normally not delayed further than the quarterly cycle of payroll submission</w:t>
      </w:r>
      <w:r>
        <w:rPr>
          <w:rFonts w:ascii="Times New Roman" w:hAnsi="Times New Roman"/>
          <w:bCs/>
          <w:color w:val="000000"/>
          <w:sz w:val="24"/>
        </w:rPr>
        <w:t>.  P</w:t>
      </w:r>
      <w:r w:rsidRPr="000B6A45">
        <w:rPr>
          <w:rFonts w:ascii="Times New Roman" w:hAnsi="Times New Roman"/>
          <w:bCs/>
          <w:color w:val="000000"/>
          <w:sz w:val="24"/>
        </w:rPr>
        <w:t xml:space="preserve">ayment </w:t>
      </w:r>
      <w:r>
        <w:rPr>
          <w:rFonts w:ascii="Times New Roman" w:hAnsi="Times New Roman"/>
          <w:bCs/>
          <w:color w:val="000000"/>
          <w:sz w:val="24"/>
        </w:rPr>
        <w:t xml:space="preserve">adjusts are </w:t>
      </w:r>
      <w:r w:rsidRPr="000B6A45">
        <w:rPr>
          <w:rFonts w:ascii="Times New Roman" w:hAnsi="Times New Roman"/>
          <w:bCs/>
          <w:color w:val="000000"/>
          <w:sz w:val="24"/>
        </w:rPr>
        <w:t xml:space="preserve">more frequent for staff managed at local level such as schools and health facilities, particularly in </w:t>
      </w:r>
      <w:r>
        <w:rPr>
          <w:rFonts w:ascii="Times New Roman" w:hAnsi="Times New Roman"/>
          <w:bCs/>
          <w:color w:val="000000"/>
          <w:sz w:val="24"/>
        </w:rPr>
        <w:t>connection with new recruitment</w:t>
      </w:r>
      <w:r w:rsidRPr="000B6A45">
        <w:rPr>
          <w:rFonts w:ascii="Times New Roman" w:hAnsi="Times New Roman"/>
          <w:bCs/>
          <w:color w:val="000000"/>
          <w:sz w:val="24"/>
        </w:rPr>
        <w:t xml:space="preserve"> and promotions for which update of the payroll can take up to 2-3 months to become effective.  There were no statistics available on retroactive adjustments, but government estimates the overall frequency </w:t>
      </w:r>
      <w:r>
        <w:rPr>
          <w:rFonts w:ascii="Times New Roman" w:hAnsi="Times New Roman"/>
          <w:bCs/>
          <w:color w:val="000000"/>
          <w:sz w:val="24"/>
        </w:rPr>
        <w:t xml:space="preserve">to be </w:t>
      </w:r>
      <w:r w:rsidRPr="000B6A45">
        <w:rPr>
          <w:rFonts w:ascii="Times New Roman" w:hAnsi="Times New Roman"/>
          <w:bCs/>
          <w:color w:val="000000"/>
          <w:sz w:val="24"/>
        </w:rPr>
        <w:t>less than 1% of payments.</w:t>
      </w:r>
    </w:p>
    <w:p w14:paraId="38A8D382" w14:textId="77777777" w:rsidR="007518E4" w:rsidRPr="00E81C4A" w:rsidRDefault="005A1DD9" w:rsidP="008037D9">
      <w:pPr>
        <w:pStyle w:val="ListParagraph"/>
        <w:widowControl w:val="0"/>
        <w:numPr>
          <w:ilvl w:val="0"/>
          <w:numId w:val="77"/>
        </w:numPr>
        <w:autoSpaceDE w:val="0"/>
        <w:autoSpaceDN w:val="0"/>
        <w:adjustRightInd w:val="0"/>
        <w:spacing w:after="240"/>
        <w:ind w:left="0"/>
        <w:contextualSpacing w:val="0"/>
        <w:rPr>
          <w:rFonts w:ascii="Times New Roman" w:eastAsia="Calibri" w:hAnsi="Times New Roman"/>
          <w:color w:val="000000"/>
          <w:sz w:val="24"/>
        </w:rPr>
      </w:pPr>
      <w:r>
        <w:rPr>
          <w:rFonts w:ascii="Times New Roman" w:eastAsia="Calibri" w:hAnsi="Times New Roman"/>
          <w:b/>
          <w:color w:val="000000"/>
          <w:sz w:val="24"/>
        </w:rPr>
        <w:t xml:space="preserve">Adjustments to payroll take place twice a year. </w:t>
      </w:r>
      <w:r w:rsidR="007518E4" w:rsidRPr="00C41C56">
        <w:rPr>
          <w:rFonts w:ascii="Times New Roman" w:eastAsia="Calibri" w:hAnsi="Times New Roman"/>
          <w:b/>
          <w:color w:val="000000"/>
          <w:sz w:val="24"/>
        </w:rPr>
        <w:t>Payroll data is updated</w:t>
      </w:r>
      <w:r w:rsidR="007518E4">
        <w:rPr>
          <w:rFonts w:ascii="Times New Roman" w:eastAsia="Calibri" w:hAnsi="Times New Roman"/>
          <w:b/>
          <w:color w:val="000000"/>
          <w:sz w:val="24"/>
        </w:rPr>
        <w:t xml:space="preserve"> </w:t>
      </w:r>
      <w:r w:rsidR="007518E4">
        <w:rPr>
          <w:rFonts w:ascii="Times New Roman" w:eastAsia="Calibri" w:hAnsi="Times New Roman"/>
          <w:color w:val="000000"/>
          <w:sz w:val="24"/>
        </w:rPr>
        <w:t>P</w:t>
      </w:r>
      <w:r w:rsidR="007518E4" w:rsidRPr="00E81C4A">
        <w:rPr>
          <w:rFonts w:ascii="Times New Roman" w:eastAsia="Calibri" w:hAnsi="Times New Roman"/>
          <w:color w:val="000000"/>
          <w:sz w:val="24"/>
        </w:rPr>
        <w:t xml:space="preserve">ayroll </w:t>
      </w:r>
      <w:r>
        <w:rPr>
          <w:rFonts w:ascii="Times New Roman" w:eastAsia="Calibri" w:hAnsi="Times New Roman"/>
          <w:color w:val="000000"/>
          <w:sz w:val="24"/>
        </w:rPr>
        <w:t xml:space="preserve">data </w:t>
      </w:r>
      <w:r w:rsidR="007518E4" w:rsidRPr="00E81C4A">
        <w:rPr>
          <w:rFonts w:ascii="Times New Roman" w:eastAsia="Calibri" w:hAnsi="Times New Roman"/>
          <w:color w:val="000000"/>
          <w:sz w:val="24"/>
        </w:rPr>
        <w:t xml:space="preserve">is </w:t>
      </w:r>
      <w:r>
        <w:rPr>
          <w:rFonts w:ascii="Times New Roman" w:eastAsia="Calibri" w:hAnsi="Times New Roman"/>
          <w:color w:val="000000"/>
          <w:sz w:val="24"/>
        </w:rPr>
        <w:t xml:space="preserve">updated and </w:t>
      </w:r>
      <w:r w:rsidR="007518E4" w:rsidRPr="00E81C4A">
        <w:rPr>
          <w:rFonts w:ascii="Times New Roman" w:eastAsia="Calibri" w:hAnsi="Times New Roman"/>
          <w:color w:val="000000"/>
          <w:sz w:val="24"/>
        </w:rPr>
        <w:t xml:space="preserve">processed by Treasury </w:t>
      </w:r>
      <w:r w:rsidRPr="00C41C56">
        <w:rPr>
          <w:rFonts w:ascii="Times New Roman" w:eastAsia="Calibri" w:hAnsi="Times New Roman"/>
          <w:b/>
          <w:color w:val="000000"/>
          <w:sz w:val="24"/>
        </w:rPr>
        <w:t>on a quarterly basis</w:t>
      </w:r>
      <w:r>
        <w:rPr>
          <w:rFonts w:ascii="Times New Roman" w:eastAsia="Calibri" w:hAnsi="Times New Roman"/>
          <w:b/>
          <w:color w:val="000000"/>
          <w:sz w:val="24"/>
        </w:rPr>
        <w:t xml:space="preserve"> in the period after the adjustment has taken place.</w:t>
      </w:r>
      <w:r w:rsidR="007518E4" w:rsidRPr="00E81C4A">
        <w:rPr>
          <w:rFonts w:ascii="Times New Roman" w:eastAsia="Calibri" w:hAnsi="Times New Roman"/>
          <w:color w:val="000000"/>
          <w:sz w:val="24"/>
        </w:rPr>
        <w:t xml:space="preserve"> </w:t>
      </w:r>
      <w:r>
        <w:rPr>
          <w:rFonts w:ascii="Times New Roman" w:eastAsia="Calibri" w:hAnsi="Times New Roman"/>
          <w:color w:val="000000"/>
          <w:sz w:val="24"/>
        </w:rPr>
        <w:t>Some r</w:t>
      </w:r>
      <w:r w:rsidR="007518E4" w:rsidRPr="00E81C4A">
        <w:rPr>
          <w:rFonts w:ascii="Times New Roman" w:eastAsia="Calibri" w:hAnsi="Times New Roman"/>
          <w:color w:val="000000"/>
          <w:sz w:val="24"/>
        </w:rPr>
        <w:t xml:space="preserve">etroactive adjustments </w:t>
      </w:r>
      <w:r>
        <w:rPr>
          <w:rFonts w:ascii="Times New Roman" w:eastAsia="Calibri" w:hAnsi="Times New Roman"/>
          <w:color w:val="000000"/>
          <w:sz w:val="24"/>
        </w:rPr>
        <w:t>can take place</w:t>
      </w:r>
      <w:r w:rsidR="007518E4" w:rsidRPr="00E81C4A">
        <w:rPr>
          <w:rFonts w:ascii="Times New Roman" w:eastAsia="Calibri" w:hAnsi="Times New Roman"/>
          <w:color w:val="000000"/>
          <w:sz w:val="24"/>
        </w:rPr>
        <w:t xml:space="preserve">: Score C. </w:t>
      </w:r>
    </w:p>
    <w:p w14:paraId="3FC705E2" w14:textId="77777777" w:rsidR="007518E4" w:rsidRPr="00FE6ED4" w:rsidRDefault="007518E4" w:rsidP="00C41C56">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23.3. Internal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 xml:space="preserve">ontrol </w:t>
      </w:r>
      <w:r>
        <w:rPr>
          <w:rFonts w:ascii="Times New Roman" w:eastAsia="Calibri" w:hAnsi="Times New Roman"/>
          <w:b/>
          <w:bCs/>
          <w:color w:val="84C346"/>
          <w:spacing w:val="-1"/>
          <w:sz w:val="24"/>
        </w:rPr>
        <w:t>o</w:t>
      </w:r>
      <w:r w:rsidRPr="00FE6ED4">
        <w:rPr>
          <w:rFonts w:ascii="Times New Roman" w:eastAsia="Calibri" w:hAnsi="Times New Roman"/>
          <w:b/>
          <w:bCs/>
          <w:color w:val="84C346"/>
          <w:spacing w:val="-1"/>
          <w:sz w:val="24"/>
        </w:rPr>
        <w:t xml:space="preserve">f </w:t>
      </w:r>
      <w:r>
        <w:rPr>
          <w:rFonts w:ascii="Times New Roman" w:eastAsia="Calibri" w:hAnsi="Times New Roman"/>
          <w:b/>
          <w:bCs/>
          <w:color w:val="84C346"/>
          <w:spacing w:val="-1"/>
          <w:sz w:val="24"/>
        </w:rPr>
        <w:t>p</w:t>
      </w:r>
      <w:r w:rsidRPr="00FE6ED4">
        <w:rPr>
          <w:rFonts w:ascii="Times New Roman" w:eastAsia="Calibri" w:hAnsi="Times New Roman"/>
          <w:b/>
          <w:bCs/>
          <w:color w:val="84C346"/>
          <w:spacing w:val="-1"/>
          <w:sz w:val="24"/>
        </w:rPr>
        <w:t>ayroll</w:t>
      </w:r>
    </w:p>
    <w:p w14:paraId="513978E8" w14:textId="77777777" w:rsidR="007518E4" w:rsidRDefault="007518E4" w:rsidP="008037D9">
      <w:pPr>
        <w:pStyle w:val="ListParagraph"/>
        <w:widowControl w:val="0"/>
        <w:numPr>
          <w:ilvl w:val="0"/>
          <w:numId w:val="77"/>
        </w:numPr>
        <w:autoSpaceDE w:val="0"/>
        <w:autoSpaceDN w:val="0"/>
        <w:adjustRightInd w:val="0"/>
        <w:spacing w:after="240"/>
        <w:ind w:left="0"/>
        <w:contextualSpacing w:val="0"/>
        <w:rPr>
          <w:rFonts w:ascii="Times New Roman" w:eastAsia="Calibri" w:hAnsi="Times New Roman"/>
          <w:color w:val="000000"/>
          <w:sz w:val="24"/>
        </w:rPr>
      </w:pPr>
      <w:r w:rsidRPr="00C41C56">
        <w:rPr>
          <w:rFonts w:ascii="Times New Roman" w:eastAsia="Calibri" w:hAnsi="Times New Roman"/>
          <w:b/>
          <w:color w:val="000000"/>
          <w:sz w:val="24"/>
        </w:rPr>
        <w:t xml:space="preserve">Clear separation of duties exists between the line ministries, </w:t>
      </w:r>
      <w:proofErr w:type="spellStart"/>
      <w:r w:rsidRPr="00C41C56">
        <w:rPr>
          <w:rFonts w:ascii="Times New Roman" w:eastAsia="Calibri" w:hAnsi="Times New Roman"/>
          <w:b/>
          <w:color w:val="000000"/>
          <w:sz w:val="24"/>
        </w:rPr>
        <w:t>MoHA</w:t>
      </w:r>
      <w:proofErr w:type="spellEnd"/>
      <w:r w:rsidRPr="00C41C56">
        <w:rPr>
          <w:rFonts w:ascii="Times New Roman" w:eastAsia="Calibri" w:hAnsi="Times New Roman"/>
          <w:b/>
          <w:color w:val="000000"/>
          <w:sz w:val="24"/>
        </w:rPr>
        <w:t xml:space="preserve"> and MoF throughout the different steps involved in the payroll activities</w:t>
      </w:r>
      <w:r w:rsidRPr="000F6B28">
        <w:rPr>
          <w:rFonts w:ascii="Times New Roman" w:eastAsia="Calibri" w:hAnsi="Times New Roman"/>
          <w:color w:val="000000"/>
          <w:sz w:val="24"/>
        </w:rPr>
        <w:t>.</w:t>
      </w:r>
      <w:r>
        <w:rPr>
          <w:rFonts w:ascii="Times New Roman" w:eastAsia="Calibri" w:hAnsi="Times New Roman"/>
          <w:color w:val="000000"/>
          <w:sz w:val="24"/>
        </w:rPr>
        <w:t xml:space="preserve"> </w:t>
      </w:r>
      <w:proofErr w:type="spellStart"/>
      <w:r w:rsidRPr="00905B2A">
        <w:rPr>
          <w:rFonts w:ascii="Times New Roman" w:hAnsi="Times New Roman"/>
          <w:sz w:val="24"/>
        </w:rPr>
        <w:t>MoHA</w:t>
      </w:r>
      <w:proofErr w:type="spellEnd"/>
      <w:r w:rsidRPr="00905B2A">
        <w:rPr>
          <w:rFonts w:ascii="Times New Roman" w:hAnsi="Times New Roman"/>
          <w:sz w:val="24"/>
        </w:rPr>
        <w:t xml:space="preserve"> must notify MoF of authorized pay grade and levels to ensure that any changes in wages are a</w:t>
      </w:r>
      <w:r>
        <w:rPr>
          <w:rFonts w:ascii="Times New Roman" w:hAnsi="Times New Roman"/>
          <w:sz w:val="24"/>
        </w:rPr>
        <w:t xml:space="preserve"> result of approved HR actions.</w:t>
      </w:r>
      <w:r w:rsidRPr="00905B2A">
        <w:rPr>
          <w:rFonts w:ascii="Times New Roman" w:hAnsi="Times New Roman"/>
          <w:sz w:val="24"/>
        </w:rPr>
        <w:t xml:space="preserve"> </w:t>
      </w:r>
      <w:r>
        <w:rPr>
          <w:rFonts w:ascii="Times New Roman" w:hAnsi="Times New Roman"/>
          <w:sz w:val="24"/>
        </w:rPr>
        <w:t xml:space="preserve"> This </w:t>
      </w:r>
      <w:r w:rsidRPr="00905B2A">
        <w:rPr>
          <w:rFonts w:ascii="Times New Roman" w:hAnsi="Times New Roman"/>
          <w:sz w:val="24"/>
        </w:rPr>
        <w:t>controls all quarterly payroll calculations</w:t>
      </w:r>
      <w:r w:rsidR="00DB0467">
        <w:rPr>
          <w:rFonts w:ascii="Times New Roman" w:hAnsi="Times New Roman"/>
          <w:sz w:val="24"/>
        </w:rPr>
        <w:t xml:space="preserve">. </w:t>
      </w:r>
      <w:r>
        <w:rPr>
          <w:rFonts w:ascii="Times New Roman" w:hAnsi="Times New Roman"/>
          <w:sz w:val="24"/>
        </w:rPr>
        <w:t>R</w:t>
      </w:r>
      <w:r w:rsidRPr="00905B2A">
        <w:rPr>
          <w:rFonts w:ascii="Times New Roman" w:eastAsia="Calibri" w:hAnsi="Times New Roman"/>
          <w:color w:val="000000"/>
          <w:sz w:val="24"/>
        </w:rPr>
        <w:t>eview and a</w:t>
      </w:r>
      <w:r>
        <w:rPr>
          <w:rFonts w:ascii="Times New Roman" w:eastAsia="Calibri" w:hAnsi="Times New Roman"/>
          <w:color w:val="000000"/>
          <w:sz w:val="24"/>
        </w:rPr>
        <w:t>uthority</w:t>
      </w:r>
      <w:r w:rsidRPr="00905B2A">
        <w:rPr>
          <w:rFonts w:ascii="Times New Roman" w:eastAsia="Calibri" w:hAnsi="Times New Roman"/>
          <w:color w:val="000000"/>
          <w:sz w:val="24"/>
        </w:rPr>
        <w:t xml:space="preserve"> to recruit new employees is the responsibility of </w:t>
      </w:r>
      <w:proofErr w:type="spellStart"/>
      <w:r w:rsidRPr="00905B2A">
        <w:rPr>
          <w:rFonts w:ascii="Times New Roman" w:eastAsia="Calibri" w:hAnsi="Times New Roman"/>
          <w:color w:val="000000"/>
          <w:sz w:val="24"/>
        </w:rPr>
        <w:t>MoHA</w:t>
      </w:r>
      <w:proofErr w:type="spellEnd"/>
      <w:r w:rsidRPr="00905B2A">
        <w:rPr>
          <w:rFonts w:ascii="Times New Roman" w:eastAsia="Calibri" w:hAnsi="Times New Roman"/>
          <w:color w:val="000000"/>
          <w:sz w:val="24"/>
        </w:rPr>
        <w:t xml:space="preserve"> and MoF. Payroll changes are done by line ministries but </w:t>
      </w:r>
      <w:proofErr w:type="spellStart"/>
      <w:r w:rsidRPr="00905B2A">
        <w:rPr>
          <w:rFonts w:ascii="Times New Roman" w:eastAsia="Calibri" w:hAnsi="Times New Roman"/>
          <w:color w:val="000000"/>
          <w:sz w:val="24"/>
        </w:rPr>
        <w:t>MoHA</w:t>
      </w:r>
      <w:proofErr w:type="spellEnd"/>
      <w:r w:rsidRPr="00905B2A">
        <w:rPr>
          <w:rFonts w:ascii="Times New Roman" w:eastAsia="Calibri" w:hAnsi="Times New Roman"/>
          <w:color w:val="000000"/>
          <w:sz w:val="24"/>
        </w:rPr>
        <w:t xml:space="preserve"> has access rights to validate the changes. </w:t>
      </w:r>
    </w:p>
    <w:p w14:paraId="24E032E6" w14:textId="77777777" w:rsidR="007518E4" w:rsidRPr="00905B2A" w:rsidRDefault="007518E4" w:rsidP="008037D9">
      <w:pPr>
        <w:pStyle w:val="ListParagraph"/>
        <w:widowControl w:val="0"/>
        <w:numPr>
          <w:ilvl w:val="0"/>
          <w:numId w:val="77"/>
        </w:numPr>
        <w:autoSpaceDE w:val="0"/>
        <w:autoSpaceDN w:val="0"/>
        <w:adjustRightInd w:val="0"/>
        <w:spacing w:after="240"/>
        <w:ind w:left="0"/>
        <w:contextualSpacing w:val="0"/>
        <w:rPr>
          <w:rFonts w:ascii="Times New Roman" w:eastAsia="Calibri" w:hAnsi="Times New Roman"/>
          <w:color w:val="000000"/>
          <w:sz w:val="24"/>
        </w:rPr>
      </w:pPr>
      <w:r w:rsidRPr="00C41C56">
        <w:rPr>
          <w:rFonts w:ascii="Times New Roman" w:hAnsi="Times New Roman"/>
          <w:b/>
          <w:sz w:val="24"/>
        </w:rPr>
        <w:t xml:space="preserve">Hierarchical supervision of changes to both personnel and payroll records is strong. </w:t>
      </w:r>
      <w:r w:rsidRPr="00905B2A">
        <w:rPr>
          <w:rFonts w:ascii="Times New Roman" w:hAnsi="Times New Roman"/>
          <w:sz w:val="24"/>
        </w:rPr>
        <w:t>However</w:t>
      </w:r>
      <w:r w:rsidR="00DB0467">
        <w:rPr>
          <w:rFonts w:ascii="Times New Roman" w:hAnsi="Times New Roman"/>
          <w:sz w:val="24"/>
        </w:rPr>
        <w:t>,</w:t>
      </w:r>
      <w:r w:rsidRPr="00905B2A">
        <w:rPr>
          <w:rFonts w:ascii="Times New Roman" w:hAnsi="Times New Roman"/>
          <w:sz w:val="24"/>
        </w:rPr>
        <w:t xml:space="preserve"> the process</w:t>
      </w:r>
      <w:r>
        <w:rPr>
          <w:rFonts w:ascii="Times New Roman" w:hAnsi="Times New Roman"/>
          <w:b/>
          <w:sz w:val="24"/>
        </w:rPr>
        <w:t xml:space="preserve"> </w:t>
      </w:r>
      <w:r w:rsidRPr="00905B2A">
        <w:rPr>
          <w:rFonts w:ascii="Times New Roman" w:hAnsi="Times New Roman"/>
          <w:sz w:val="24"/>
        </w:rPr>
        <w:t xml:space="preserve">also results in relatively prolonged periods to clear payrolls as these are checked and reviewed at multiple </w:t>
      </w:r>
      <w:r>
        <w:rPr>
          <w:rFonts w:ascii="Times New Roman" w:hAnsi="Times New Roman"/>
          <w:sz w:val="24"/>
        </w:rPr>
        <w:t>stages</w:t>
      </w:r>
      <w:r w:rsidRPr="00905B2A">
        <w:rPr>
          <w:rFonts w:ascii="Times New Roman" w:hAnsi="Times New Roman"/>
          <w:sz w:val="24"/>
        </w:rPr>
        <w:t xml:space="preserve">. </w:t>
      </w:r>
      <w:r w:rsidRPr="00905B2A">
        <w:rPr>
          <w:rFonts w:ascii="Times New Roman" w:eastAsia="Calibri" w:hAnsi="Times New Roman"/>
          <w:color w:val="000000"/>
          <w:sz w:val="24"/>
        </w:rPr>
        <w:t xml:space="preserve">Payroll reconciliations are done on a quarterly basis and any significant changes explained and documented. </w:t>
      </w:r>
      <w:r w:rsidRPr="00905B2A">
        <w:rPr>
          <w:rFonts w:ascii="Times New Roman" w:hAnsi="Times New Roman"/>
          <w:sz w:val="24"/>
        </w:rPr>
        <w:t>The centralized requirement for MOHA notification for all promotions, salary advancements, benefit changes, and terminations ensures the existence of an audit trail</w:t>
      </w:r>
      <w:r w:rsidR="00DB0467">
        <w:rPr>
          <w:rFonts w:ascii="Times New Roman" w:hAnsi="Times New Roman"/>
          <w:sz w:val="24"/>
        </w:rPr>
        <w:t xml:space="preserve">. </w:t>
      </w:r>
      <w:r>
        <w:rPr>
          <w:rFonts w:ascii="Times New Roman" w:hAnsi="Times New Roman"/>
          <w:sz w:val="24"/>
        </w:rPr>
        <w:t>W</w:t>
      </w:r>
      <w:r w:rsidRPr="00905B2A">
        <w:rPr>
          <w:rFonts w:ascii="Times New Roman" w:hAnsi="Times New Roman"/>
          <w:sz w:val="24"/>
        </w:rPr>
        <w:t>henever changes are made in personnel and payroll records</w:t>
      </w:r>
      <w:r>
        <w:rPr>
          <w:rFonts w:ascii="Times New Roman" w:hAnsi="Times New Roman"/>
          <w:sz w:val="24"/>
        </w:rPr>
        <w:t>, there is s</w:t>
      </w:r>
      <w:r w:rsidRPr="00905B2A">
        <w:rPr>
          <w:rFonts w:ascii="Times New Roman" w:hAnsi="Times New Roman"/>
          <w:sz w:val="24"/>
        </w:rPr>
        <w:t xml:space="preserve">ystematic </w:t>
      </w:r>
      <w:r w:rsidRPr="00905B2A">
        <w:rPr>
          <w:rFonts w:ascii="Times New Roman" w:eastAsia="Calibri" w:hAnsi="Times New Roman"/>
          <w:color w:val="000000"/>
          <w:sz w:val="24"/>
        </w:rPr>
        <w:t>approval</w:t>
      </w:r>
      <w:r>
        <w:rPr>
          <w:rFonts w:ascii="Times New Roman" w:eastAsia="Calibri" w:hAnsi="Times New Roman"/>
          <w:color w:val="000000"/>
          <w:sz w:val="24"/>
        </w:rPr>
        <w:t xml:space="preserve"> requirement</w:t>
      </w:r>
      <w:r w:rsidRPr="00905B2A">
        <w:rPr>
          <w:rFonts w:ascii="Times New Roman" w:eastAsia="Calibri" w:hAnsi="Times New Roman"/>
          <w:color w:val="000000"/>
          <w:sz w:val="24"/>
        </w:rPr>
        <w:t xml:space="preserve"> for authorization of the changes. Responsible officers </w:t>
      </w:r>
      <w:r>
        <w:rPr>
          <w:rFonts w:ascii="Times New Roman" w:eastAsia="Calibri" w:hAnsi="Times New Roman"/>
          <w:color w:val="000000"/>
          <w:sz w:val="24"/>
        </w:rPr>
        <w:t>who have</w:t>
      </w:r>
      <w:r w:rsidRPr="00905B2A">
        <w:rPr>
          <w:rFonts w:ascii="Times New Roman" w:eastAsia="Calibri" w:hAnsi="Times New Roman"/>
          <w:color w:val="000000"/>
          <w:sz w:val="24"/>
        </w:rPr>
        <w:t xml:space="preserve"> access rights to the PIMS are provided with unique individual passwords based on their authorized level of access.</w:t>
      </w:r>
    </w:p>
    <w:p w14:paraId="480D7A7F" w14:textId="77777777" w:rsidR="007518E4" w:rsidRPr="00905B2A" w:rsidRDefault="007518E4" w:rsidP="008037D9">
      <w:pPr>
        <w:pStyle w:val="ListParagraph"/>
        <w:numPr>
          <w:ilvl w:val="0"/>
          <w:numId w:val="77"/>
        </w:numPr>
        <w:autoSpaceDE w:val="0"/>
        <w:autoSpaceDN w:val="0"/>
        <w:adjustRightInd w:val="0"/>
        <w:spacing w:after="240"/>
        <w:ind w:left="0"/>
        <w:contextualSpacing w:val="0"/>
        <w:jc w:val="left"/>
        <w:rPr>
          <w:rFonts w:ascii="Times New Roman" w:hAnsi="Times New Roman"/>
          <w:sz w:val="24"/>
        </w:rPr>
      </w:pPr>
      <w:r w:rsidRPr="00382A38">
        <w:rPr>
          <w:rFonts w:ascii="Times New Roman" w:hAnsi="Times New Roman"/>
          <w:b/>
          <w:sz w:val="24"/>
        </w:rPr>
        <w:t>However, the police and armed forces, which account for up to 50 percent of the total government payroll, are excluded from these arrangements</w:t>
      </w:r>
      <w:r w:rsidR="00DB0467">
        <w:rPr>
          <w:rFonts w:ascii="Times New Roman" w:hAnsi="Times New Roman"/>
          <w:sz w:val="24"/>
        </w:rPr>
        <w:t xml:space="preserve">. </w:t>
      </w:r>
      <w:r w:rsidRPr="000F6B28">
        <w:rPr>
          <w:rFonts w:ascii="Times New Roman" w:hAnsi="Times New Roman"/>
          <w:sz w:val="24"/>
        </w:rPr>
        <w:t>No</w:t>
      </w:r>
      <w:r w:rsidRPr="00905B2A">
        <w:rPr>
          <w:rFonts w:ascii="Times New Roman" w:hAnsi="Times New Roman"/>
          <w:sz w:val="24"/>
        </w:rPr>
        <w:t xml:space="preserve"> information is available about any aspect of this large area of expenditure. </w:t>
      </w:r>
    </w:p>
    <w:p w14:paraId="482124EA" w14:textId="77777777" w:rsidR="007518E4" w:rsidRPr="00905B2A" w:rsidRDefault="007518E4" w:rsidP="008037D9">
      <w:pPr>
        <w:pStyle w:val="ListParagraph"/>
        <w:numPr>
          <w:ilvl w:val="0"/>
          <w:numId w:val="77"/>
        </w:numPr>
        <w:spacing w:after="240"/>
        <w:ind w:left="0"/>
        <w:contextualSpacing w:val="0"/>
        <w:rPr>
          <w:rFonts w:ascii="Times New Roman" w:eastAsia="Calibri" w:hAnsi="Times New Roman"/>
          <w:b/>
          <w:sz w:val="24"/>
        </w:rPr>
      </w:pPr>
      <w:r w:rsidRPr="00382A38">
        <w:rPr>
          <w:rFonts w:ascii="Times New Roman" w:eastAsia="Calibri" w:hAnsi="Times New Roman"/>
          <w:b/>
          <w:sz w:val="24"/>
        </w:rPr>
        <w:t>Changes to the payroll and PIMS database are well documented with readily available audit trail.</w:t>
      </w:r>
      <w:r w:rsidR="00DB0467">
        <w:rPr>
          <w:rFonts w:ascii="Times New Roman" w:eastAsia="Calibri" w:hAnsi="Times New Roman"/>
          <w:sz w:val="24"/>
        </w:rPr>
        <w:t xml:space="preserve"> </w:t>
      </w:r>
      <w:r w:rsidRPr="00905B2A">
        <w:rPr>
          <w:rFonts w:ascii="Times New Roman" w:eastAsia="Calibri" w:hAnsi="Times New Roman"/>
          <w:sz w:val="24"/>
        </w:rPr>
        <w:t>Payroll controls are well segregated and restricted to user defined access levels. Segregation of roles and responsibilities together with system access rights are well defined thus ensuring full data integrity. However</w:t>
      </w:r>
      <w:r w:rsidR="00DB0467">
        <w:rPr>
          <w:rFonts w:ascii="Times New Roman" w:eastAsia="Calibri" w:hAnsi="Times New Roman"/>
          <w:sz w:val="24"/>
        </w:rPr>
        <w:t>,</w:t>
      </w:r>
      <w:r w:rsidRPr="00905B2A">
        <w:rPr>
          <w:rFonts w:ascii="Times New Roman" w:eastAsia="Calibri" w:hAnsi="Times New Roman"/>
          <w:sz w:val="24"/>
        </w:rPr>
        <w:t xml:space="preserve"> the coverage of these systems is </w:t>
      </w:r>
      <w:proofErr w:type="gramStart"/>
      <w:r w:rsidRPr="00905B2A">
        <w:rPr>
          <w:rFonts w:ascii="Times New Roman" w:eastAsia="Calibri" w:hAnsi="Times New Roman"/>
          <w:sz w:val="24"/>
        </w:rPr>
        <w:t>limited</w:t>
      </w:r>
      <w:proofErr w:type="gramEnd"/>
      <w:r w:rsidRPr="00905B2A">
        <w:rPr>
          <w:rFonts w:ascii="Times New Roman" w:eastAsia="Calibri" w:hAnsi="Times New Roman"/>
          <w:sz w:val="24"/>
        </w:rPr>
        <w:t xml:space="preserve"> and no information is available on the police and armed force representing a significant part of the total payroll: Score D</w:t>
      </w:r>
      <w:r>
        <w:rPr>
          <w:rFonts w:ascii="Times New Roman" w:eastAsia="Calibri" w:hAnsi="Times New Roman"/>
          <w:sz w:val="24"/>
        </w:rPr>
        <w:t>.</w:t>
      </w:r>
    </w:p>
    <w:p w14:paraId="3A92097D" w14:textId="77777777" w:rsidR="007518E4" w:rsidRPr="00FE6ED4" w:rsidRDefault="007518E4" w:rsidP="00382A38">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23.4. Payroll </w:t>
      </w:r>
      <w:r>
        <w:rPr>
          <w:rFonts w:ascii="Times New Roman" w:eastAsia="Calibri" w:hAnsi="Times New Roman"/>
          <w:b/>
          <w:bCs/>
          <w:color w:val="84C346"/>
          <w:spacing w:val="-1"/>
          <w:sz w:val="24"/>
        </w:rPr>
        <w:t>a</w:t>
      </w:r>
      <w:r w:rsidRPr="00FE6ED4">
        <w:rPr>
          <w:rFonts w:ascii="Times New Roman" w:eastAsia="Calibri" w:hAnsi="Times New Roman"/>
          <w:b/>
          <w:bCs/>
          <w:color w:val="84C346"/>
          <w:spacing w:val="-1"/>
          <w:sz w:val="24"/>
        </w:rPr>
        <w:t>udit</w:t>
      </w:r>
    </w:p>
    <w:p w14:paraId="0F82CA25" w14:textId="77777777" w:rsidR="007518E4" w:rsidRDefault="007518E4" w:rsidP="008037D9">
      <w:pPr>
        <w:pStyle w:val="ListParagraph"/>
        <w:numPr>
          <w:ilvl w:val="0"/>
          <w:numId w:val="67"/>
        </w:numPr>
        <w:spacing w:after="240"/>
        <w:ind w:left="0"/>
        <w:contextualSpacing w:val="0"/>
        <w:rPr>
          <w:rFonts w:ascii="Times New Roman" w:hAnsi="Times New Roman"/>
          <w:noProof/>
          <w:sz w:val="24"/>
        </w:rPr>
      </w:pPr>
      <w:r w:rsidRPr="00382A38">
        <w:rPr>
          <w:rFonts w:ascii="Times New Roman" w:hAnsi="Times New Roman"/>
          <w:b/>
          <w:sz w:val="24"/>
        </w:rPr>
        <w:lastRenderedPageBreak/>
        <w:t>State Audit Organization (SAO) has not yet carried out a payroll audit of government payroll</w:t>
      </w:r>
      <w:r w:rsidRPr="000F6B28">
        <w:rPr>
          <w:rFonts w:ascii="Times New Roman" w:hAnsi="Times New Roman"/>
          <w:sz w:val="24"/>
        </w:rPr>
        <w:t>.</w:t>
      </w:r>
      <w:r w:rsidRPr="00AB1EA4">
        <w:rPr>
          <w:rFonts w:ascii="Times New Roman" w:hAnsi="Times New Roman"/>
          <w:sz w:val="24"/>
        </w:rPr>
        <w:t xml:space="preserve"> The SAO may have performed some test on the PMIS on a sample basis to assess whether data provided can be relied upon but there has been no report on payroll issue in t</w:t>
      </w:r>
      <w:r w:rsidR="00DB0467">
        <w:rPr>
          <w:rFonts w:ascii="Times New Roman" w:hAnsi="Times New Roman"/>
          <w:sz w:val="24"/>
        </w:rPr>
        <w:t xml:space="preserve">he SAO report since 2013/2014. </w:t>
      </w:r>
      <w:r w:rsidRPr="00AB1EA4">
        <w:rPr>
          <w:rFonts w:ascii="Times New Roman" w:hAnsi="Times New Roman"/>
          <w:sz w:val="24"/>
        </w:rPr>
        <w:t xml:space="preserve">No issue of ghost workers has been raised with </w:t>
      </w:r>
      <w:proofErr w:type="spellStart"/>
      <w:r w:rsidRPr="00AB1EA4">
        <w:rPr>
          <w:rFonts w:ascii="Times New Roman" w:hAnsi="Times New Roman"/>
          <w:sz w:val="24"/>
        </w:rPr>
        <w:t>MoHA</w:t>
      </w:r>
      <w:proofErr w:type="spellEnd"/>
      <w:r w:rsidRPr="00AB1EA4">
        <w:rPr>
          <w:rFonts w:ascii="Times New Roman" w:hAnsi="Times New Roman"/>
          <w:sz w:val="24"/>
        </w:rPr>
        <w:t xml:space="preserve"> and MoF in the period.  Issues raised relate to the payment of salaries in different locations due to lack of updated data and the manual processing of the payroll at the local level. </w:t>
      </w:r>
    </w:p>
    <w:p w14:paraId="279196BB" w14:textId="77777777" w:rsidR="007518E4" w:rsidRPr="00AB1EA4" w:rsidRDefault="007518E4" w:rsidP="008037D9">
      <w:pPr>
        <w:pStyle w:val="ListParagraph"/>
        <w:numPr>
          <w:ilvl w:val="0"/>
          <w:numId w:val="67"/>
        </w:numPr>
        <w:spacing w:after="240"/>
        <w:ind w:left="0"/>
        <w:contextualSpacing w:val="0"/>
        <w:rPr>
          <w:rFonts w:ascii="Times New Roman" w:hAnsi="Times New Roman"/>
          <w:noProof/>
          <w:sz w:val="24"/>
        </w:rPr>
      </w:pPr>
      <w:proofErr w:type="spellStart"/>
      <w:r w:rsidRPr="00382A38">
        <w:rPr>
          <w:rFonts w:ascii="Times New Roman" w:hAnsi="Times New Roman"/>
          <w:b/>
          <w:sz w:val="24"/>
        </w:rPr>
        <w:t>MoHA</w:t>
      </w:r>
      <w:proofErr w:type="spellEnd"/>
      <w:r w:rsidRPr="00382A38">
        <w:rPr>
          <w:rFonts w:ascii="Times New Roman" w:hAnsi="Times New Roman"/>
          <w:b/>
          <w:sz w:val="24"/>
        </w:rPr>
        <w:t xml:space="preserve"> has arranged for censuses involving physical verification of all civil employees and, for partial inspections covering education and health sectors.</w:t>
      </w:r>
      <w:r w:rsidRPr="00AB1EA4">
        <w:rPr>
          <w:rFonts w:ascii="Times New Roman" w:hAnsi="Times New Roman"/>
          <w:sz w:val="24"/>
        </w:rPr>
        <w:t xml:space="preserve"> The latest one took place in 2007. In this process, cases of salaries still being drawn for teachers who had left their posts were identified.  In 2017 the line agencies – at the national as well as sub-national level – were also asked to report to MOHA about the number of civil servants. The only comprehensive control over the reliability of employee information relates to the confidential Employment census undertaken every 10 years but no further information could be made available for the assessment.</w:t>
      </w:r>
    </w:p>
    <w:p w14:paraId="17503AA2" w14:textId="77777777" w:rsidR="007518E4" w:rsidRDefault="007518E4" w:rsidP="008037D9">
      <w:pPr>
        <w:pStyle w:val="ListParagraph"/>
        <w:numPr>
          <w:ilvl w:val="0"/>
          <w:numId w:val="67"/>
        </w:numPr>
        <w:spacing w:after="240"/>
        <w:ind w:left="0"/>
        <w:contextualSpacing w:val="0"/>
        <w:rPr>
          <w:rFonts w:ascii="Times New Roman" w:hAnsi="Times New Roman"/>
          <w:noProof/>
          <w:sz w:val="24"/>
        </w:rPr>
      </w:pPr>
      <w:r w:rsidRPr="00382A38">
        <w:rPr>
          <w:rFonts w:ascii="Times New Roman" w:hAnsi="Times New Roman"/>
          <w:b/>
          <w:sz w:val="24"/>
        </w:rPr>
        <w:t>No comprehensive or partial payroll audit by SAO has been completed within the last three years</w:t>
      </w:r>
      <w:r w:rsidRPr="000F6B28">
        <w:rPr>
          <w:rFonts w:ascii="Times New Roman" w:hAnsi="Times New Roman"/>
          <w:sz w:val="24"/>
        </w:rPr>
        <w:t>.</w:t>
      </w:r>
      <w:r w:rsidRPr="00AB1EA4">
        <w:rPr>
          <w:rFonts w:ascii="Times New Roman" w:hAnsi="Times New Roman"/>
          <w:b/>
          <w:sz w:val="24"/>
        </w:rPr>
        <w:t xml:space="preserve"> </w:t>
      </w:r>
      <w:r w:rsidRPr="00AB1EA4">
        <w:rPr>
          <w:rFonts w:ascii="Times New Roman" w:hAnsi="Times New Roman"/>
          <w:sz w:val="24"/>
        </w:rPr>
        <w:t>Score D</w:t>
      </w:r>
      <w:r>
        <w:rPr>
          <w:rFonts w:ascii="Times New Roman" w:hAnsi="Times New Roman"/>
          <w:sz w:val="24"/>
        </w:rPr>
        <w:t>.</w:t>
      </w:r>
    </w:p>
    <w:p w14:paraId="7BE62341" w14:textId="77777777" w:rsidR="007518E4" w:rsidRPr="009A3186" w:rsidRDefault="007518E4" w:rsidP="008037D9">
      <w:pPr>
        <w:pStyle w:val="ListParagraph"/>
        <w:numPr>
          <w:ilvl w:val="0"/>
          <w:numId w:val="67"/>
        </w:numPr>
        <w:spacing w:after="240"/>
        <w:ind w:left="0"/>
        <w:contextualSpacing w:val="0"/>
        <w:rPr>
          <w:rFonts w:ascii="Times New Roman" w:hAnsi="Times New Roman"/>
          <w:noProof/>
          <w:sz w:val="24"/>
        </w:rPr>
      </w:pPr>
      <w:r w:rsidRPr="00382A38">
        <w:rPr>
          <w:rFonts w:ascii="Times New Roman" w:hAnsi="Times New Roman"/>
          <w:b/>
          <w:sz w:val="24"/>
        </w:rPr>
        <w:t>Apart from rolling out PIMS at the provincial level, MOHA is also planning to roll-out the “</w:t>
      </w:r>
      <w:proofErr w:type="spellStart"/>
      <w:r w:rsidRPr="00382A38">
        <w:rPr>
          <w:rFonts w:ascii="Times New Roman" w:hAnsi="Times New Roman"/>
          <w:b/>
          <w:sz w:val="24"/>
        </w:rPr>
        <w:t>SmartCard</w:t>
      </w:r>
      <w:proofErr w:type="spellEnd"/>
      <w:r w:rsidRPr="00382A38">
        <w:rPr>
          <w:rFonts w:ascii="Times New Roman" w:hAnsi="Times New Roman"/>
          <w:b/>
          <w:sz w:val="24"/>
        </w:rPr>
        <w:t>” to process salary payments to all civil servants by end 2019.</w:t>
      </w:r>
      <w:r w:rsidRPr="009A3186">
        <w:rPr>
          <w:rFonts w:ascii="Times New Roman" w:hAnsi="Times New Roman"/>
          <w:sz w:val="24"/>
        </w:rPr>
        <w:t xml:space="preserve"> The smartcard process will merge </w:t>
      </w:r>
      <w:proofErr w:type="gramStart"/>
      <w:r w:rsidRPr="009A3186">
        <w:rPr>
          <w:rFonts w:ascii="Times New Roman" w:hAnsi="Times New Roman"/>
          <w:sz w:val="24"/>
        </w:rPr>
        <w:t>a number of</w:t>
      </w:r>
      <w:proofErr w:type="gramEnd"/>
      <w:r w:rsidRPr="009A3186">
        <w:rPr>
          <w:rFonts w:ascii="Times New Roman" w:hAnsi="Times New Roman"/>
          <w:sz w:val="24"/>
        </w:rPr>
        <w:t xml:space="preserve"> HR processes, including electronic wage payment, personnel management, social security and possible tax management. As the roll-out will require physical verification before issuance of the “</w:t>
      </w:r>
      <w:proofErr w:type="spellStart"/>
      <w:r w:rsidRPr="009A3186">
        <w:rPr>
          <w:rFonts w:ascii="Times New Roman" w:hAnsi="Times New Roman"/>
          <w:sz w:val="24"/>
        </w:rPr>
        <w:t>SmartCard</w:t>
      </w:r>
      <w:proofErr w:type="spellEnd"/>
      <w:r w:rsidRPr="009A3186">
        <w:rPr>
          <w:rFonts w:ascii="Times New Roman" w:hAnsi="Times New Roman"/>
          <w:sz w:val="24"/>
        </w:rPr>
        <w:t xml:space="preserve">”, </w:t>
      </w:r>
      <w:proofErr w:type="spellStart"/>
      <w:r w:rsidRPr="009A3186">
        <w:rPr>
          <w:rFonts w:ascii="Times New Roman" w:hAnsi="Times New Roman"/>
          <w:sz w:val="24"/>
        </w:rPr>
        <w:t>MoHA</w:t>
      </w:r>
      <w:proofErr w:type="spellEnd"/>
      <w:r w:rsidRPr="009A3186">
        <w:rPr>
          <w:rFonts w:ascii="Times New Roman" w:hAnsi="Times New Roman"/>
          <w:sz w:val="24"/>
        </w:rPr>
        <w:t xml:space="preserve"> expects that this will improve the accuracy of data employment in PIMS. Moving to electronic payment of wage</w:t>
      </w:r>
      <w:r>
        <w:rPr>
          <w:rFonts w:ascii="Times New Roman" w:hAnsi="Times New Roman"/>
          <w:sz w:val="24"/>
        </w:rPr>
        <w:t>s</w:t>
      </w:r>
      <w:r w:rsidRPr="009A3186">
        <w:rPr>
          <w:rFonts w:ascii="Times New Roman" w:hAnsi="Times New Roman"/>
          <w:sz w:val="24"/>
        </w:rPr>
        <w:t xml:space="preserve"> will help streamline payment processes, reduce wage arrears and lower potential for fraud.</w:t>
      </w:r>
    </w:p>
    <w:p w14:paraId="46E35C9D" w14:textId="77777777" w:rsidR="007518E4" w:rsidRDefault="007518E4" w:rsidP="00382A38">
      <w:pPr>
        <w:pStyle w:val="Heading3"/>
        <w:spacing w:after="240"/>
        <w:ind w:left="0"/>
        <w:rPr>
          <w:rFonts w:ascii="Times New Roman" w:eastAsia="Calibri" w:hAnsi="Times New Roman"/>
          <w:b w:val="0"/>
          <w:bCs w:val="0"/>
          <w:color w:val="92D050"/>
          <w:spacing w:val="-1"/>
          <w:szCs w:val="28"/>
        </w:rPr>
      </w:pPr>
      <w:bookmarkStart w:id="91" w:name="_Toc518901809"/>
      <w:bookmarkStart w:id="92" w:name="_Toc4149004"/>
      <w:r w:rsidRPr="00FE6ED4">
        <w:rPr>
          <w:rFonts w:ascii="Times New Roman" w:eastAsia="Calibri" w:hAnsi="Times New Roman"/>
          <w:color w:val="84C346"/>
          <w:spacing w:val="-1"/>
          <w:szCs w:val="28"/>
        </w:rPr>
        <w:t xml:space="preserve">PI-24. </w:t>
      </w:r>
      <w:r w:rsidRPr="00033BF7">
        <w:rPr>
          <w:rFonts w:ascii="Times New Roman" w:eastAsia="Calibri" w:hAnsi="Times New Roman"/>
          <w:color w:val="92D050"/>
          <w:spacing w:val="-1"/>
          <w:szCs w:val="28"/>
        </w:rPr>
        <w:t>Procurement</w:t>
      </w:r>
      <w:bookmarkEnd w:id="91"/>
      <w:bookmarkEnd w:id="92"/>
    </w:p>
    <w:p w14:paraId="1B64D15F" w14:textId="77777777" w:rsidR="007518E4" w:rsidRDefault="007518E4" w:rsidP="008037D9">
      <w:pPr>
        <w:pStyle w:val="ListParagraph"/>
        <w:numPr>
          <w:ilvl w:val="0"/>
          <w:numId w:val="67"/>
        </w:numPr>
        <w:spacing w:after="240"/>
        <w:ind w:left="0"/>
        <w:contextualSpacing w:val="0"/>
        <w:rPr>
          <w:rFonts w:ascii="Times New Roman" w:hAnsi="Times New Roman"/>
          <w:sz w:val="24"/>
        </w:rPr>
      </w:pPr>
      <w:r w:rsidRPr="00382A38">
        <w:rPr>
          <w:rFonts w:ascii="Times New Roman" w:hAnsi="Times New Roman"/>
          <w:b/>
          <w:sz w:val="24"/>
        </w:rPr>
        <w:t>This indicator examines key aspects of procurement management. It focuses on transparency of arrangements, emphasis on open and competitive procedures, monitoring of procurement results, and access to appeal and redress arrangements</w:t>
      </w:r>
      <w:r w:rsidR="00DB0467">
        <w:rPr>
          <w:rFonts w:ascii="Times New Roman" w:hAnsi="Times New Roman"/>
          <w:sz w:val="24"/>
        </w:rPr>
        <w:t xml:space="preserve">. </w:t>
      </w:r>
      <w:proofErr w:type="gramStart"/>
      <w:r w:rsidRPr="003018DF">
        <w:rPr>
          <w:rFonts w:ascii="Times New Roman" w:hAnsi="Times New Roman"/>
          <w:sz w:val="24"/>
        </w:rPr>
        <w:t>Time period</w:t>
      </w:r>
      <w:proofErr w:type="gramEnd"/>
      <w:r w:rsidRPr="003018DF">
        <w:rPr>
          <w:rFonts w:ascii="Times New Roman" w:hAnsi="Times New Roman"/>
          <w:sz w:val="24"/>
        </w:rPr>
        <w:t xml:space="preserve">:  Last fiscal year and Coverage: Central Government.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1271"/>
        <w:gridCol w:w="4847"/>
      </w:tblGrid>
      <w:tr w:rsidR="007518E4" w:rsidRPr="009A3186" w14:paraId="25C02BB7" w14:textId="77777777" w:rsidTr="007518E4">
        <w:trPr>
          <w:trHeight w:val="397"/>
          <w:jc w:val="center"/>
        </w:trPr>
        <w:tc>
          <w:tcPr>
            <w:tcW w:w="16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0F74B" w14:textId="77777777" w:rsidR="007518E4" w:rsidRPr="009A3186" w:rsidRDefault="007518E4" w:rsidP="00DB0467">
            <w:pPr>
              <w:spacing w:before="0"/>
              <w:ind w:hanging="539"/>
              <w:jc w:val="center"/>
              <w:rPr>
                <w:rFonts w:ascii="Times New Roman" w:hAnsi="Times New Roman"/>
              </w:rPr>
            </w:pPr>
            <w:r w:rsidRPr="009A3186">
              <w:rPr>
                <w:rFonts w:ascii="Times New Roman" w:hAnsi="Times New Roman"/>
              </w:rPr>
              <w:t>Indicator/Dimension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DB9A30" w14:textId="77777777" w:rsidR="007518E4" w:rsidRPr="009A3186" w:rsidRDefault="007518E4" w:rsidP="00382A38">
            <w:pPr>
              <w:spacing w:before="0"/>
              <w:ind w:left="0"/>
              <w:jc w:val="center"/>
              <w:rPr>
                <w:rFonts w:ascii="Times New Roman" w:hAnsi="Times New Roman"/>
              </w:rPr>
            </w:pPr>
            <w:r w:rsidRPr="009A3186">
              <w:rPr>
                <w:rFonts w:ascii="Times New Roman" w:hAnsi="Times New Roman"/>
              </w:rPr>
              <w:t>Score</w:t>
            </w:r>
          </w:p>
        </w:tc>
        <w:tc>
          <w:tcPr>
            <w:tcW w:w="26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B70824" w14:textId="77777777" w:rsidR="007518E4" w:rsidRPr="009A3186" w:rsidRDefault="007518E4" w:rsidP="00DB0467">
            <w:pPr>
              <w:spacing w:before="0"/>
              <w:ind w:hanging="491"/>
              <w:jc w:val="center"/>
              <w:rPr>
                <w:rFonts w:ascii="Times New Roman" w:hAnsi="Times New Roman"/>
              </w:rPr>
            </w:pPr>
            <w:r w:rsidRPr="009A3186">
              <w:rPr>
                <w:rFonts w:ascii="Times New Roman" w:hAnsi="Times New Roman"/>
              </w:rPr>
              <w:t>Brief Explanation</w:t>
            </w:r>
          </w:p>
        </w:tc>
      </w:tr>
      <w:tr w:rsidR="007518E4" w:rsidRPr="009A3186" w14:paraId="44F2792B" w14:textId="77777777" w:rsidTr="007518E4">
        <w:trPr>
          <w:trHeight w:val="612"/>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5859CEC4" w14:textId="77777777" w:rsidR="007518E4" w:rsidRPr="009A3186" w:rsidRDefault="007518E4" w:rsidP="00DB0467">
            <w:pPr>
              <w:spacing w:before="0"/>
              <w:ind w:left="0"/>
              <w:jc w:val="left"/>
              <w:rPr>
                <w:rFonts w:ascii="Times New Roman" w:hAnsi="Times New Roman"/>
              </w:rPr>
            </w:pPr>
            <w:r w:rsidRPr="009A3186">
              <w:rPr>
                <w:rFonts w:ascii="Times New Roman" w:hAnsi="Times New Roman"/>
                <w:bCs/>
              </w:rPr>
              <w:t xml:space="preserve">PI-24 Procurement  </w:t>
            </w:r>
          </w:p>
        </w:tc>
        <w:tc>
          <w:tcPr>
            <w:tcW w:w="705" w:type="pct"/>
            <w:tcBorders>
              <w:top w:val="single" w:sz="4" w:space="0" w:color="auto"/>
              <w:left w:val="single" w:sz="4" w:space="0" w:color="auto"/>
              <w:bottom w:val="single" w:sz="4" w:space="0" w:color="auto"/>
              <w:right w:val="single" w:sz="4" w:space="0" w:color="auto"/>
            </w:tcBorders>
            <w:vAlign w:val="center"/>
          </w:tcPr>
          <w:p w14:paraId="085E1364" w14:textId="77777777" w:rsidR="007518E4" w:rsidRPr="009A3186" w:rsidRDefault="007518E4" w:rsidP="00382A38">
            <w:pPr>
              <w:spacing w:before="0"/>
              <w:ind w:left="0"/>
              <w:jc w:val="center"/>
              <w:rPr>
                <w:rFonts w:ascii="Times New Roman" w:hAnsi="Times New Roman"/>
              </w:rPr>
            </w:pPr>
            <w:r w:rsidRPr="009A318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hideMark/>
          </w:tcPr>
          <w:p w14:paraId="1C1AA32B" w14:textId="77777777" w:rsidR="007518E4" w:rsidRPr="009A3186" w:rsidRDefault="007518E4" w:rsidP="00382A38">
            <w:pPr>
              <w:spacing w:before="0"/>
              <w:ind w:left="0"/>
              <w:rPr>
                <w:rFonts w:ascii="Times New Roman" w:hAnsi="Times New Roman"/>
              </w:rPr>
            </w:pPr>
            <w:r w:rsidRPr="009A3186">
              <w:rPr>
                <w:rFonts w:ascii="Times New Roman" w:eastAsia="Calibri" w:hAnsi="Times New Roman"/>
                <w:color w:val="000000"/>
              </w:rPr>
              <w:t xml:space="preserve">Dimension scores combined by method M2 (Average) </w:t>
            </w:r>
          </w:p>
        </w:tc>
      </w:tr>
      <w:tr w:rsidR="007518E4" w:rsidRPr="009A3186" w14:paraId="60A5F947" w14:textId="77777777" w:rsidTr="007518E4">
        <w:trPr>
          <w:trHeight w:val="53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251F4A94" w14:textId="77777777" w:rsidR="007518E4" w:rsidRPr="009A3186" w:rsidRDefault="007518E4" w:rsidP="00DB0467">
            <w:pPr>
              <w:spacing w:before="0"/>
              <w:ind w:left="0"/>
              <w:jc w:val="left"/>
              <w:rPr>
                <w:rFonts w:ascii="Times New Roman" w:hAnsi="Times New Roman"/>
              </w:rPr>
            </w:pPr>
            <w:r w:rsidRPr="009A3186">
              <w:rPr>
                <w:rFonts w:ascii="Times New Roman" w:hAnsi="Times New Roman"/>
              </w:rPr>
              <w:t>24.1 Procurement monitoring</w:t>
            </w:r>
          </w:p>
        </w:tc>
        <w:tc>
          <w:tcPr>
            <w:tcW w:w="705" w:type="pct"/>
            <w:tcBorders>
              <w:top w:val="single" w:sz="4" w:space="0" w:color="auto"/>
              <w:left w:val="single" w:sz="4" w:space="0" w:color="auto"/>
              <w:bottom w:val="single" w:sz="4" w:space="0" w:color="auto"/>
              <w:right w:val="single" w:sz="4" w:space="0" w:color="auto"/>
            </w:tcBorders>
            <w:vAlign w:val="center"/>
          </w:tcPr>
          <w:p w14:paraId="3C7CCF15" w14:textId="77777777" w:rsidR="007518E4" w:rsidRPr="009A3186" w:rsidRDefault="007518E4" w:rsidP="00382A38">
            <w:pPr>
              <w:spacing w:before="0"/>
              <w:ind w:left="0"/>
              <w:jc w:val="center"/>
              <w:rPr>
                <w:rFonts w:ascii="Times New Roman" w:hAnsi="Times New Roman"/>
              </w:rPr>
            </w:pPr>
            <w:r w:rsidRPr="009A318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tcPr>
          <w:p w14:paraId="1B211EC4" w14:textId="77777777" w:rsidR="007518E4" w:rsidRPr="00303355" w:rsidRDefault="007518E4" w:rsidP="00382A38">
            <w:pPr>
              <w:spacing w:before="0"/>
              <w:ind w:left="0"/>
              <w:rPr>
                <w:rFonts w:ascii="Times New Roman" w:eastAsia="Calibri" w:hAnsi="Times New Roman"/>
              </w:rPr>
            </w:pPr>
            <w:r w:rsidRPr="00303355">
              <w:rPr>
                <w:rFonts w:ascii="Times New Roman" w:eastAsia="Calibri" w:hAnsi="Times New Roman"/>
              </w:rPr>
              <w:t>No comprehensive databases are available to provide consolidated information on procurement operations by government entities. The procurement function is fully decentralized at ministry department level.  Records are maintained for contracts by each implementing entity and there is</w:t>
            </w:r>
            <w:r>
              <w:rPr>
                <w:rFonts w:ascii="Times New Roman" w:eastAsia="Calibri" w:hAnsi="Times New Roman"/>
              </w:rPr>
              <w:t xml:space="preserve"> neither a</w:t>
            </w:r>
            <w:r w:rsidRPr="00303355">
              <w:rPr>
                <w:rFonts w:ascii="Times New Roman" w:eastAsia="Calibri" w:hAnsi="Times New Roman"/>
              </w:rPr>
              <w:t xml:space="preserve"> system nor database to track data available on procurement and contract management</w:t>
            </w:r>
            <w:r>
              <w:rPr>
                <w:rFonts w:ascii="Times New Roman" w:eastAsia="Calibri" w:hAnsi="Times New Roman"/>
              </w:rPr>
              <w:t>.</w:t>
            </w:r>
          </w:p>
        </w:tc>
      </w:tr>
      <w:tr w:rsidR="007518E4" w:rsidRPr="009A3186" w14:paraId="40A911B4" w14:textId="77777777" w:rsidTr="007518E4">
        <w:trPr>
          <w:trHeight w:val="80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5A58FBD9" w14:textId="77777777" w:rsidR="007518E4" w:rsidRPr="009A3186" w:rsidRDefault="007518E4" w:rsidP="00DB0467">
            <w:pPr>
              <w:spacing w:before="0"/>
              <w:ind w:left="0"/>
              <w:jc w:val="left"/>
              <w:rPr>
                <w:rFonts w:ascii="Times New Roman" w:hAnsi="Times New Roman"/>
              </w:rPr>
            </w:pPr>
            <w:r w:rsidRPr="009A3186">
              <w:rPr>
                <w:rFonts w:ascii="Times New Roman" w:hAnsi="Times New Roman"/>
              </w:rPr>
              <w:t xml:space="preserve">24.2 </w:t>
            </w:r>
            <w:r w:rsidRPr="009A3186">
              <w:rPr>
                <w:rFonts w:ascii="Times New Roman" w:hAnsi="Times New Roman"/>
                <w:bCs/>
                <w:color w:val="000000"/>
              </w:rPr>
              <w:t>Procurement methods</w:t>
            </w:r>
          </w:p>
        </w:tc>
        <w:tc>
          <w:tcPr>
            <w:tcW w:w="705" w:type="pct"/>
            <w:tcBorders>
              <w:top w:val="single" w:sz="4" w:space="0" w:color="auto"/>
              <w:left w:val="single" w:sz="4" w:space="0" w:color="auto"/>
              <w:bottom w:val="single" w:sz="4" w:space="0" w:color="auto"/>
              <w:right w:val="single" w:sz="4" w:space="0" w:color="auto"/>
            </w:tcBorders>
            <w:vAlign w:val="center"/>
          </w:tcPr>
          <w:p w14:paraId="22C2929E" w14:textId="77777777" w:rsidR="007518E4" w:rsidRPr="009A3186" w:rsidRDefault="007518E4" w:rsidP="00382A38">
            <w:pPr>
              <w:spacing w:before="0"/>
              <w:ind w:left="0"/>
              <w:jc w:val="center"/>
              <w:rPr>
                <w:rFonts w:ascii="Times New Roman" w:hAnsi="Times New Roman"/>
              </w:rPr>
            </w:pPr>
            <w:r w:rsidRPr="009A3186">
              <w:rPr>
                <w:rFonts w:ascii="Times New Roman" w:hAnsi="Times New Roman"/>
              </w:rPr>
              <w:t>D</w:t>
            </w:r>
            <w:r w:rsidR="00D23EDB">
              <w:rPr>
                <w:rFonts w:ascii="Times New Roman" w:hAnsi="Times New Roman"/>
              </w:rPr>
              <w:t>*</w:t>
            </w:r>
          </w:p>
        </w:tc>
        <w:tc>
          <w:tcPr>
            <w:tcW w:w="2688" w:type="pct"/>
            <w:tcBorders>
              <w:top w:val="single" w:sz="4" w:space="0" w:color="auto"/>
              <w:left w:val="single" w:sz="4" w:space="0" w:color="auto"/>
              <w:bottom w:val="single" w:sz="4" w:space="0" w:color="auto"/>
              <w:right w:val="single" w:sz="4" w:space="0" w:color="auto"/>
            </w:tcBorders>
            <w:vAlign w:val="center"/>
          </w:tcPr>
          <w:p w14:paraId="1D7F88A0" w14:textId="77777777" w:rsidR="007518E4" w:rsidRPr="005346E1" w:rsidRDefault="007518E4" w:rsidP="00382A38">
            <w:pPr>
              <w:spacing w:before="0"/>
              <w:ind w:left="0"/>
              <w:rPr>
                <w:rFonts w:ascii="Times New Roman" w:hAnsi="Times New Roman"/>
              </w:rPr>
            </w:pPr>
            <w:r w:rsidRPr="005346E1">
              <w:rPr>
                <w:rFonts w:ascii="Times New Roman" w:eastAsia="Calibri" w:hAnsi="Times New Roman"/>
                <w:bCs/>
                <w:color w:val="000000"/>
              </w:rPr>
              <w:t xml:space="preserve">There is no reliable and available data on the application of the various procurement methods for award of contracts.  The limited information from </w:t>
            </w:r>
            <w:proofErr w:type="spellStart"/>
            <w:r w:rsidRPr="005346E1">
              <w:rPr>
                <w:rFonts w:ascii="Times New Roman" w:eastAsia="Calibri" w:hAnsi="Times New Roman"/>
                <w:bCs/>
                <w:color w:val="000000"/>
              </w:rPr>
              <w:t>MoES</w:t>
            </w:r>
            <w:proofErr w:type="spellEnd"/>
            <w:r w:rsidRPr="005346E1">
              <w:rPr>
                <w:rFonts w:ascii="Times New Roman" w:eastAsia="Calibri" w:hAnsi="Times New Roman"/>
                <w:bCs/>
                <w:color w:val="000000"/>
              </w:rPr>
              <w:t xml:space="preserve"> suggests that the existing rules are not applied</w:t>
            </w:r>
            <w:r>
              <w:rPr>
                <w:rFonts w:ascii="Times New Roman" w:eastAsia="Calibri" w:hAnsi="Times New Roman"/>
                <w:bCs/>
                <w:color w:val="000000"/>
              </w:rPr>
              <w:t>.</w:t>
            </w:r>
          </w:p>
        </w:tc>
      </w:tr>
      <w:tr w:rsidR="007518E4" w:rsidRPr="009A3186" w14:paraId="09A4283E" w14:textId="77777777" w:rsidTr="007518E4">
        <w:trPr>
          <w:trHeight w:val="881"/>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31190D58" w14:textId="77777777" w:rsidR="007518E4" w:rsidRPr="009A3186" w:rsidRDefault="007518E4" w:rsidP="00DB0467">
            <w:pPr>
              <w:spacing w:before="0"/>
              <w:ind w:left="0"/>
              <w:jc w:val="left"/>
              <w:rPr>
                <w:rFonts w:ascii="Times New Roman" w:hAnsi="Times New Roman"/>
              </w:rPr>
            </w:pPr>
            <w:r w:rsidRPr="009A3186">
              <w:rPr>
                <w:rFonts w:ascii="Times New Roman" w:hAnsi="Times New Roman"/>
              </w:rPr>
              <w:lastRenderedPageBreak/>
              <w:t xml:space="preserve">24.3 Public access to procurement information </w:t>
            </w:r>
          </w:p>
        </w:tc>
        <w:tc>
          <w:tcPr>
            <w:tcW w:w="705" w:type="pct"/>
            <w:tcBorders>
              <w:top w:val="single" w:sz="4" w:space="0" w:color="auto"/>
              <w:left w:val="single" w:sz="4" w:space="0" w:color="auto"/>
              <w:bottom w:val="single" w:sz="4" w:space="0" w:color="auto"/>
              <w:right w:val="single" w:sz="4" w:space="0" w:color="auto"/>
            </w:tcBorders>
            <w:vAlign w:val="center"/>
          </w:tcPr>
          <w:p w14:paraId="2921B27A" w14:textId="77777777" w:rsidR="007518E4" w:rsidRPr="009A3186" w:rsidRDefault="007518E4" w:rsidP="00382A38">
            <w:pPr>
              <w:spacing w:before="0"/>
              <w:ind w:left="0"/>
              <w:jc w:val="center"/>
              <w:rPr>
                <w:rFonts w:ascii="Times New Roman" w:hAnsi="Times New Roman"/>
              </w:rPr>
            </w:pPr>
            <w:r w:rsidRPr="009A318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tcPr>
          <w:p w14:paraId="0CC8AD11" w14:textId="77777777" w:rsidR="007518E4" w:rsidRPr="009A3186" w:rsidRDefault="007518E4" w:rsidP="00382A38">
            <w:pPr>
              <w:spacing w:before="0"/>
              <w:ind w:left="0"/>
              <w:rPr>
                <w:rFonts w:ascii="Times New Roman" w:eastAsia="Calibri" w:hAnsi="Times New Roman"/>
                <w:color w:val="000000"/>
              </w:rPr>
            </w:pPr>
            <w:r w:rsidRPr="009A3186">
              <w:rPr>
                <w:rFonts w:ascii="Times New Roman" w:eastAsia="Calibri" w:hAnsi="Times New Roman"/>
              </w:rPr>
              <w:t>Key procurement information is not made availab</w:t>
            </w:r>
            <w:r w:rsidRPr="00E116BD">
              <w:rPr>
                <w:rFonts w:ascii="Times New Roman" w:eastAsia="Calibri" w:hAnsi="Times New Roman"/>
              </w:rPr>
              <w:t>l</w:t>
            </w:r>
            <w:r w:rsidRPr="009A3186">
              <w:rPr>
                <w:rFonts w:ascii="Times New Roman" w:eastAsia="Calibri" w:hAnsi="Times New Roman"/>
              </w:rPr>
              <w:t>e to the public beyond legislation and competitive bidding opportunities.</w:t>
            </w:r>
          </w:p>
        </w:tc>
      </w:tr>
      <w:tr w:rsidR="007518E4" w:rsidRPr="009A3186" w14:paraId="78497CA8" w14:textId="77777777" w:rsidTr="007518E4">
        <w:trPr>
          <w:trHeight w:val="881"/>
          <w:jc w:val="center"/>
        </w:trPr>
        <w:tc>
          <w:tcPr>
            <w:tcW w:w="1607" w:type="pct"/>
            <w:tcBorders>
              <w:top w:val="single" w:sz="4" w:space="0" w:color="auto"/>
              <w:left w:val="single" w:sz="4" w:space="0" w:color="auto"/>
              <w:bottom w:val="single" w:sz="4" w:space="0" w:color="auto"/>
              <w:right w:val="single" w:sz="4" w:space="0" w:color="auto"/>
            </w:tcBorders>
            <w:vAlign w:val="center"/>
          </w:tcPr>
          <w:p w14:paraId="79A87570" w14:textId="77777777" w:rsidR="007518E4" w:rsidRPr="009A3186" w:rsidRDefault="007518E4" w:rsidP="00DB0467">
            <w:pPr>
              <w:spacing w:before="0"/>
              <w:ind w:left="0"/>
              <w:jc w:val="left"/>
              <w:rPr>
                <w:rFonts w:ascii="Times New Roman" w:hAnsi="Times New Roman"/>
              </w:rPr>
            </w:pPr>
            <w:r w:rsidRPr="009A3186">
              <w:rPr>
                <w:rFonts w:ascii="Times New Roman" w:hAnsi="Times New Roman"/>
              </w:rPr>
              <w:t>24.4 Procurement complaints management</w:t>
            </w:r>
          </w:p>
        </w:tc>
        <w:tc>
          <w:tcPr>
            <w:tcW w:w="705" w:type="pct"/>
            <w:tcBorders>
              <w:top w:val="single" w:sz="4" w:space="0" w:color="auto"/>
              <w:left w:val="single" w:sz="4" w:space="0" w:color="auto"/>
              <w:bottom w:val="single" w:sz="4" w:space="0" w:color="auto"/>
              <w:right w:val="single" w:sz="4" w:space="0" w:color="auto"/>
            </w:tcBorders>
            <w:vAlign w:val="center"/>
          </w:tcPr>
          <w:p w14:paraId="4EAE3C41" w14:textId="77777777" w:rsidR="007518E4" w:rsidRPr="009A3186" w:rsidRDefault="007518E4" w:rsidP="00382A38">
            <w:pPr>
              <w:spacing w:before="0"/>
              <w:ind w:left="0"/>
              <w:jc w:val="center"/>
              <w:rPr>
                <w:rFonts w:ascii="Times New Roman" w:hAnsi="Times New Roman"/>
              </w:rPr>
            </w:pPr>
            <w:r w:rsidRPr="009A3186">
              <w:rPr>
                <w:rFonts w:ascii="Times New Roman" w:hAnsi="Times New Roman"/>
              </w:rPr>
              <w:t>D</w:t>
            </w:r>
          </w:p>
        </w:tc>
        <w:tc>
          <w:tcPr>
            <w:tcW w:w="2688" w:type="pct"/>
            <w:tcBorders>
              <w:top w:val="single" w:sz="4" w:space="0" w:color="auto"/>
              <w:left w:val="single" w:sz="4" w:space="0" w:color="auto"/>
              <w:bottom w:val="single" w:sz="4" w:space="0" w:color="auto"/>
              <w:right w:val="single" w:sz="4" w:space="0" w:color="auto"/>
            </w:tcBorders>
            <w:vAlign w:val="center"/>
          </w:tcPr>
          <w:p w14:paraId="0D4A591E" w14:textId="77777777" w:rsidR="007518E4" w:rsidRPr="005346E1" w:rsidRDefault="007518E4" w:rsidP="00382A38">
            <w:pPr>
              <w:spacing w:before="0"/>
              <w:ind w:left="0"/>
              <w:rPr>
                <w:rFonts w:ascii="Times New Roman" w:hAnsi="Times New Roman"/>
              </w:rPr>
            </w:pPr>
            <w:r w:rsidRPr="005346E1">
              <w:rPr>
                <w:rFonts w:ascii="Times New Roman" w:hAnsi="Times New Roman"/>
              </w:rPr>
              <w:t>The procurement complaint system does not meet criterion (1) relating to an independent complaints body and only one of the other criteria (not charging fees)</w:t>
            </w:r>
            <w:r>
              <w:rPr>
                <w:rFonts w:ascii="Times New Roman" w:hAnsi="Times New Roman"/>
              </w:rPr>
              <w:t>.</w:t>
            </w:r>
          </w:p>
        </w:tc>
      </w:tr>
    </w:tbl>
    <w:p w14:paraId="3640320B" w14:textId="77777777" w:rsidR="007518E4" w:rsidRPr="00382A38"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Until the end of 2017, Lao PDR had no procurement law</w:t>
      </w:r>
      <w:r w:rsidR="00DB0467">
        <w:rPr>
          <w:rFonts w:ascii="Times New Roman" w:hAnsi="Times New Roman"/>
          <w:sz w:val="24"/>
        </w:rPr>
        <w:t xml:space="preserve">. </w:t>
      </w:r>
      <w:r w:rsidRPr="00382A38">
        <w:rPr>
          <w:rFonts w:ascii="Times New Roman" w:hAnsi="Times New Roman"/>
          <w:sz w:val="24"/>
        </w:rPr>
        <w:t>Prime Ministerial Decree No: 03/PM issued in 1995 and amended in 2004 was the only legal fr</w:t>
      </w:r>
      <w:r w:rsidR="00DB0467">
        <w:rPr>
          <w:rFonts w:ascii="Times New Roman" w:hAnsi="Times New Roman"/>
          <w:sz w:val="24"/>
        </w:rPr>
        <w:t xml:space="preserve">amework governing procurement. </w:t>
      </w:r>
      <w:r w:rsidRPr="00382A38">
        <w:rPr>
          <w:rFonts w:ascii="Times New Roman" w:hAnsi="Times New Roman"/>
          <w:sz w:val="24"/>
        </w:rPr>
        <w:t>This decree was supported by Implementing Rules and Regulations (IRR) on Government Procurement of Goods, Works, Maintenance and Services issued by the Minister of Finance</w:t>
      </w:r>
      <w:r w:rsidRPr="00951162">
        <w:rPr>
          <w:rStyle w:val="FootnoteReference"/>
          <w:rFonts w:ascii="Times New Roman" w:hAnsi="Times New Roman"/>
          <w:sz w:val="24"/>
        </w:rPr>
        <w:footnoteReference w:id="45"/>
      </w:r>
      <w:r w:rsidRPr="00382A38">
        <w:rPr>
          <w:rFonts w:ascii="Times New Roman" w:hAnsi="Times New Roman"/>
          <w:sz w:val="24"/>
        </w:rPr>
        <w:t xml:space="preserve">. The Decree provided insufficient to enforce transparent and accountable procurement and a Procurement Law was prepared and endorsed by NA in October 2017. The </w:t>
      </w:r>
      <w:r w:rsidRPr="00382A38">
        <w:rPr>
          <w:rFonts w:ascii="Times New Roman" w:hAnsi="Times New Roman"/>
          <w:sz w:val="24"/>
          <w:lang w:val="en-GB"/>
        </w:rPr>
        <w:t>World Bank is currently providing technical assistance to MoF in the drafting of the secondary legislation for the effective enforcement of the new Procurement Law.</w:t>
      </w:r>
    </w:p>
    <w:p w14:paraId="57CC90F5" w14:textId="77777777" w:rsidR="007518E4"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The Procurement Monitoring Office was first established in 1997</w:t>
      </w:r>
      <w:r w:rsidRPr="000F6B28">
        <w:rPr>
          <w:rFonts w:ascii="Times New Roman" w:hAnsi="Times New Roman"/>
          <w:sz w:val="24"/>
        </w:rPr>
        <w:t>.</w:t>
      </w:r>
      <w:r w:rsidR="00DB0467">
        <w:rPr>
          <w:rFonts w:ascii="Times New Roman" w:hAnsi="Times New Roman"/>
          <w:sz w:val="24"/>
        </w:rPr>
        <w:t xml:space="preserve"> </w:t>
      </w:r>
      <w:r>
        <w:rPr>
          <w:rFonts w:ascii="Times New Roman" w:hAnsi="Times New Roman"/>
          <w:sz w:val="24"/>
        </w:rPr>
        <w:t xml:space="preserve">This was </w:t>
      </w:r>
      <w:r w:rsidRPr="008F780B">
        <w:rPr>
          <w:rFonts w:ascii="Times New Roman" w:hAnsi="Times New Roman"/>
          <w:sz w:val="24"/>
        </w:rPr>
        <w:t>under executive order 0855/MoF of the Minister of Finance as “an independent and permanent Office w</w:t>
      </w:r>
      <w:r w:rsidR="00DB0467">
        <w:rPr>
          <w:rFonts w:ascii="Times New Roman" w:hAnsi="Times New Roman"/>
          <w:sz w:val="24"/>
        </w:rPr>
        <w:t>ithin the Ministry of Finance”.</w:t>
      </w:r>
      <w:r w:rsidRPr="008F780B">
        <w:rPr>
          <w:rFonts w:ascii="Times New Roman" w:hAnsi="Times New Roman"/>
          <w:sz w:val="24"/>
        </w:rPr>
        <w:t xml:space="preserve"> Its role and responsibilities were never formally </w:t>
      </w:r>
      <w:proofErr w:type="gramStart"/>
      <w:r w:rsidRPr="008F780B">
        <w:rPr>
          <w:rFonts w:ascii="Times New Roman" w:hAnsi="Times New Roman"/>
          <w:sz w:val="24"/>
        </w:rPr>
        <w:t>established</w:t>
      </w:r>
      <w:proofErr w:type="gramEnd"/>
      <w:r w:rsidRPr="008F780B">
        <w:rPr>
          <w:rFonts w:ascii="Times New Roman" w:hAnsi="Times New Roman"/>
          <w:sz w:val="24"/>
        </w:rPr>
        <w:t xml:space="preserve"> and it was reclassified as a Division of the Budget Department in the Ministry of Finance in 2011. Currently, it still has significant hands-on powers on paper, including the creation and maintenance of a reference list of companies permitted to bid for GOL contracts, approving extension of bid validity periods, monitoring each stage of “important and high value procurement (ICB and Public Bidding) financed by the national budget” and the right to amend recommendations by line ministry Bidding Committees (BC) for all contract awards above 10 billion kip (approximately $1.2 million).  However, its human and financial resources are insufficient and effectively limit its impact on government procurement operations.</w:t>
      </w:r>
    </w:p>
    <w:p w14:paraId="5DE1F359" w14:textId="77777777" w:rsidR="007518E4"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There are deficiencies and gaps in the legal, regulatory and institutional framework, prior to the enactment of the Procurement Law.</w:t>
      </w:r>
      <w:r>
        <w:rPr>
          <w:rFonts w:ascii="Times New Roman" w:hAnsi="Times New Roman"/>
          <w:b/>
          <w:sz w:val="24"/>
        </w:rPr>
        <w:t xml:space="preserve"> </w:t>
      </w:r>
      <w:r w:rsidRPr="00303355">
        <w:rPr>
          <w:rFonts w:ascii="Times New Roman" w:hAnsi="Times New Roman"/>
          <w:sz w:val="24"/>
        </w:rPr>
        <w:t>These have led</w:t>
      </w:r>
      <w:r w:rsidRPr="008F780B">
        <w:rPr>
          <w:rFonts w:ascii="Times New Roman" w:hAnsi="Times New Roman"/>
          <w:sz w:val="24"/>
        </w:rPr>
        <w:t xml:space="preserve"> to the procurement risk at country level being assessed by donors such ADB</w:t>
      </w:r>
      <w:r w:rsidRPr="00951162">
        <w:rPr>
          <w:rStyle w:val="FootnoteReference"/>
          <w:rFonts w:ascii="Times New Roman" w:hAnsi="Times New Roman"/>
          <w:sz w:val="24"/>
        </w:rPr>
        <w:footnoteReference w:id="46"/>
      </w:r>
      <w:r w:rsidRPr="008F780B">
        <w:rPr>
          <w:rFonts w:ascii="Times New Roman" w:hAnsi="Times New Roman"/>
          <w:sz w:val="24"/>
        </w:rPr>
        <w:t xml:space="preserve"> as high.  </w:t>
      </w:r>
    </w:p>
    <w:p w14:paraId="40419033" w14:textId="77777777" w:rsidR="007518E4"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This assessment was based on the examination of data available from the major line ministries identified from their budget allocation.</w:t>
      </w:r>
      <w:r w:rsidRPr="000F6B28">
        <w:rPr>
          <w:rFonts w:ascii="Times New Roman" w:hAnsi="Times New Roman"/>
          <w:sz w:val="24"/>
        </w:rPr>
        <w:t xml:space="preserve"> </w:t>
      </w:r>
      <w:r>
        <w:rPr>
          <w:rFonts w:ascii="Times New Roman" w:hAnsi="Times New Roman"/>
          <w:sz w:val="24"/>
        </w:rPr>
        <w:t>This is due</w:t>
      </w:r>
      <w:r w:rsidRPr="008F780B">
        <w:rPr>
          <w:rFonts w:ascii="Times New Roman" w:hAnsi="Times New Roman"/>
          <w:sz w:val="24"/>
        </w:rPr>
        <w:t xml:space="preserve"> the absence of any procurement data within </w:t>
      </w:r>
      <w:proofErr w:type="gramStart"/>
      <w:r w:rsidRPr="008F780B">
        <w:rPr>
          <w:rFonts w:ascii="Times New Roman" w:hAnsi="Times New Roman"/>
          <w:sz w:val="24"/>
        </w:rPr>
        <w:t>Mo</w:t>
      </w:r>
      <w:r>
        <w:rPr>
          <w:rFonts w:ascii="Times New Roman" w:hAnsi="Times New Roman"/>
          <w:sz w:val="24"/>
        </w:rPr>
        <w:t>F</w:t>
      </w:r>
      <w:proofErr w:type="gramEnd"/>
      <w:r>
        <w:rPr>
          <w:rFonts w:ascii="Times New Roman" w:hAnsi="Times New Roman"/>
          <w:sz w:val="24"/>
        </w:rPr>
        <w:t xml:space="preserve"> so a sample has been used for </w:t>
      </w:r>
      <w:proofErr w:type="spellStart"/>
      <w:r>
        <w:rPr>
          <w:rFonts w:ascii="Times New Roman" w:hAnsi="Times New Roman"/>
          <w:sz w:val="24"/>
        </w:rPr>
        <w:t>M</w:t>
      </w:r>
      <w:r w:rsidRPr="008F780B">
        <w:rPr>
          <w:rFonts w:ascii="Times New Roman" w:hAnsi="Times New Roman"/>
          <w:sz w:val="24"/>
        </w:rPr>
        <w:t>oPW</w:t>
      </w:r>
      <w:proofErr w:type="spellEnd"/>
      <w:r w:rsidRPr="008F780B">
        <w:rPr>
          <w:rFonts w:ascii="Times New Roman" w:hAnsi="Times New Roman"/>
          <w:sz w:val="24"/>
        </w:rPr>
        <w:t xml:space="preserve">, </w:t>
      </w:r>
      <w:proofErr w:type="spellStart"/>
      <w:r w:rsidRPr="008F780B">
        <w:rPr>
          <w:rFonts w:ascii="Times New Roman" w:hAnsi="Times New Roman"/>
          <w:sz w:val="24"/>
        </w:rPr>
        <w:t>MoES</w:t>
      </w:r>
      <w:proofErr w:type="spellEnd"/>
      <w:r w:rsidRPr="008F780B">
        <w:rPr>
          <w:rFonts w:ascii="Times New Roman" w:hAnsi="Times New Roman"/>
          <w:sz w:val="24"/>
        </w:rPr>
        <w:t xml:space="preserve"> and </w:t>
      </w:r>
      <w:proofErr w:type="spellStart"/>
      <w:r w:rsidRPr="008F780B">
        <w:rPr>
          <w:rFonts w:ascii="Times New Roman" w:hAnsi="Times New Roman"/>
          <w:sz w:val="24"/>
        </w:rPr>
        <w:t>MoH</w:t>
      </w:r>
      <w:proofErr w:type="spellEnd"/>
      <w:r w:rsidRPr="008F780B">
        <w:rPr>
          <w:rFonts w:ascii="Times New Roman" w:hAnsi="Times New Roman"/>
          <w:sz w:val="24"/>
        </w:rPr>
        <w:t>, representing 32 percent of total estimated procurement or 41 percent of procurem</w:t>
      </w:r>
      <w:r>
        <w:rPr>
          <w:rFonts w:ascii="Times New Roman" w:hAnsi="Times New Roman"/>
          <w:sz w:val="24"/>
        </w:rPr>
        <w:t xml:space="preserve">ent at central level (based on </w:t>
      </w:r>
      <w:r w:rsidRPr="008F780B">
        <w:rPr>
          <w:rFonts w:ascii="Times New Roman" w:hAnsi="Times New Roman"/>
          <w:sz w:val="24"/>
        </w:rPr>
        <w:t xml:space="preserve">respective allocation for expenditure categories 62, 66 and 67 of current and capital expenditure in the 2017 budget). </w:t>
      </w:r>
    </w:p>
    <w:p w14:paraId="2E45B976" w14:textId="77777777" w:rsidR="007518E4" w:rsidRPr="008F780B"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 xml:space="preserve">The procurement cycle at the ministerial level reported by </w:t>
      </w:r>
      <w:proofErr w:type="spellStart"/>
      <w:r w:rsidRPr="00382A38">
        <w:rPr>
          <w:rFonts w:ascii="Times New Roman" w:hAnsi="Times New Roman"/>
          <w:b/>
          <w:sz w:val="24"/>
        </w:rPr>
        <w:t>MoES</w:t>
      </w:r>
      <w:proofErr w:type="spellEnd"/>
      <w:r w:rsidRPr="00382A38">
        <w:rPr>
          <w:rFonts w:ascii="Times New Roman" w:hAnsi="Times New Roman"/>
          <w:b/>
          <w:sz w:val="24"/>
        </w:rPr>
        <w:t xml:space="preserve"> and </w:t>
      </w:r>
      <w:proofErr w:type="spellStart"/>
      <w:r w:rsidRPr="00382A38">
        <w:rPr>
          <w:rFonts w:ascii="Times New Roman" w:hAnsi="Times New Roman"/>
          <w:b/>
          <w:sz w:val="24"/>
        </w:rPr>
        <w:t>MoPW</w:t>
      </w:r>
      <w:proofErr w:type="spellEnd"/>
      <w:r w:rsidRPr="00382A38">
        <w:rPr>
          <w:rFonts w:ascii="Times New Roman" w:hAnsi="Times New Roman"/>
          <w:b/>
          <w:sz w:val="24"/>
        </w:rPr>
        <w:t xml:space="preserve"> as an example, is broadly reported and summarized as follows</w:t>
      </w:r>
      <w:r w:rsidRPr="008F780B">
        <w:rPr>
          <w:rFonts w:ascii="Times New Roman" w:hAnsi="Times New Roman"/>
          <w:sz w:val="24"/>
        </w:rPr>
        <w:t>:</w:t>
      </w:r>
    </w:p>
    <w:p w14:paraId="43E8C1E7" w14:textId="77777777" w:rsidR="007518E4" w:rsidRPr="008F780B" w:rsidRDefault="007518E4" w:rsidP="00DB0467">
      <w:pPr>
        <w:pStyle w:val="ListParagraph"/>
        <w:numPr>
          <w:ilvl w:val="0"/>
          <w:numId w:val="69"/>
        </w:numPr>
        <w:spacing w:after="120"/>
        <w:contextualSpacing w:val="0"/>
        <w:rPr>
          <w:rFonts w:ascii="Times New Roman" w:hAnsi="Times New Roman"/>
          <w:sz w:val="24"/>
        </w:rPr>
      </w:pPr>
      <w:r w:rsidRPr="008F780B">
        <w:rPr>
          <w:rFonts w:ascii="Times New Roman" w:hAnsi="Times New Roman"/>
          <w:sz w:val="24"/>
        </w:rPr>
        <w:t>Budget: Finance Dept. confirms the annual budget allocation;</w:t>
      </w:r>
    </w:p>
    <w:p w14:paraId="5363932F" w14:textId="77777777" w:rsidR="007518E4" w:rsidRPr="008F780B" w:rsidRDefault="007518E4" w:rsidP="00DB0467">
      <w:pPr>
        <w:pStyle w:val="ListParagraph"/>
        <w:numPr>
          <w:ilvl w:val="0"/>
          <w:numId w:val="69"/>
        </w:numPr>
        <w:spacing w:after="120"/>
        <w:contextualSpacing w:val="0"/>
        <w:rPr>
          <w:rFonts w:ascii="Times New Roman" w:hAnsi="Times New Roman"/>
          <w:sz w:val="24"/>
        </w:rPr>
      </w:pPr>
      <w:r w:rsidRPr="008F780B">
        <w:rPr>
          <w:rFonts w:ascii="Times New Roman" w:hAnsi="Times New Roman"/>
          <w:sz w:val="24"/>
        </w:rPr>
        <w:lastRenderedPageBreak/>
        <w:t xml:space="preserve">Procurement planning: Upon approval of the budget, the relevant department is responsible for the formulation of a procurement work plan to order in the case of </w:t>
      </w:r>
      <w:proofErr w:type="spellStart"/>
      <w:r w:rsidRPr="008F780B">
        <w:rPr>
          <w:rFonts w:ascii="Times New Roman" w:hAnsi="Times New Roman"/>
          <w:sz w:val="24"/>
        </w:rPr>
        <w:t>MoES</w:t>
      </w:r>
      <w:proofErr w:type="spellEnd"/>
      <w:r w:rsidRPr="008F780B">
        <w:rPr>
          <w:rFonts w:ascii="Times New Roman" w:hAnsi="Times New Roman"/>
          <w:sz w:val="24"/>
        </w:rPr>
        <w:t xml:space="preserve"> the printing of text books, education materials according to the proposals from various schools</w:t>
      </w:r>
      <w:r>
        <w:rPr>
          <w:rFonts w:ascii="Times New Roman" w:hAnsi="Times New Roman"/>
          <w:sz w:val="24"/>
        </w:rPr>
        <w:t>;</w:t>
      </w:r>
      <w:r w:rsidRPr="008F780B">
        <w:rPr>
          <w:rFonts w:ascii="Times New Roman" w:hAnsi="Times New Roman"/>
          <w:sz w:val="24"/>
        </w:rPr>
        <w:t xml:space="preserve"> or the road works based on the Road management system in the case of </w:t>
      </w:r>
      <w:proofErr w:type="spellStart"/>
      <w:r w:rsidRPr="008F780B">
        <w:rPr>
          <w:rFonts w:ascii="Times New Roman" w:hAnsi="Times New Roman"/>
          <w:sz w:val="24"/>
        </w:rPr>
        <w:t>MoPW</w:t>
      </w:r>
      <w:proofErr w:type="spellEnd"/>
      <w:r w:rsidRPr="008F780B">
        <w:rPr>
          <w:rFonts w:ascii="Times New Roman" w:hAnsi="Times New Roman"/>
          <w:sz w:val="24"/>
        </w:rPr>
        <w:t xml:space="preserve">. Prioritization of needs will be made within the department under the responsibility of each DG. Estimation of each unit cost is based on the previous year's </w:t>
      </w:r>
      <w:r>
        <w:rPr>
          <w:rFonts w:ascii="Times New Roman" w:hAnsi="Times New Roman"/>
          <w:sz w:val="24"/>
        </w:rPr>
        <w:t>purchasing and proposed to the finance d</w:t>
      </w:r>
      <w:r w:rsidRPr="008F780B">
        <w:rPr>
          <w:rFonts w:ascii="Times New Roman" w:hAnsi="Times New Roman"/>
          <w:sz w:val="24"/>
        </w:rPr>
        <w:t>epart</w:t>
      </w:r>
      <w:r>
        <w:rPr>
          <w:rFonts w:ascii="Times New Roman" w:hAnsi="Times New Roman"/>
          <w:sz w:val="24"/>
        </w:rPr>
        <w:t>ment</w:t>
      </w:r>
      <w:r w:rsidRPr="008F780B">
        <w:rPr>
          <w:rFonts w:ascii="Times New Roman" w:hAnsi="Times New Roman"/>
          <w:sz w:val="24"/>
        </w:rPr>
        <w:t xml:space="preserve"> for consideration. Bid Evaluation Committee will be established chaired by the DDG of the implementing department.</w:t>
      </w:r>
    </w:p>
    <w:p w14:paraId="2E124ADE" w14:textId="77777777" w:rsidR="007518E4" w:rsidRPr="008F780B" w:rsidRDefault="007518E4" w:rsidP="00DB0467">
      <w:pPr>
        <w:pStyle w:val="ListParagraph"/>
        <w:numPr>
          <w:ilvl w:val="0"/>
          <w:numId w:val="69"/>
        </w:numPr>
        <w:spacing w:after="120"/>
        <w:contextualSpacing w:val="0"/>
        <w:rPr>
          <w:rFonts w:ascii="Times New Roman" w:hAnsi="Times New Roman"/>
          <w:sz w:val="24"/>
        </w:rPr>
      </w:pPr>
      <w:r w:rsidRPr="008F780B">
        <w:rPr>
          <w:rFonts w:ascii="Times New Roman" w:hAnsi="Times New Roman"/>
          <w:sz w:val="24"/>
        </w:rPr>
        <w:t xml:space="preserve">Procurement procedure: after the approval of the detailed procurement work plan, the specifications will be prepared by the implementing department. Upon MoF instruction dated 2001, </w:t>
      </w:r>
      <w:proofErr w:type="spellStart"/>
      <w:r w:rsidRPr="008F780B">
        <w:rPr>
          <w:rFonts w:ascii="Times New Roman" w:hAnsi="Times New Roman"/>
          <w:sz w:val="24"/>
        </w:rPr>
        <w:t>MoES</w:t>
      </w:r>
      <w:proofErr w:type="spellEnd"/>
      <w:r w:rsidRPr="008F780B">
        <w:rPr>
          <w:rFonts w:ascii="Times New Roman" w:hAnsi="Times New Roman"/>
          <w:sz w:val="24"/>
        </w:rPr>
        <w:t xml:space="preserve"> will use direct purchasing with the </w:t>
      </w:r>
      <w:proofErr w:type="spellStart"/>
      <w:r w:rsidRPr="008F780B">
        <w:rPr>
          <w:rFonts w:ascii="Times New Roman" w:hAnsi="Times New Roman"/>
          <w:sz w:val="24"/>
        </w:rPr>
        <w:t>MoE</w:t>
      </w:r>
      <w:proofErr w:type="spellEnd"/>
      <w:r w:rsidRPr="008F780B">
        <w:rPr>
          <w:rFonts w:ascii="Times New Roman" w:hAnsi="Times New Roman"/>
          <w:sz w:val="24"/>
        </w:rPr>
        <w:t xml:space="preserve"> SOEs for the supply of printing textbooks with State Education Printing House and purchasing equipment/science experiment with Education Equipment Factory. Supply</w:t>
      </w:r>
      <w:r>
        <w:rPr>
          <w:rFonts w:ascii="Times New Roman" w:hAnsi="Times New Roman"/>
          <w:sz w:val="24"/>
        </w:rPr>
        <w:t xml:space="preserve"> of chalk</w:t>
      </w:r>
      <w:r w:rsidRPr="008F780B">
        <w:rPr>
          <w:rFonts w:ascii="Times New Roman" w:hAnsi="Times New Roman"/>
          <w:sz w:val="24"/>
        </w:rPr>
        <w:t xml:space="preserve"> is contracted through the four government f</w:t>
      </w:r>
      <w:r>
        <w:rPr>
          <w:rFonts w:ascii="Times New Roman" w:hAnsi="Times New Roman"/>
          <w:sz w:val="24"/>
        </w:rPr>
        <w:t>actories based on the Mo</w:t>
      </w:r>
      <w:r w:rsidRPr="008F780B">
        <w:rPr>
          <w:rFonts w:ascii="Times New Roman" w:hAnsi="Times New Roman"/>
          <w:sz w:val="24"/>
        </w:rPr>
        <w:t>F</w:t>
      </w:r>
      <w:r>
        <w:rPr>
          <w:rFonts w:ascii="Times New Roman" w:hAnsi="Times New Roman"/>
          <w:sz w:val="24"/>
        </w:rPr>
        <w:t xml:space="preserve">'s notice and approval of the </w:t>
      </w:r>
      <w:proofErr w:type="spellStart"/>
      <w:r>
        <w:rPr>
          <w:rFonts w:ascii="Times New Roman" w:hAnsi="Times New Roman"/>
          <w:sz w:val="24"/>
        </w:rPr>
        <w:t>Mo</w:t>
      </w:r>
      <w:r w:rsidRPr="008F780B">
        <w:rPr>
          <w:rFonts w:ascii="Times New Roman" w:hAnsi="Times New Roman"/>
          <w:sz w:val="24"/>
        </w:rPr>
        <w:t>ES</w:t>
      </w:r>
      <w:proofErr w:type="spellEnd"/>
      <w:r w:rsidRPr="008F780B">
        <w:rPr>
          <w:rFonts w:ascii="Times New Roman" w:hAnsi="Times New Roman"/>
          <w:sz w:val="24"/>
        </w:rPr>
        <w:t>. Hardware purchasing, such as computers, IT equipment will go through a competitive bidding subm</w:t>
      </w:r>
      <w:r>
        <w:rPr>
          <w:rFonts w:ascii="Times New Roman" w:hAnsi="Times New Roman"/>
          <w:sz w:val="24"/>
        </w:rPr>
        <w:t>ission in compliance with the Mo</w:t>
      </w:r>
      <w:r w:rsidRPr="008F780B">
        <w:rPr>
          <w:rFonts w:ascii="Times New Roman" w:hAnsi="Times New Roman"/>
          <w:sz w:val="24"/>
        </w:rPr>
        <w:t>F regulation for tendering procedure above 500 million kip.</w:t>
      </w:r>
    </w:p>
    <w:p w14:paraId="0ECEE37E" w14:textId="77777777" w:rsidR="007518E4" w:rsidRPr="008F780B" w:rsidRDefault="007518E4" w:rsidP="00DB0467">
      <w:pPr>
        <w:pStyle w:val="ListParagraph"/>
        <w:numPr>
          <w:ilvl w:val="0"/>
          <w:numId w:val="69"/>
        </w:numPr>
        <w:spacing w:after="120"/>
        <w:contextualSpacing w:val="0"/>
        <w:rPr>
          <w:rFonts w:ascii="Times New Roman" w:hAnsi="Times New Roman"/>
          <w:sz w:val="24"/>
        </w:rPr>
      </w:pPr>
      <w:r w:rsidRPr="008F780B">
        <w:rPr>
          <w:rFonts w:ascii="Times New Roman" w:hAnsi="Times New Roman"/>
          <w:sz w:val="24"/>
        </w:rPr>
        <w:t>Tendering Procedures: Instructions from the internal bidding committee will stipulate procedures to be applied: in the case of open bidding procurement (price comparison), with publication in</w:t>
      </w:r>
      <w:r>
        <w:rPr>
          <w:rFonts w:ascii="Times New Roman" w:hAnsi="Times New Roman"/>
          <w:sz w:val="24"/>
        </w:rPr>
        <w:t xml:space="preserve"> Vientiane Mai Newspaper and </w:t>
      </w:r>
      <w:r w:rsidRPr="008F780B">
        <w:rPr>
          <w:rFonts w:ascii="Times New Roman" w:hAnsi="Times New Roman"/>
          <w:sz w:val="24"/>
        </w:rPr>
        <w:t>Education Newspapers. In the case of direct negotiations with state enterprises, a notice explaining to them quantities and specifications/standards of textbooks/chalks/materials will be issued so they can prepare a quotation. In the case of NCB, the MoF and MPI will be involved. I</w:t>
      </w:r>
      <w:r>
        <w:rPr>
          <w:rFonts w:ascii="Times New Roman" w:hAnsi="Times New Roman"/>
          <w:sz w:val="24"/>
        </w:rPr>
        <w:t xml:space="preserve">nternational </w:t>
      </w:r>
      <w:r w:rsidRPr="008F780B">
        <w:rPr>
          <w:rFonts w:ascii="Times New Roman" w:hAnsi="Times New Roman"/>
          <w:sz w:val="24"/>
        </w:rPr>
        <w:t>C</w:t>
      </w:r>
      <w:r>
        <w:rPr>
          <w:rFonts w:ascii="Times New Roman" w:hAnsi="Times New Roman"/>
          <w:sz w:val="24"/>
        </w:rPr>
        <w:t xml:space="preserve">ompetitive </w:t>
      </w:r>
      <w:r w:rsidRPr="008F780B">
        <w:rPr>
          <w:rFonts w:ascii="Times New Roman" w:hAnsi="Times New Roman"/>
          <w:sz w:val="24"/>
        </w:rPr>
        <w:t>B</w:t>
      </w:r>
      <w:r>
        <w:rPr>
          <w:rFonts w:ascii="Times New Roman" w:hAnsi="Times New Roman"/>
          <w:sz w:val="24"/>
        </w:rPr>
        <w:t>idding</w:t>
      </w:r>
      <w:r w:rsidRPr="008F780B">
        <w:rPr>
          <w:rFonts w:ascii="Times New Roman" w:hAnsi="Times New Roman"/>
          <w:sz w:val="24"/>
        </w:rPr>
        <w:t xml:space="preserve"> </w:t>
      </w:r>
      <w:r>
        <w:rPr>
          <w:rFonts w:ascii="Times New Roman" w:hAnsi="Times New Roman"/>
          <w:sz w:val="24"/>
        </w:rPr>
        <w:t>is applied to donor funded purchases</w:t>
      </w:r>
      <w:r w:rsidRPr="008F780B">
        <w:rPr>
          <w:rFonts w:ascii="Times New Roman" w:hAnsi="Times New Roman"/>
          <w:sz w:val="24"/>
        </w:rPr>
        <w:t xml:space="preserve"> and follow</w:t>
      </w:r>
      <w:r>
        <w:rPr>
          <w:rFonts w:ascii="Times New Roman" w:hAnsi="Times New Roman"/>
          <w:sz w:val="24"/>
        </w:rPr>
        <w:t>s</w:t>
      </w:r>
      <w:r w:rsidRPr="008F780B">
        <w:rPr>
          <w:rFonts w:ascii="Times New Roman" w:hAnsi="Times New Roman"/>
          <w:sz w:val="24"/>
        </w:rPr>
        <w:t xml:space="preserve"> the </w:t>
      </w:r>
      <w:r>
        <w:rPr>
          <w:rFonts w:ascii="Times New Roman" w:hAnsi="Times New Roman"/>
          <w:sz w:val="24"/>
        </w:rPr>
        <w:t xml:space="preserve">respective </w:t>
      </w:r>
      <w:r w:rsidRPr="008F780B">
        <w:rPr>
          <w:rFonts w:ascii="Times New Roman" w:hAnsi="Times New Roman"/>
          <w:sz w:val="24"/>
        </w:rPr>
        <w:t xml:space="preserve">donors’ agreement procurement procedures. </w:t>
      </w:r>
    </w:p>
    <w:p w14:paraId="31FA1F22" w14:textId="77777777" w:rsidR="007518E4" w:rsidRPr="008F780B" w:rsidRDefault="007518E4" w:rsidP="00DB0467">
      <w:pPr>
        <w:pStyle w:val="ListParagraph"/>
        <w:numPr>
          <w:ilvl w:val="0"/>
          <w:numId w:val="69"/>
        </w:numPr>
        <w:spacing w:after="120"/>
        <w:contextualSpacing w:val="0"/>
        <w:rPr>
          <w:rFonts w:ascii="Times New Roman" w:hAnsi="Times New Roman"/>
          <w:sz w:val="24"/>
        </w:rPr>
      </w:pPr>
      <w:r w:rsidRPr="008F780B">
        <w:rPr>
          <w:rFonts w:ascii="Times New Roman" w:hAnsi="Times New Roman"/>
          <w:sz w:val="24"/>
        </w:rPr>
        <w:t xml:space="preserve">Contract award: </w:t>
      </w:r>
      <w:proofErr w:type="spellStart"/>
      <w:r w:rsidRPr="008F780B">
        <w:rPr>
          <w:rFonts w:ascii="Times New Roman" w:hAnsi="Times New Roman"/>
          <w:sz w:val="24"/>
        </w:rPr>
        <w:t>MoES</w:t>
      </w:r>
      <w:proofErr w:type="spellEnd"/>
      <w:r w:rsidRPr="008F780B">
        <w:rPr>
          <w:rFonts w:ascii="Times New Roman" w:hAnsi="Times New Roman"/>
          <w:sz w:val="24"/>
        </w:rPr>
        <w:t xml:space="preserve"> bidding committee will evaluate all bidding submissions, the Bidding Committee will submit the selected bid for approval by the Minister. For Direct negotiations, consultation meetings will take place amongst assigned committee members to review prices and conduct negotiation. The Minister will then endorse the results of </w:t>
      </w:r>
      <w:proofErr w:type="gramStart"/>
      <w:r w:rsidRPr="008F780B">
        <w:rPr>
          <w:rFonts w:ascii="Times New Roman" w:hAnsi="Times New Roman"/>
          <w:sz w:val="24"/>
        </w:rPr>
        <w:t xml:space="preserve">evaluation, </w:t>
      </w:r>
      <w:r>
        <w:rPr>
          <w:rFonts w:ascii="Times New Roman" w:hAnsi="Times New Roman"/>
          <w:sz w:val="24"/>
        </w:rPr>
        <w:t>and</w:t>
      </w:r>
      <w:proofErr w:type="gramEnd"/>
      <w:r>
        <w:rPr>
          <w:rFonts w:ascii="Times New Roman" w:hAnsi="Times New Roman"/>
          <w:sz w:val="24"/>
        </w:rPr>
        <w:t xml:space="preserve"> </w:t>
      </w:r>
      <w:r w:rsidRPr="008F780B">
        <w:rPr>
          <w:rFonts w:ascii="Times New Roman" w:hAnsi="Times New Roman"/>
          <w:sz w:val="24"/>
        </w:rPr>
        <w:t xml:space="preserve">signs the contract. </w:t>
      </w:r>
    </w:p>
    <w:p w14:paraId="63892454" w14:textId="77777777" w:rsidR="007518E4" w:rsidRPr="009A3186" w:rsidRDefault="007518E4" w:rsidP="00382A38">
      <w:pPr>
        <w:spacing w:before="480"/>
        <w:ind w:left="0"/>
        <w:rPr>
          <w:rFonts w:ascii="Times New Roman" w:eastAsia="Calibri" w:hAnsi="Times New Roman"/>
          <w:b/>
          <w:bCs/>
          <w:color w:val="92D050"/>
          <w:spacing w:val="-1"/>
          <w:sz w:val="24"/>
        </w:rPr>
      </w:pPr>
      <w:r w:rsidRPr="009A3186">
        <w:rPr>
          <w:rFonts w:ascii="Times New Roman" w:eastAsia="Calibri" w:hAnsi="Times New Roman"/>
          <w:b/>
          <w:bCs/>
          <w:color w:val="92D050"/>
          <w:spacing w:val="-1"/>
          <w:sz w:val="24"/>
        </w:rPr>
        <w:t>24.1. Procurement monitoring</w:t>
      </w:r>
    </w:p>
    <w:p w14:paraId="1F43A793" w14:textId="77777777" w:rsidR="007518E4"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There is an absence of a solid legal and regulatory framework and institutional basis to monitor and oversee government procurement</w:t>
      </w:r>
      <w:r>
        <w:rPr>
          <w:rFonts w:ascii="Times New Roman" w:hAnsi="Times New Roman"/>
          <w:sz w:val="24"/>
        </w:rPr>
        <w:t xml:space="preserve">. </w:t>
      </w:r>
      <w:r w:rsidRPr="00303355">
        <w:rPr>
          <w:rFonts w:ascii="Times New Roman" w:hAnsi="Times New Roman"/>
          <w:sz w:val="24"/>
        </w:rPr>
        <w:t>Responsibilities are decentralized to all implementing entities, even different departments w</w:t>
      </w:r>
      <w:r w:rsidR="000C5978">
        <w:rPr>
          <w:rFonts w:ascii="Times New Roman" w:hAnsi="Times New Roman"/>
          <w:sz w:val="24"/>
        </w:rPr>
        <w:t xml:space="preserve">ithin a ministry such as </w:t>
      </w:r>
      <w:proofErr w:type="spellStart"/>
      <w:r w:rsidR="000C5978">
        <w:rPr>
          <w:rFonts w:ascii="Times New Roman" w:hAnsi="Times New Roman"/>
          <w:sz w:val="24"/>
        </w:rPr>
        <w:t>MoPW</w:t>
      </w:r>
      <w:proofErr w:type="spellEnd"/>
      <w:r w:rsidR="000C5978">
        <w:rPr>
          <w:rFonts w:ascii="Times New Roman" w:hAnsi="Times New Roman"/>
          <w:sz w:val="24"/>
        </w:rPr>
        <w:t xml:space="preserve">. </w:t>
      </w:r>
      <w:r w:rsidRPr="00303355">
        <w:rPr>
          <w:rFonts w:ascii="Times New Roman" w:hAnsi="Times New Roman"/>
          <w:sz w:val="24"/>
        </w:rPr>
        <w:t xml:space="preserve">No databases or records are comprehensively maintained for contracts in procuring entities including data on what has been procured, value of procurement and who has been awarded contracts.  Procurement planning and record keeping is scattered across departments or integrated in the contracting and financial paper work without specific record trail for procurement information. The lack of systematic procurement record keeping leads to almost complete absence of procurement tracking and inability to substantiate contracting decisions. As the result, the finance departments in </w:t>
      </w:r>
      <w:proofErr w:type="spellStart"/>
      <w:r w:rsidRPr="00303355">
        <w:rPr>
          <w:rFonts w:ascii="Times New Roman" w:hAnsi="Times New Roman"/>
          <w:sz w:val="24"/>
        </w:rPr>
        <w:t>MoES</w:t>
      </w:r>
      <w:proofErr w:type="spellEnd"/>
      <w:r w:rsidRPr="00303355">
        <w:rPr>
          <w:rFonts w:ascii="Times New Roman" w:hAnsi="Times New Roman"/>
          <w:sz w:val="24"/>
        </w:rPr>
        <w:t xml:space="preserve"> and </w:t>
      </w:r>
      <w:proofErr w:type="spellStart"/>
      <w:r w:rsidRPr="00303355">
        <w:rPr>
          <w:rFonts w:ascii="Times New Roman" w:hAnsi="Times New Roman"/>
          <w:sz w:val="24"/>
        </w:rPr>
        <w:t>MoPW</w:t>
      </w:r>
      <w:proofErr w:type="spellEnd"/>
      <w:r w:rsidRPr="00303355">
        <w:rPr>
          <w:rFonts w:ascii="Times New Roman" w:hAnsi="Times New Roman"/>
          <w:sz w:val="24"/>
        </w:rPr>
        <w:t xml:space="preserve"> do not have a proper system/mechanism to collect data or manage procurement contracts of all entities under their jurisdiction. The usual practice is for finance departments to review and attach the contracts to record payment transaction.  In the case of </w:t>
      </w:r>
      <w:proofErr w:type="spellStart"/>
      <w:r w:rsidRPr="00303355">
        <w:rPr>
          <w:rFonts w:ascii="Times New Roman" w:hAnsi="Times New Roman"/>
          <w:sz w:val="24"/>
        </w:rPr>
        <w:t>MoES</w:t>
      </w:r>
      <w:proofErr w:type="spellEnd"/>
      <w:r>
        <w:rPr>
          <w:rFonts w:ascii="Times New Roman" w:hAnsi="Times New Roman"/>
          <w:sz w:val="24"/>
        </w:rPr>
        <w:t xml:space="preserve"> for example</w:t>
      </w:r>
      <w:r w:rsidRPr="00303355">
        <w:rPr>
          <w:rFonts w:ascii="Times New Roman" w:hAnsi="Times New Roman"/>
          <w:sz w:val="24"/>
        </w:rPr>
        <w:t xml:space="preserve">, each department / finance unit </w:t>
      </w:r>
      <w:r>
        <w:rPr>
          <w:rFonts w:ascii="Times New Roman" w:hAnsi="Times New Roman"/>
          <w:sz w:val="24"/>
        </w:rPr>
        <w:lastRenderedPageBreak/>
        <w:t xml:space="preserve">of the </w:t>
      </w:r>
      <w:proofErr w:type="spellStart"/>
      <w:r>
        <w:rPr>
          <w:rFonts w:ascii="Times New Roman" w:hAnsi="Times New Roman"/>
          <w:sz w:val="24"/>
        </w:rPr>
        <w:t>MoES</w:t>
      </w:r>
      <w:proofErr w:type="spellEnd"/>
      <w:r>
        <w:rPr>
          <w:rFonts w:ascii="Times New Roman" w:hAnsi="Times New Roman"/>
          <w:sz w:val="24"/>
        </w:rPr>
        <w:t xml:space="preserve"> entities </w:t>
      </w:r>
      <w:r w:rsidRPr="00303355">
        <w:rPr>
          <w:rFonts w:ascii="Times New Roman" w:hAnsi="Times New Roman"/>
          <w:sz w:val="24"/>
        </w:rPr>
        <w:t xml:space="preserve">reports on the use of State budget on procurement to the Budget Division of the Finance Department at the end of the annual procurement implementation.  The Finance Department subsequently organizes an annual meeting to review, evaluate and define lessons learned the implementation of its financial performance with the presence of all finance units, including from provincial level. </w:t>
      </w:r>
    </w:p>
    <w:p w14:paraId="01806BF4" w14:textId="77777777" w:rsidR="007518E4" w:rsidRPr="00303355" w:rsidRDefault="007518E4" w:rsidP="008037D9">
      <w:pPr>
        <w:pStyle w:val="ListParagraph"/>
        <w:numPr>
          <w:ilvl w:val="0"/>
          <w:numId w:val="68"/>
        </w:numPr>
        <w:spacing w:after="240"/>
        <w:ind w:left="0"/>
        <w:contextualSpacing w:val="0"/>
        <w:rPr>
          <w:rFonts w:ascii="Times New Roman" w:hAnsi="Times New Roman"/>
          <w:sz w:val="24"/>
        </w:rPr>
      </w:pPr>
      <w:r w:rsidRPr="00382A38">
        <w:rPr>
          <w:rFonts w:ascii="Times New Roman" w:hAnsi="Times New Roman"/>
          <w:b/>
          <w:sz w:val="24"/>
        </w:rPr>
        <w:t>The SAO by means of its mandate is responsible for procurement audits.</w:t>
      </w:r>
      <w:r w:rsidRPr="00303355">
        <w:rPr>
          <w:rFonts w:ascii="Times New Roman" w:hAnsi="Times New Roman"/>
          <w:b/>
          <w:sz w:val="24"/>
        </w:rPr>
        <w:t xml:space="preserve"> </w:t>
      </w:r>
      <w:r w:rsidRPr="00303355">
        <w:rPr>
          <w:rFonts w:ascii="Times New Roman" w:hAnsi="Times New Roman"/>
          <w:sz w:val="24"/>
        </w:rPr>
        <w:t xml:space="preserve">However, SAO has not been exercising this function mostly because of lack of capacity and resources. </w:t>
      </w:r>
    </w:p>
    <w:p w14:paraId="36BA0FF0" w14:textId="77777777" w:rsidR="007518E4" w:rsidRPr="00303355" w:rsidRDefault="007518E4" w:rsidP="008037D9">
      <w:pPr>
        <w:pStyle w:val="ListParagraph"/>
        <w:numPr>
          <w:ilvl w:val="0"/>
          <w:numId w:val="78"/>
        </w:numPr>
        <w:spacing w:after="240"/>
        <w:ind w:left="0"/>
        <w:contextualSpacing w:val="0"/>
        <w:rPr>
          <w:rFonts w:ascii="Times New Roman" w:hAnsi="Times New Roman"/>
          <w:sz w:val="24"/>
        </w:rPr>
      </w:pPr>
      <w:r w:rsidRPr="00382A38">
        <w:rPr>
          <w:rFonts w:ascii="Times New Roman" w:eastAsia="Calibri" w:hAnsi="Times New Roman"/>
          <w:b/>
          <w:sz w:val="24"/>
        </w:rPr>
        <w:t>No comprehensive databases are available to provide consolidated information on procurement operations by government entities.</w:t>
      </w:r>
      <w:r w:rsidRPr="00303355">
        <w:rPr>
          <w:rFonts w:ascii="Times New Roman" w:eastAsia="Calibri" w:hAnsi="Times New Roman"/>
          <w:sz w:val="24"/>
        </w:rPr>
        <w:t xml:space="preserve"> The procurement function is fully decentralized at ministry department level.</w:t>
      </w:r>
      <w:r>
        <w:rPr>
          <w:rFonts w:ascii="Times New Roman" w:eastAsia="Calibri" w:hAnsi="Times New Roman"/>
          <w:sz w:val="24"/>
        </w:rPr>
        <w:t xml:space="preserve"> </w:t>
      </w:r>
      <w:r w:rsidRPr="00303355">
        <w:rPr>
          <w:rFonts w:ascii="Times New Roman" w:eastAsia="Calibri" w:hAnsi="Times New Roman"/>
          <w:sz w:val="24"/>
        </w:rPr>
        <w:t>Records are maintained for contracts by each implementing entity and t</w:t>
      </w:r>
      <w:r>
        <w:rPr>
          <w:rFonts w:ascii="Times New Roman" w:eastAsia="Calibri" w:hAnsi="Times New Roman"/>
          <w:sz w:val="24"/>
        </w:rPr>
        <w:t>here is</w:t>
      </w:r>
      <w:r w:rsidRPr="00303355">
        <w:rPr>
          <w:rFonts w:ascii="Times New Roman" w:eastAsia="Calibri" w:hAnsi="Times New Roman"/>
          <w:sz w:val="24"/>
        </w:rPr>
        <w:t xml:space="preserve"> neither system nor database to track data available on procurement and contract management: Score D.</w:t>
      </w:r>
    </w:p>
    <w:p w14:paraId="1B0228AE" w14:textId="77777777" w:rsidR="007518E4" w:rsidRPr="005701D3" w:rsidRDefault="007518E4" w:rsidP="00382A38">
      <w:pPr>
        <w:spacing w:after="240"/>
        <w:ind w:left="0"/>
        <w:rPr>
          <w:rFonts w:ascii="Times New Roman" w:eastAsia="Calibri" w:hAnsi="Times New Roman"/>
          <w:b/>
          <w:bCs/>
          <w:color w:val="92D050"/>
          <w:spacing w:val="-1"/>
          <w:sz w:val="24"/>
        </w:rPr>
      </w:pPr>
      <w:r w:rsidRPr="005701D3">
        <w:rPr>
          <w:rFonts w:ascii="Times New Roman" w:eastAsia="Calibri" w:hAnsi="Times New Roman"/>
          <w:b/>
          <w:bCs/>
          <w:color w:val="92D050"/>
          <w:spacing w:val="-1"/>
          <w:sz w:val="24"/>
        </w:rPr>
        <w:t xml:space="preserve">24.2 Procurement </w:t>
      </w:r>
      <w:r>
        <w:rPr>
          <w:rFonts w:ascii="Times New Roman" w:eastAsia="Calibri" w:hAnsi="Times New Roman"/>
          <w:b/>
          <w:bCs/>
          <w:color w:val="92D050"/>
          <w:spacing w:val="-1"/>
          <w:sz w:val="24"/>
        </w:rPr>
        <w:t>m</w:t>
      </w:r>
      <w:r w:rsidRPr="005701D3">
        <w:rPr>
          <w:rFonts w:ascii="Times New Roman" w:eastAsia="Calibri" w:hAnsi="Times New Roman"/>
          <w:b/>
          <w:bCs/>
          <w:color w:val="92D050"/>
          <w:spacing w:val="-1"/>
          <w:sz w:val="24"/>
        </w:rPr>
        <w:t xml:space="preserve">ethods </w:t>
      </w:r>
    </w:p>
    <w:p w14:paraId="3CDF6CE2" w14:textId="77777777" w:rsidR="007518E4" w:rsidRPr="008E68CA" w:rsidRDefault="007518E4" w:rsidP="008037D9">
      <w:pPr>
        <w:pStyle w:val="ListParagraph"/>
        <w:widowControl w:val="0"/>
        <w:numPr>
          <w:ilvl w:val="0"/>
          <w:numId w:val="71"/>
        </w:numPr>
        <w:autoSpaceDE w:val="0"/>
        <w:autoSpaceDN w:val="0"/>
        <w:adjustRightInd w:val="0"/>
        <w:ind w:left="0"/>
        <w:contextualSpacing w:val="0"/>
        <w:rPr>
          <w:rFonts w:ascii="Times New Roman" w:eastAsia="Calibri" w:hAnsi="Times New Roman"/>
          <w:color w:val="000000"/>
          <w:sz w:val="24"/>
        </w:rPr>
      </w:pPr>
      <w:r w:rsidRPr="00382A38">
        <w:rPr>
          <w:rFonts w:ascii="Times New Roman" w:eastAsia="Calibri" w:hAnsi="Times New Roman"/>
          <w:b/>
          <w:color w:val="000000"/>
          <w:sz w:val="24"/>
        </w:rPr>
        <w:t xml:space="preserve">There is no data available for publication </w:t>
      </w:r>
      <w:r w:rsidR="00382A38">
        <w:rPr>
          <w:rFonts w:ascii="Times New Roman" w:eastAsia="Calibri" w:hAnsi="Times New Roman"/>
          <w:b/>
          <w:color w:val="000000"/>
          <w:sz w:val="24"/>
        </w:rPr>
        <w:t>a</w:t>
      </w:r>
      <w:r w:rsidRPr="00382A38">
        <w:rPr>
          <w:rFonts w:ascii="Times New Roman" w:eastAsia="Calibri" w:hAnsi="Times New Roman"/>
          <w:b/>
          <w:color w:val="000000"/>
          <w:sz w:val="24"/>
        </w:rPr>
        <w:t>s no databases on procurement operations are maintained</w:t>
      </w:r>
      <w:r w:rsidRPr="000F6B28">
        <w:rPr>
          <w:rFonts w:ascii="Times New Roman" w:eastAsia="Calibri" w:hAnsi="Times New Roman"/>
          <w:color w:val="000000"/>
          <w:sz w:val="24"/>
        </w:rPr>
        <w:t>.</w:t>
      </w:r>
      <w:r w:rsidRPr="008E68CA">
        <w:rPr>
          <w:rFonts w:ascii="Times New Roman" w:eastAsia="Calibri" w:hAnsi="Times New Roman"/>
          <w:color w:val="000000"/>
          <w:sz w:val="24"/>
        </w:rPr>
        <w:t xml:space="preserve"> </w:t>
      </w:r>
      <w:r w:rsidRPr="008E68CA">
        <w:rPr>
          <w:rFonts w:ascii="Times New Roman" w:hAnsi="Times New Roman"/>
          <w:sz w:val="24"/>
        </w:rPr>
        <w:t xml:space="preserve">The ministries could not retrieve data on procurement methods applied from the filing records of transactions. </w:t>
      </w:r>
    </w:p>
    <w:p w14:paraId="6260F37D" w14:textId="77777777" w:rsidR="007518E4" w:rsidRPr="008E68CA" w:rsidRDefault="007518E4" w:rsidP="008037D9">
      <w:pPr>
        <w:pStyle w:val="ListParagraph"/>
        <w:widowControl w:val="0"/>
        <w:numPr>
          <w:ilvl w:val="0"/>
          <w:numId w:val="71"/>
        </w:numPr>
        <w:autoSpaceDE w:val="0"/>
        <w:autoSpaceDN w:val="0"/>
        <w:adjustRightInd w:val="0"/>
        <w:ind w:left="0"/>
        <w:contextualSpacing w:val="0"/>
        <w:rPr>
          <w:rFonts w:ascii="Times New Roman" w:eastAsia="Calibri" w:hAnsi="Times New Roman"/>
          <w:color w:val="000000"/>
          <w:sz w:val="24"/>
        </w:rPr>
      </w:pPr>
      <w:r w:rsidRPr="00382A38">
        <w:rPr>
          <w:rFonts w:ascii="Times New Roman" w:eastAsia="Calibri" w:hAnsi="Times New Roman"/>
          <w:b/>
          <w:color w:val="000000"/>
          <w:sz w:val="24"/>
        </w:rPr>
        <w:t>Procurement methods are defined in the new Procurement Law in line with the previous Decree</w:t>
      </w:r>
      <w:r w:rsidRPr="00303823">
        <w:rPr>
          <w:rFonts w:ascii="Times New Roman" w:eastAsia="Calibri" w:hAnsi="Times New Roman"/>
          <w:color w:val="000000"/>
          <w:sz w:val="24"/>
        </w:rPr>
        <w:t>.</w:t>
      </w:r>
      <w:r w:rsidRPr="005346E1">
        <w:rPr>
          <w:rFonts w:ascii="Times New Roman" w:eastAsia="Calibri" w:hAnsi="Times New Roman"/>
          <w:b/>
          <w:color w:val="000000"/>
          <w:sz w:val="24"/>
        </w:rPr>
        <w:t xml:space="preserve"> </w:t>
      </w:r>
      <w:r>
        <w:rPr>
          <w:rFonts w:ascii="Times New Roman" w:eastAsia="Calibri" w:hAnsi="Times New Roman"/>
          <w:color w:val="000000"/>
          <w:sz w:val="24"/>
        </w:rPr>
        <w:t xml:space="preserve"> These are </w:t>
      </w:r>
      <w:r w:rsidRPr="008E68CA">
        <w:rPr>
          <w:rFonts w:ascii="Times New Roman" w:eastAsia="Calibri" w:hAnsi="Times New Roman"/>
          <w:color w:val="000000"/>
          <w:sz w:val="24"/>
        </w:rPr>
        <w:t>as follows:</w:t>
      </w:r>
    </w:p>
    <w:p w14:paraId="3C69F700" w14:textId="77777777" w:rsidR="007518E4" w:rsidRPr="008E68CA" w:rsidRDefault="007518E4" w:rsidP="008037D9">
      <w:pPr>
        <w:pStyle w:val="ListParagraph"/>
        <w:numPr>
          <w:ilvl w:val="0"/>
          <w:numId w:val="70"/>
        </w:numPr>
        <w:spacing w:before="0" w:line="276" w:lineRule="auto"/>
        <w:rPr>
          <w:rFonts w:ascii="Times New Roman" w:hAnsi="Times New Roman"/>
          <w:color w:val="000000"/>
          <w:sz w:val="24"/>
        </w:rPr>
      </w:pPr>
      <w:r w:rsidRPr="008E68CA">
        <w:rPr>
          <w:rFonts w:ascii="Times New Roman" w:hAnsi="Times New Roman"/>
          <w:color w:val="000000"/>
          <w:sz w:val="24"/>
        </w:rPr>
        <w:t>Open bidding;</w:t>
      </w:r>
    </w:p>
    <w:p w14:paraId="483586C1" w14:textId="77777777" w:rsidR="007518E4" w:rsidRPr="008E68CA" w:rsidRDefault="007518E4" w:rsidP="008037D9">
      <w:pPr>
        <w:pStyle w:val="ListParagraph"/>
        <w:numPr>
          <w:ilvl w:val="0"/>
          <w:numId w:val="70"/>
        </w:numPr>
        <w:spacing w:before="0" w:line="276" w:lineRule="auto"/>
        <w:rPr>
          <w:rFonts w:ascii="Times New Roman" w:hAnsi="Times New Roman"/>
          <w:color w:val="000000"/>
          <w:sz w:val="24"/>
        </w:rPr>
      </w:pPr>
      <w:r w:rsidRPr="008E68CA">
        <w:rPr>
          <w:rFonts w:ascii="Times New Roman" w:hAnsi="Times New Roman"/>
          <w:color w:val="000000"/>
          <w:sz w:val="24"/>
        </w:rPr>
        <w:t>Limited bidding;</w:t>
      </w:r>
    </w:p>
    <w:p w14:paraId="487F6617" w14:textId="77777777" w:rsidR="007518E4" w:rsidRPr="008E68CA" w:rsidRDefault="007518E4" w:rsidP="008037D9">
      <w:pPr>
        <w:pStyle w:val="ListParagraph"/>
        <w:numPr>
          <w:ilvl w:val="0"/>
          <w:numId w:val="70"/>
        </w:numPr>
        <w:spacing w:before="0" w:line="276" w:lineRule="auto"/>
        <w:rPr>
          <w:rFonts w:ascii="Times New Roman" w:hAnsi="Times New Roman"/>
          <w:color w:val="000000"/>
          <w:sz w:val="24"/>
        </w:rPr>
      </w:pPr>
      <w:r w:rsidRPr="008E68CA">
        <w:rPr>
          <w:rFonts w:ascii="Times New Roman" w:hAnsi="Times New Roman"/>
          <w:color w:val="000000"/>
          <w:sz w:val="24"/>
        </w:rPr>
        <w:t>Request for quotations;</w:t>
      </w:r>
    </w:p>
    <w:p w14:paraId="5A7C613D" w14:textId="77777777" w:rsidR="007518E4" w:rsidRPr="008E68CA" w:rsidRDefault="007518E4" w:rsidP="008037D9">
      <w:pPr>
        <w:pStyle w:val="ListParagraph"/>
        <w:numPr>
          <w:ilvl w:val="0"/>
          <w:numId w:val="70"/>
        </w:numPr>
        <w:spacing w:before="0" w:line="276" w:lineRule="auto"/>
        <w:rPr>
          <w:rFonts w:ascii="Times New Roman" w:hAnsi="Times New Roman"/>
          <w:color w:val="000000"/>
          <w:sz w:val="24"/>
        </w:rPr>
      </w:pPr>
      <w:r w:rsidRPr="008E68CA">
        <w:rPr>
          <w:rFonts w:ascii="Times New Roman" w:hAnsi="Times New Roman"/>
          <w:color w:val="000000"/>
          <w:sz w:val="24"/>
        </w:rPr>
        <w:t>Direct contracting.</w:t>
      </w:r>
    </w:p>
    <w:p w14:paraId="70AB35AD" w14:textId="77777777" w:rsidR="007518E4" w:rsidRPr="008E68CA" w:rsidRDefault="007518E4" w:rsidP="008037D9">
      <w:pPr>
        <w:pStyle w:val="ListParagraph"/>
        <w:numPr>
          <w:ilvl w:val="0"/>
          <w:numId w:val="72"/>
        </w:numPr>
        <w:spacing w:after="240"/>
        <w:ind w:left="0"/>
        <w:contextualSpacing w:val="0"/>
        <w:rPr>
          <w:rFonts w:ascii="Times New Roman" w:hAnsi="Times New Roman"/>
          <w:sz w:val="24"/>
        </w:rPr>
      </w:pPr>
      <w:r w:rsidRPr="00382A38">
        <w:rPr>
          <w:rFonts w:ascii="Times New Roman" w:eastAsia="Calibri" w:hAnsi="Times New Roman"/>
          <w:b/>
          <w:bCs/>
          <w:color w:val="000000"/>
          <w:sz w:val="24"/>
        </w:rPr>
        <w:t>There is no definition of thresholds or criteria for the application of the different methods in the Law</w:t>
      </w:r>
      <w:r w:rsidR="000C5978">
        <w:rPr>
          <w:rFonts w:ascii="Times New Roman" w:eastAsia="Calibri" w:hAnsi="Times New Roman"/>
          <w:bCs/>
          <w:color w:val="000000"/>
          <w:sz w:val="24"/>
        </w:rPr>
        <w:t xml:space="preserve">. </w:t>
      </w:r>
      <w:r w:rsidRPr="008E68CA">
        <w:rPr>
          <w:rFonts w:ascii="Times New Roman" w:eastAsia="Calibri" w:hAnsi="Times New Roman"/>
          <w:bCs/>
          <w:color w:val="000000"/>
          <w:sz w:val="24"/>
        </w:rPr>
        <w:t>Procedures and implementation guidelines for each procurement methods are set out in separat</w:t>
      </w:r>
      <w:r w:rsidR="000C5978">
        <w:rPr>
          <w:rFonts w:ascii="Times New Roman" w:eastAsia="Calibri" w:hAnsi="Times New Roman"/>
          <w:bCs/>
          <w:color w:val="000000"/>
          <w:sz w:val="24"/>
        </w:rPr>
        <w:t xml:space="preserve">e regulations. </w:t>
      </w:r>
      <w:r w:rsidRPr="008E68CA">
        <w:rPr>
          <w:rFonts w:ascii="Times New Roman" w:eastAsia="Calibri" w:hAnsi="Times New Roman"/>
          <w:bCs/>
          <w:color w:val="000000"/>
          <w:sz w:val="24"/>
        </w:rPr>
        <w:t xml:space="preserve">Within </w:t>
      </w:r>
      <w:proofErr w:type="spellStart"/>
      <w:r w:rsidRPr="008E68CA">
        <w:rPr>
          <w:rFonts w:ascii="Times New Roman" w:eastAsia="Calibri" w:hAnsi="Times New Roman"/>
          <w:bCs/>
          <w:color w:val="000000"/>
          <w:sz w:val="24"/>
        </w:rPr>
        <w:t>MoES</w:t>
      </w:r>
      <w:proofErr w:type="spellEnd"/>
      <w:r w:rsidRPr="008E68CA">
        <w:rPr>
          <w:rFonts w:ascii="Times New Roman" w:eastAsia="Calibri" w:hAnsi="Times New Roman"/>
          <w:bCs/>
          <w:color w:val="000000"/>
          <w:sz w:val="24"/>
        </w:rPr>
        <w:t xml:space="preserve">, based on the Decree 03/PM, tendering procedures below 500 million kip can be implemented directly by the competent department with ex ante submission of the procurement plan and ex post reporting to the </w:t>
      </w:r>
      <w:proofErr w:type="spellStart"/>
      <w:r w:rsidRPr="008E68CA">
        <w:rPr>
          <w:rFonts w:ascii="Times New Roman" w:eastAsia="Calibri" w:hAnsi="Times New Roman"/>
          <w:bCs/>
          <w:color w:val="000000"/>
          <w:sz w:val="24"/>
        </w:rPr>
        <w:t>MoES</w:t>
      </w:r>
      <w:proofErr w:type="spellEnd"/>
      <w:r w:rsidRPr="008E68CA">
        <w:rPr>
          <w:rFonts w:ascii="Times New Roman" w:eastAsia="Calibri" w:hAnsi="Times New Roman"/>
          <w:bCs/>
          <w:color w:val="000000"/>
          <w:sz w:val="24"/>
        </w:rPr>
        <w:t xml:space="preserve"> finance department, but the procedure is not systematically followed.  Procedures above 500 million kip involve the finance department directly. </w:t>
      </w:r>
      <w:r w:rsidRPr="008E68CA">
        <w:rPr>
          <w:rFonts w:ascii="Times New Roman" w:eastAsia="Calibri" w:hAnsi="Times New Roman"/>
          <w:sz w:val="24"/>
        </w:rPr>
        <w:t xml:space="preserve">According to </w:t>
      </w:r>
      <w:proofErr w:type="spellStart"/>
      <w:r w:rsidRPr="008E68CA">
        <w:rPr>
          <w:rFonts w:ascii="Times New Roman" w:eastAsia="Calibri" w:hAnsi="Times New Roman"/>
          <w:sz w:val="24"/>
        </w:rPr>
        <w:t>MoPW</w:t>
      </w:r>
      <w:proofErr w:type="spellEnd"/>
      <w:r w:rsidRPr="008E68CA">
        <w:rPr>
          <w:rFonts w:ascii="Times New Roman" w:eastAsia="Calibri" w:hAnsi="Times New Roman"/>
          <w:sz w:val="24"/>
        </w:rPr>
        <w:t xml:space="preserve">, the government procurement and method applied at </w:t>
      </w:r>
      <w:proofErr w:type="spellStart"/>
      <w:r w:rsidRPr="008E68CA">
        <w:rPr>
          <w:rFonts w:ascii="Times New Roman" w:eastAsia="Calibri" w:hAnsi="Times New Roman"/>
          <w:sz w:val="24"/>
        </w:rPr>
        <w:t>MoPW</w:t>
      </w:r>
      <w:proofErr w:type="spellEnd"/>
      <w:r w:rsidRPr="008E68CA">
        <w:rPr>
          <w:rFonts w:ascii="Times New Roman" w:eastAsia="Calibri" w:hAnsi="Times New Roman"/>
          <w:sz w:val="24"/>
        </w:rPr>
        <w:t xml:space="preserve"> mirror the procurement procedures from the WB and ADB loans and apply the same criteria to the government procurement. Adequate data to evidence this was not available at the time of assessment.</w:t>
      </w:r>
    </w:p>
    <w:p w14:paraId="733729DA" w14:textId="77777777" w:rsidR="007518E4" w:rsidRPr="008E68CA" w:rsidRDefault="007518E4" w:rsidP="008037D9">
      <w:pPr>
        <w:pStyle w:val="ListParagraph"/>
        <w:numPr>
          <w:ilvl w:val="0"/>
          <w:numId w:val="72"/>
        </w:numPr>
        <w:spacing w:after="240"/>
        <w:ind w:left="0"/>
        <w:contextualSpacing w:val="0"/>
        <w:rPr>
          <w:rFonts w:ascii="Times New Roman" w:hAnsi="Times New Roman"/>
          <w:sz w:val="24"/>
        </w:rPr>
      </w:pPr>
      <w:r w:rsidRPr="00382A38">
        <w:rPr>
          <w:rFonts w:ascii="Times New Roman" w:eastAsia="Calibri" w:hAnsi="Times New Roman"/>
          <w:b/>
          <w:bCs/>
          <w:color w:val="000000"/>
          <w:sz w:val="24"/>
        </w:rPr>
        <w:t>There is no reliable and available data on the application of the various procurement methods for award of contracts.</w:t>
      </w:r>
      <w:r>
        <w:rPr>
          <w:rFonts w:ascii="Times New Roman" w:eastAsia="Calibri" w:hAnsi="Times New Roman"/>
          <w:b/>
          <w:bCs/>
          <w:color w:val="000000"/>
          <w:sz w:val="24"/>
        </w:rPr>
        <w:t xml:space="preserve"> </w:t>
      </w:r>
      <w:r w:rsidRPr="00E116BD">
        <w:rPr>
          <w:rFonts w:ascii="Times New Roman" w:eastAsia="Calibri" w:hAnsi="Times New Roman"/>
          <w:bCs/>
          <w:color w:val="000000"/>
          <w:sz w:val="24"/>
        </w:rPr>
        <w:t xml:space="preserve">The limited information from </w:t>
      </w:r>
      <w:proofErr w:type="spellStart"/>
      <w:r w:rsidRPr="00E116BD">
        <w:rPr>
          <w:rFonts w:ascii="Times New Roman" w:eastAsia="Calibri" w:hAnsi="Times New Roman"/>
          <w:bCs/>
          <w:color w:val="000000"/>
          <w:sz w:val="24"/>
        </w:rPr>
        <w:t>MoES</w:t>
      </w:r>
      <w:proofErr w:type="spellEnd"/>
      <w:r w:rsidRPr="00E116BD">
        <w:rPr>
          <w:rFonts w:ascii="Times New Roman" w:eastAsia="Calibri" w:hAnsi="Times New Roman"/>
          <w:bCs/>
          <w:color w:val="000000"/>
          <w:sz w:val="24"/>
        </w:rPr>
        <w:t xml:space="preserve"> suggests that the existing rules are not applied</w:t>
      </w:r>
      <w:r>
        <w:rPr>
          <w:rFonts w:ascii="Times New Roman" w:eastAsia="Calibri" w:hAnsi="Times New Roman"/>
          <w:bCs/>
          <w:color w:val="000000"/>
          <w:sz w:val="24"/>
        </w:rPr>
        <w:t>: Score D</w:t>
      </w:r>
      <w:r w:rsidR="00D23EDB">
        <w:rPr>
          <w:rFonts w:ascii="Times New Roman" w:eastAsia="Calibri" w:hAnsi="Times New Roman"/>
          <w:bCs/>
          <w:color w:val="000000"/>
          <w:sz w:val="24"/>
        </w:rPr>
        <w:t>*</w:t>
      </w:r>
      <w:r w:rsidRPr="008E68CA">
        <w:rPr>
          <w:rFonts w:ascii="Times New Roman" w:eastAsia="Calibri" w:hAnsi="Times New Roman"/>
          <w:bCs/>
          <w:color w:val="000000"/>
          <w:sz w:val="24"/>
        </w:rPr>
        <w:t>.</w:t>
      </w:r>
    </w:p>
    <w:p w14:paraId="264D81B7" w14:textId="77777777" w:rsidR="007518E4" w:rsidRPr="005701D3" w:rsidRDefault="007518E4" w:rsidP="00382A38">
      <w:pPr>
        <w:spacing w:after="240"/>
        <w:ind w:left="0"/>
        <w:rPr>
          <w:rFonts w:ascii="Times New Roman" w:eastAsia="Calibri" w:hAnsi="Times New Roman"/>
          <w:b/>
          <w:bCs/>
          <w:color w:val="92D050"/>
          <w:spacing w:val="-1"/>
          <w:sz w:val="24"/>
        </w:rPr>
      </w:pPr>
      <w:r w:rsidRPr="005701D3">
        <w:rPr>
          <w:rFonts w:ascii="Times New Roman" w:eastAsia="Calibri" w:hAnsi="Times New Roman"/>
          <w:b/>
          <w:bCs/>
          <w:color w:val="92D050"/>
          <w:spacing w:val="-1"/>
          <w:sz w:val="24"/>
        </w:rPr>
        <w:t xml:space="preserve">24.3. Public </w:t>
      </w:r>
      <w:r>
        <w:rPr>
          <w:rFonts w:ascii="Times New Roman" w:eastAsia="Calibri" w:hAnsi="Times New Roman"/>
          <w:b/>
          <w:bCs/>
          <w:color w:val="92D050"/>
          <w:spacing w:val="-1"/>
          <w:sz w:val="24"/>
        </w:rPr>
        <w:t>a</w:t>
      </w:r>
      <w:r w:rsidRPr="005701D3">
        <w:rPr>
          <w:rFonts w:ascii="Times New Roman" w:eastAsia="Calibri" w:hAnsi="Times New Roman"/>
          <w:b/>
          <w:bCs/>
          <w:color w:val="92D050"/>
          <w:spacing w:val="-1"/>
          <w:sz w:val="24"/>
        </w:rPr>
        <w:t xml:space="preserve">ccess to </w:t>
      </w:r>
      <w:r>
        <w:rPr>
          <w:rFonts w:ascii="Times New Roman" w:eastAsia="Calibri" w:hAnsi="Times New Roman"/>
          <w:b/>
          <w:bCs/>
          <w:color w:val="92D050"/>
          <w:spacing w:val="-1"/>
          <w:sz w:val="24"/>
        </w:rPr>
        <w:t>i</w:t>
      </w:r>
      <w:r w:rsidRPr="005701D3">
        <w:rPr>
          <w:rFonts w:ascii="Times New Roman" w:eastAsia="Calibri" w:hAnsi="Times New Roman"/>
          <w:b/>
          <w:bCs/>
          <w:color w:val="92D050"/>
          <w:spacing w:val="-1"/>
          <w:sz w:val="24"/>
        </w:rPr>
        <w:t xml:space="preserve">nformation </w:t>
      </w:r>
      <w:r>
        <w:rPr>
          <w:rFonts w:ascii="Times New Roman" w:eastAsia="Calibri" w:hAnsi="Times New Roman"/>
          <w:b/>
          <w:bCs/>
          <w:color w:val="92D050"/>
          <w:spacing w:val="-1"/>
          <w:sz w:val="24"/>
        </w:rPr>
        <w:t>a</w:t>
      </w:r>
      <w:r w:rsidRPr="005701D3">
        <w:rPr>
          <w:rFonts w:ascii="Times New Roman" w:eastAsia="Calibri" w:hAnsi="Times New Roman"/>
          <w:b/>
          <w:bCs/>
          <w:color w:val="92D050"/>
          <w:spacing w:val="-1"/>
          <w:sz w:val="24"/>
        </w:rPr>
        <w:t xml:space="preserve">bout </w:t>
      </w:r>
      <w:r>
        <w:rPr>
          <w:rFonts w:ascii="Times New Roman" w:eastAsia="Calibri" w:hAnsi="Times New Roman"/>
          <w:b/>
          <w:bCs/>
          <w:color w:val="92D050"/>
          <w:spacing w:val="-1"/>
          <w:sz w:val="24"/>
        </w:rPr>
        <w:t>p</w:t>
      </w:r>
      <w:r w:rsidRPr="005701D3">
        <w:rPr>
          <w:rFonts w:ascii="Times New Roman" w:eastAsia="Calibri" w:hAnsi="Times New Roman"/>
          <w:b/>
          <w:bCs/>
          <w:color w:val="92D050"/>
          <w:spacing w:val="-1"/>
          <w:sz w:val="24"/>
        </w:rPr>
        <w:t>rocurement</w:t>
      </w:r>
    </w:p>
    <w:p w14:paraId="06760427" w14:textId="77777777" w:rsidR="007518E4" w:rsidRPr="007C0F51" w:rsidRDefault="007518E4" w:rsidP="008037D9">
      <w:pPr>
        <w:pStyle w:val="ListParagraph"/>
        <w:numPr>
          <w:ilvl w:val="0"/>
          <w:numId w:val="72"/>
        </w:numPr>
        <w:autoSpaceDE w:val="0"/>
        <w:autoSpaceDN w:val="0"/>
        <w:adjustRightInd w:val="0"/>
        <w:spacing w:after="240"/>
        <w:ind w:left="0"/>
        <w:contextualSpacing w:val="0"/>
        <w:rPr>
          <w:rFonts w:ascii="Times New Roman" w:eastAsia="Calibri" w:hAnsi="Times New Roman"/>
          <w:sz w:val="24"/>
        </w:rPr>
      </w:pPr>
      <w:r w:rsidRPr="00382A38">
        <w:rPr>
          <w:rFonts w:ascii="Times New Roman" w:eastAsia="Calibri" w:hAnsi="Times New Roman"/>
          <w:b/>
          <w:sz w:val="24"/>
        </w:rPr>
        <w:t>The government does not have a functional system to generate substantial and reliable coverage of key procurement information</w:t>
      </w:r>
      <w:r w:rsidRPr="00303823">
        <w:rPr>
          <w:rFonts w:ascii="Times New Roman" w:eastAsia="Calibri" w:hAnsi="Times New Roman"/>
          <w:sz w:val="24"/>
        </w:rPr>
        <w:t>.</w:t>
      </w:r>
      <w:r w:rsidR="000C5978">
        <w:rPr>
          <w:rFonts w:ascii="Times New Roman" w:eastAsia="Calibri" w:hAnsi="Times New Roman"/>
          <w:sz w:val="24"/>
        </w:rPr>
        <w:t xml:space="preserve"> </w:t>
      </w:r>
      <w:r>
        <w:rPr>
          <w:rFonts w:ascii="Times New Roman" w:eastAsia="Calibri" w:hAnsi="Times New Roman"/>
          <w:sz w:val="24"/>
        </w:rPr>
        <w:t>It does n</w:t>
      </w:r>
      <w:r w:rsidRPr="007C0F51">
        <w:rPr>
          <w:rFonts w:ascii="Times New Roman" w:eastAsia="Calibri" w:hAnsi="Times New Roman"/>
          <w:sz w:val="24"/>
        </w:rPr>
        <w:t xml:space="preserve">ot systematically make key procurement information available to the public. </w:t>
      </w:r>
      <w:r w:rsidRPr="007C0F51">
        <w:rPr>
          <w:rFonts w:ascii="Times New Roman" w:hAnsi="Times New Roman"/>
          <w:sz w:val="24"/>
        </w:rPr>
        <w:t xml:space="preserve">There is no requirement to publish the names of companies and amounts of awarded contracts and apart from the tendering publication </w:t>
      </w:r>
      <w:r w:rsidRPr="007C0F51">
        <w:rPr>
          <w:rFonts w:ascii="Times New Roman" w:hAnsi="Times New Roman"/>
          <w:sz w:val="24"/>
        </w:rPr>
        <w:lastRenderedPageBreak/>
        <w:t>process for competitive procedure,</w:t>
      </w:r>
      <w:r w:rsidRPr="007C0F51">
        <w:rPr>
          <w:rFonts w:ascii="Times New Roman" w:eastAsia="Calibri" w:hAnsi="Times New Roman"/>
          <w:sz w:val="24"/>
        </w:rPr>
        <w:t xml:space="preserve"> little if any information is publicized.</w:t>
      </w:r>
      <w:r w:rsidR="000C5978">
        <w:rPr>
          <w:rFonts w:ascii="Times New Roman" w:eastAsia="Calibri" w:hAnsi="Times New Roman"/>
          <w:sz w:val="24"/>
        </w:rPr>
        <w:t xml:space="preserve"> </w:t>
      </w:r>
      <w:r>
        <w:rPr>
          <w:rFonts w:ascii="Times New Roman" w:eastAsia="Calibri" w:hAnsi="Times New Roman"/>
          <w:sz w:val="24"/>
        </w:rPr>
        <w:t>With respect to key elements for PEFA scoring the situations is:</w:t>
      </w:r>
    </w:p>
    <w:p w14:paraId="788A0842" w14:textId="77777777" w:rsidR="007518E4" w:rsidRDefault="007518E4" w:rsidP="000C5978">
      <w:pPr>
        <w:pStyle w:val="ListParagraph"/>
        <w:widowControl w:val="0"/>
        <w:numPr>
          <w:ilvl w:val="0"/>
          <w:numId w:val="73"/>
        </w:numPr>
        <w:autoSpaceDE w:val="0"/>
        <w:autoSpaceDN w:val="0"/>
        <w:adjustRightInd w:val="0"/>
        <w:spacing w:before="0" w:after="120"/>
        <w:contextualSpacing w:val="0"/>
        <w:rPr>
          <w:rFonts w:ascii="Times New Roman" w:eastAsia="Calibri" w:hAnsi="Times New Roman"/>
          <w:color w:val="000000"/>
          <w:sz w:val="24"/>
        </w:rPr>
      </w:pPr>
      <w:r>
        <w:rPr>
          <w:rFonts w:ascii="Times New Roman" w:eastAsia="Calibri" w:hAnsi="Times New Roman"/>
          <w:color w:val="000000"/>
          <w:sz w:val="24"/>
        </w:rPr>
        <w:t>Element (1)</w:t>
      </w:r>
      <w:r w:rsidRPr="007C0F51">
        <w:rPr>
          <w:rFonts w:ascii="Times New Roman" w:eastAsia="Calibri" w:hAnsi="Times New Roman"/>
          <w:color w:val="000000"/>
          <w:sz w:val="24"/>
        </w:rPr>
        <w:t xml:space="preserve"> fulfilled: The Decree 03/PM and corresponding IRR </w:t>
      </w:r>
      <w:r>
        <w:rPr>
          <w:rFonts w:ascii="Times New Roman" w:eastAsia="Calibri" w:hAnsi="Times New Roman"/>
          <w:color w:val="000000"/>
          <w:sz w:val="24"/>
        </w:rPr>
        <w:t xml:space="preserve">is </w:t>
      </w:r>
      <w:r w:rsidRPr="007C0F51">
        <w:rPr>
          <w:rFonts w:ascii="Times New Roman" w:eastAsia="Calibri" w:hAnsi="Times New Roman"/>
          <w:color w:val="000000"/>
          <w:sz w:val="24"/>
        </w:rPr>
        <w:t xml:space="preserve">not accessible on any government website. The Government Gazette which published these is also not available on the internet. </w:t>
      </w:r>
    </w:p>
    <w:p w14:paraId="626BBFBD" w14:textId="77777777" w:rsidR="007518E4" w:rsidRPr="007C0F51" w:rsidRDefault="007518E4" w:rsidP="000C5978">
      <w:pPr>
        <w:pStyle w:val="ListParagraph"/>
        <w:widowControl w:val="0"/>
        <w:numPr>
          <w:ilvl w:val="0"/>
          <w:numId w:val="73"/>
        </w:numPr>
        <w:autoSpaceDE w:val="0"/>
        <w:autoSpaceDN w:val="0"/>
        <w:adjustRightInd w:val="0"/>
        <w:spacing w:before="0" w:after="120"/>
        <w:contextualSpacing w:val="0"/>
        <w:rPr>
          <w:rFonts w:ascii="Times New Roman" w:eastAsia="Calibri" w:hAnsi="Times New Roman"/>
          <w:color w:val="000000"/>
          <w:sz w:val="24"/>
        </w:rPr>
      </w:pPr>
      <w:r w:rsidRPr="007C0F51">
        <w:rPr>
          <w:rFonts w:ascii="Times New Roman" w:eastAsia="Calibri" w:hAnsi="Times New Roman"/>
          <w:color w:val="000000"/>
          <w:sz w:val="24"/>
        </w:rPr>
        <w:t xml:space="preserve">Element (2) not fulfilled: Government procurement plans are internally prepared by procuring entities as part of budget </w:t>
      </w:r>
      <w:r w:rsidR="000C5978" w:rsidRPr="007C0F51">
        <w:rPr>
          <w:rFonts w:ascii="Times New Roman" w:eastAsia="Calibri" w:hAnsi="Times New Roman"/>
          <w:color w:val="000000"/>
          <w:sz w:val="24"/>
        </w:rPr>
        <w:t>proposals but</w:t>
      </w:r>
      <w:r w:rsidRPr="007C0F51">
        <w:rPr>
          <w:rFonts w:ascii="Times New Roman" w:eastAsia="Calibri" w:hAnsi="Times New Roman"/>
          <w:color w:val="000000"/>
          <w:sz w:val="24"/>
        </w:rPr>
        <w:t xml:space="preserve"> are not published as this is not required by the current legislation.</w:t>
      </w:r>
    </w:p>
    <w:p w14:paraId="5AA7A7ED" w14:textId="77777777" w:rsidR="007518E4" w:rsidRPr="007C0F51" w:rsidRDefault="007518E4" w:rsidP="000C5978">
      <w:pPr>
        <w:pStyle w:val="ListParagraph"/>
        <w:widowControl w:val="0"/>
        <w:numPr>
          <w:ilvl w:val="0"/>
          <w:numId w:val="73"/>
        </w:numPr>
        <w:autoSpaceDE w:val="0"/>
        <w:autoSpaceDN w:val="0"/>
        <w:adjustRightInd w:val="0"/>
        <w:spacing w:before="0" w:after="120"/>
        <w:contextualSpacing w:val="0"/>
        <w:rPr>
          <w:rFonts w:ascii="Times New Roman" w:eastAsia="Calibri" w:hAnsi="Times New Roman"/>
          <w:color w:val="000000"/>
          <w:sz w:val="24"/>
        </w:rPr>
      </w:pPr>
      <w:r w:rsidRPr="007C0F51">
        <w:rPr>
          <w:rFonts w:ascii="Times New Roman" w:eastAsia="Calibri" w:hAnsi="Times New Roman"/>
          <w:color w:val="000000"/>
          <w:sz w:val="24"/>
        </w:rPr>
        <w:t>E</w:t>
      </w:r>
      <w:r>
        <w:rPr>
          <w:rFonts w:ascii="Times New Roman" w:eastAsia="Calibri" w:hAnsi="Times New Roman"/>
          <w:color w:val="000000"/>
          <w:sz w:val="24"/>
        </w:rPr>
        <w:t>lement (3)</w:t>
      </w:r>
      <w:r w:rsidRPr="007C0F51">
        <w:rPr>
          <w:rFonts w:ascii="Times New Roman" w:eastAsia="Calibri" w:hAnsi="Times New Roman"/>
          <w:color w:val="000000"/>
          <w:sz w:val="24"/>
        </w:rPr>
        <w:t xml:space="preserve"> fulfilled: Procuring entities publicize all tenders themselves. Bidding opportunities are routinely published in the newspapers but not systematically on procuring ministry’s or entity’s websites. The Decree states that </w:t>
      </w:r>
      <w:r w:rsidRPr="007C0F51">
        <w:rPr>
          <w:rFonts w:ascii="Times New Roman" w:eastAsia="Calibri" w:hAnsi="Times New Roman"/>
          <w:color w:val="0A0A0A"/>
          <w:sz w:val="24"/>
        </w:rPr>
        <w:t xml:space="preserve">an invitation to tender, or an invitation to prequalify, shall be published in two national widely circulated newspapers and, in the case of international tendering, shall also be published in internationally recognized papers in the English language, and in other media of wide international circulation. </w:t>
      </w:r>
    </w:p>
    <w:p w14:paraId="6CE20902" w14:textId="77777777" w:rsidR="007518E4" w:rsidRPr="007C0F51" w:rsidRDefault="007518E4" w:rsidP="000C5978">
      <w:pPr>
        <w:pStyle w:val="ListParagraph"/>
        <w:widowControl w:val="0"/>
        <w:numPr>
          <w:ilvl w:val="0"/>
          <w:numId w:val="73"/>
        </w:numPr>
        <w:autoSpaceDE w:val="0"/>
        <w:autoSpaceDN w:val="0"/>
        <w:adjustRightInd w:val="0"/>
        <w:spacing w:before="0" w:after="120"/>
        <w:contextualSpacing w:val="0"/>
        <w:rPr>
          <w:rFonts w:ascii="Times New Roman" w:eastAsia="Calibri" w:hAnsi="Times New Roman"/>
          <w:color w:val="000000"/>
          <w:sz w:val="24"/>
        </w:rPr>
      </w:pPr>
      <w:r w:rsidRPr="007C0F51">
        <w:rPr>
          <w:rFonts w:ascii="Times New Roman" w:eastAsia="Calibri" w:hAnsi="Times New Roman"/>
          <w:color w:val="000000"/>
          <w:sz w:val="24"/>
        </w:rPr>
        <w:t xml:space="preserve">Element (4) not fulfilled: Information on contract awards is not published as not required by any legal provision. </w:t>
      </w:r>
    </w:p>
    <w:p w14:paraId="368090BB" w14:textId="77777777" w:rsidR="007518E4" w:rsidRPr="007C0F51" w:rsidRDefault="007518E4" w:rsidP="000C5978">
      <w:pPr>
        <w:pStyle w:val="ListParagraph"/>
        <w:widowControl w:val="0"/>
        <w:numPr>
          <w:ilvl w:val="0"/>
          <w:numId w:val="73"/>
        </w:numPr>
        <w:autoSpaceDE w:val="0"/>
        <w:autoSpaceDN w:val="0"/>
        <w:adjustRightInd w:val="0"/>
        <w:spacing w:before="0" w:after="120"/>
        <w:contextualSpacing w:val="0"/>
        <w:rPr>
          <w:rFonts w:ascii="Times New Roman" w:eastAsia="Calibri" w:hAnsi="Times New Roman"/>
          <w:color w:val="000000"/>
          <w:sz w:val="24"/>
        </w:rPr>
      </w:pPr>
      <w:r w:rsidRPr="007C0F51">
        <w:rPr>
          <w:rFonts w:ascii="Times New Roman" w:eastAsia="Calibri" w:hAnsi="Times New Roman"/>
          <w:color w:val="000000"/>
          <w:sz w:val="24"/>
        </w:rPr>
        <w:t xml:space="preserve">Element (5) not fulfilled: No information is published on complaints and their resolution.  </w:t>
      </w:r>
    </w:p>
    <w:p w14:paraId="7D3D2B46" w14:textId="77777777" w:rsidR="007518E4" w:rsidRPr="007C0F51" w:rsidRDefault="007518E4" w:rsidP="000C5978">
      <w:pPr>
        <w:pStyle w:val="ListParagraph"/>
        <w:widowControl w:val="0"/>
        <w:numPr>
          <w:ilvl w:val="0"/>
          <w:numId w:val="73"/>
        </w:numPr>
        <w:autoSpaceDE w:val="0"/>
        <w:autoSpaceDN w:val="0"/>
        <w:adjustRightInd w:val="0"/>
        <w:spacing w:before="0" w:after="120"/>
        <w:contextualSpacing w:val="0"/>
        <w:rPr>
          <w:rFonts w:ascii="Times New Roman" w:eastAsia="Calibri" w:hAnsi="Times New Roman"/>
          <w:color w:val="000000"/>
          <w:sz w:val="24"/>
        </w:rPr>
      </w:pPr>
      <w:r w:rsidRPr="007C0F51">
        <w:rPr>
          <w:rFonts w:ascii="Times New Roman" w:eastAsia="Calibri" w:hAnsi="Times New Roman"/>
          <w:color w:val="000000"/>
          <w:sz w:val="24"/>
        </w:rPr>
        <w:t xml:space="preserve">Element (6) not fulfilled: No procurement statistics are available to the public, and none are being produced even internally. </w:t>
      </w:r>
    </w:p>
    <w:p w14:paraId="2EB2185D" w14:textId="77777777" w:rsidR="007518E4" w:rsidRPr="00303823" w:rsidRDefault="007518E4" w:rsidP="008037D9">
      <w:pPr>
        <w:pStyle w:val="ListParagraph"/>
        <w:numPr>
          <w:ilvl w:val="0"/>
          <w:numId w:val="72"/>
        </w:numPr>
        <w:spacing w:after="240"/>
        <w:ind w:left="0"/>
        <w:contextualSpacing w:val="0"/>
        <w:rPr>
          <w:rFonts w:ascii="Times New Roman" w:eastAsia="Calibri" w:hAnsi="Times New Roman"/>
          <w:sz w:val="24"/>
        </w:rPr>
      </w:pPr>
      <w:r w:rsidRPr="00382A38">
        <w:rPr>
          <w:rFonts w:ascii="Times New Roman" w:eastAsia="Calibri" w:hAnsi="Times New Roman"/>
          <w:b/>
          <w:sz w:val="24"/>
        </w:rPr>
        <w:t>Key procurement information is not made available to the public beyond legislation and competitive bidding opportunities</w:t>
      </w:r>
      <w:r w:rsidRPr="00303823">
        <w:rPr>
          <w:rFonts w:ascii="Times New Roman" w:eastAsia="Calibri" w:hAnsi="Times New Roman"/>
          <w:sz w:val="24"/>
        </w:rPr>
        <w:t>: Score D</w:t>
      </w:r>
    </w:p>
    <w:p w14:paraId="015D6C0D" w14:textId="77777777" w:rsidR="007518E4" w:rsidRPr="005701D3" w:rsidRDefault="007518E4" w:rsidP="00382A38">
      <w:pPr>
        <w:spacing w:after="240"/>
        <w:ind w:left="0"/>
        <w:rPr>
          <w:rFonts w:ascii="Times New Roman" w:eastAsia="Calibri" w:hAnsi="Times New Roman"/>
          <w:b/>
          <w:bCs/>
          <w:color w:val="92D050"/>
          <w:spacing w:val="-1"/>
          <w:sz w:val="24"/>
        </w:rPr>
      </w:pPr>
      <w:r w:rsidRPr="005701D3">
        <w:rPr>
          <w:rFonts w:ascii="Times New Roman" w:eastAsia="Calibri" w:hAnsi="Times New Roman"/>
          <w:b/>
          <w:bCs/>
          <w:color w:val="92D050"/>
          <w:spacing w:val="-1"/>
          <w:sz w:val="24"/>
        </w:rPr>
        <w:t xml:space="preserve">24.4. Procurement </w:t>
      </w:r>
      <w:r>
        <w:rPr>
          <w:rFonts w:ascii="Times New Roman" w:eastAsia="Calibri" w:hAnsi="Times New Roman"/>
          <w:b/>
          <w:bCs/>
          <w:color w:val="92D050"/>
          <w:spacing w:val="-1"/>
          <w:sz w:val="24"/>
        </w:rPr>
        <w:t>c</w:t>
      </w:r>
      <w:r w:rsidRPr="005701D3">
        <w:rPr>
          <w:rFonts w:ascii="Times New Roman" w:eastAsia="Calibri" w:hAnsi="Times New Roman"/>
          <w:b/>
          <w:bCs/>
          <w:color w:val="92D050"/>
          <w:spacing w:val="-1"/>
          <w:sz w:val="24"/>
        </w:rPr>
        <w:t xml:space="preserve">omplaints </w:t>
      </w:r>
      <w:r>
        <w:rPr>
          <w:rFonts w:ascii="Times New Roman" w:eastAsia="Calibri" w:hAnsi="Times New Roman"/>
          <w:b/>
          <w:bCs/>
          <w:color w:val="92D050"/>
          <w:spacing w:val="-1"/>
          <w:sz w:val="24"/>
        </w:rPr>
        <w:t>m</w:t>
      </w:r>
      <w:r w:rsidRPr="005701D3">
        <w:rPr>
          <w:rFonts w:ascii="Times New Roman" w:eastAsia="Calibri" w:hAnsi="Times New Roman"/>
          <w:b/>
          <w:bCs/>
          <w:color w:val="92D050"/>
          <w:spacing w:val="-1"/>
          <w:sz w:val="24"/>
        </w:rPr>
        <w:t>anagement</w:t>
      </w:r>
    </w:p>
    <w:p w14:paraId="7806CE0A" w14:textId="77777777" w:rsidR="007518E4" w:rsidRPr="00097148" w:rsidRDefault="007518E4" w:rsidP="008037D9">
      <w:pPr>
        <w:pStyle w:val="ListParagraph"/>
        <w:numPr>
          <w:ilvl w:val="0"/>
          <w:numId w:val="72"/>
        </w:numPr>
        <w:autoSpaceDE w:val="0"/>
        <w:autoSpaceDN w:val="0"/>
        <w:adjustRightInd w:val="0"/>
        <w:spacing w:after="240"/>
        <w:ind w:left="0"/>
        <w:contextualSpacing w:val="0"/>
        <w:rPr>
          <w:rFonts w:ascii="Times New Roman" w:hAnsi="Times New Roman"/>
          <w:sz w:val="24"/>
        </w:rPr>
      </w:pPr>
      <w:r w:rsidRPr="00382A38">
        <w:rPr>
          <w:rFonts w:ascii="Times New Roman" w:hAnsi="Times New Roman"/>
          <w:b/>
          <w:sz w:val="24"/>
        </w:rPr>
        <w:t>No clear specification for the procurement complaints management is in place</w:t>
      </w:r>
      <w:r w:rsidRPr="00303823">
        <w:rPr>
          <w:rFonts w:ascii="Times New Roman" w:hAnsi="Times New Roman"/>
          <w:sz w:val="24"/>
        </w:rPr>
        <w:t>.</w:t>
      </w:r>
      <w:r w:rsidRPr="00097148">
        <w:rPr>
          <w:rFonts w:ascii="Times New Roman" w:hAnsi="Times New Roman"/>
          <w:sz w:val="24"/>
        </w:rPr>
        <w:t xml:space="preserve"> Different practices apply in different ministries. </w:t>
      </w:r>
      <w:proofErr w:type="spellStart"/>
      <w:r w:rsidRPr="00097148">
        <w:rPr>
          <w:rFonts w:ascii="Times New Roman" w:hAnsi="Times New Roman"/>
          <w:sz w:val="24"/>
        </w:rPr>
        <w:t>MoES</w:t>
      </w:r>
      <w:proofErr w:type="spellEnd"/>
      <w:r w:rsidRPr="00097148">
        <w:rPr>
          <w:rFonts w:ascii="Times New Roman" w:hAnsi="Times New Roman"/>
          <w:sz w:val="24"/>
        </w:rPr>
        <w:t xml:space="preserve"> does not report any complaints mechanism or procedure. </w:t>
      </w:r>
      <w:proofErr w:type="spellStart"/>
      <w:r w:rsidRPr="00097148">
        <w:rPr>
          <w:rFonts w:ascii="Times New Roman" w:hAnsi="Times New Roman"/>
          <w:sz w:val="24"/>
        </w:rPr>
        <w:t>MoPW</w:t>
      </w:r>
      <w:proofErr w:type="spellEnd"/>
      <w:r w:rsidRPr="00097148">
        <w:rPr>
          <w:rFonts w:ascii="Times New Roman" w:hAnsi="Times New Roman"/>
          <w:sz w:val="24"/>
        </w:rPr>
        <w:t xml:space="preserve"> reports that complaints received for big infrastructure projects are received by </w:t>
      </w:r>
      <w:proofErr w:type="spellStart"/>
      <w:r w:rsidRPr="00097148">
        <w:rPr>
          <w:rFonts w:ascii="Times New Roman" w:hAnsi="Times New Roman"/>
          <w:sz w:val="24"/>
        </w:rPr>
        <w:t>MoPW</w:t>
      </w:r>
      <w:proofErr w:type="spellEnd"/>
      <w:r w:rsidRPr="00097148">
        <w:rPr>
          <w:rFonts w:ascii="Times New Roman" w:hAnsi="Times New Roman"/>
          <w:sz w:val="24"/>
        </w:rPr>
        <w:t xml:space="preserve"> Inspection Department for review and recommendations to the Minister. Such procedure will concern donor-funded projects only. There is no provision for judicial or external review of decisions made by implementing bodies in the procuring entity’s Bidding Evaluation Committee or prescription of a time limit to review and take a final de</w:t>
      </w:r>
      <w:r w:rsidR="000C5978">
        <w:rPr>
          <w:rFonts w:ascii="Times New Roman" w:hAnsi="Times New Roman"/>
          <w:sz w:val="24"/>
        </w:rPr>
        <w:t xml:space="preserve">cision on the complaint cases. </w:t>
      </w:r>
      <w:r w:rsidRPr="00097148">
        <w:rPr>
          <w:rFonts w:ascii="Times New Roman" w:hAnsi="Times New Roman"/>
          <w:sz w:val="24"/>
        </w:rPr>
        <w:t xml:space="preserve">With respect to the PEFA scoring criteria </w:t>
      </w:r>
      <w:r>
        <w:rPr>
          <w:rFonts w:ascii="Times New Roman" w:hAnsi="Times New Roman"/>
          <w:sz w:val="24"/>
        </w:rPr>
        <w:t>f</w:t>
      </w:r>
      <w:r w:rsidRPr="00097148">
        <w:rPr>
          <w:rFonts w:ascii="Times New Roman" w:hAnsi="Times New Roman"/>
          <w:sz w:val="24"/>
        </w:rPr>
        <w:t>ull adherence to the indicator requires that complaints are reviewed by a body that</w:t>
      </w:r>
      <w:r>
        <w:rPr>
          <w:rFonts w:ascii="Times New Roman" w:hAnsi="Times New Roman"/>
          <w:sz w:val="24"/>
        </w:rPr>
        <w:t>:</w:t>
      </w:r>
    </w:p>
    <w:p w14:paraId="381B52FD" w14:textId="77777777" w:rsidR="007518E4" w:rsidRPr="00097148" w:rsidRDefault="007518E4" w:rsidP="000C5978">
      <w:pPr>
        <w:pStyle w:val="ListParagraph"/>
        <w:numPr>
          <w:ilvl w:val="0"/>
          <w:numId w:val="74"/>
        </w:numPr>
        <w:autoSpaceDE w:val="0"/>
        <w:autoSpaceDN w:val="0"/>
        <w:adjustRightInd w:val="0"/>
        <w:spacing w:after="120"/>
        <w:contextualSpacing w:val="0"/>
        <w:rPr>
          <w:rFonts w:ascii="Times New Roman" w:eastAsia="Calibri" w:hAnsi="Times New Roman"/>
          <w:bCs/>
          <w:noProof/>
          <w:sz w:val="24"/>
        </w:rPr>
      </w:pPr>
      <w:r w:rsidRPr="00097148">
        <w:rPr>
          <w:rFonts w:ascii="Times New Roman" w:eastAsia="Calibri" w:hAnsi="Times New Roman"/>
          <w:bCs/>
          <w:noProof/>
          <w:sz w:val="24"/>
        </w:rPr>
        <w:t xml:space="preserve">Element (1) </w:t>
      </w:r>
      <w:r>
        <w:rPr>
          <w:rFonts w:ascii="Times New Roman" w:eastAsia="Calibri" w:hAnsi="Times New Roman"/>
          <w:bCs/>
          <w:noProof/>
          <w:sz w:val="24"/>
        </w:rPr>
        <w:t>“</w:t>
      </w:r>
      <w:r w:rsidRPr="00097148">
        <w:rPr>
          <w:rFonts w:ascii="Times New Roman" w:hAnsi="Times New Roman"/>
          <w:sz w:val="24"/>
        </w:rPr>
        <w:t>not involved in any capacity in procurement transactions or in the process leading to contract award decisions</w:t>
      </w:r>
      <w:r>
        <w:rPr>
          <w:rFonts w:ascii="Times New Roman" w:hAnsi="Times New Roman"/>
          <w:sz w:val="24"/>
        </w:rPr>
        <w:t>”</w:t>
      </w:r>
      <w:r w:rsidRPr="00097148">
        <w:rPr>
          <w:rFonts w:ascii="Times New Roman" w:eastAsia="Calibri" w:hAnsi="Times New Roman"/>
          <w:bCs/>
          <w:noProof/>
          <w:sz w:val="24"/>
        </w:rPr>
        <w:t xml:space="preserve"> </w:t>
      </w:r>
      <w:r>
        <w:rPr>
          <w:rFonts w:ascii="Times New Roman" w:eastAsia="Calibri" w:hAnsi="Times New Roman"/>
          <w:bCs/>
          <w:noProof/>
          <w:sz w:val="24"/>
        </w:rPr>
        <w:t xml:space="preserve">is not </w:t>
      </w:r>
      <w:r w:rsidRPr="00097148">
        <w:rPr>
          <w:rFonts w:ascii="Times New Roman" w:eastAsia="Calibri" w:hAnsi="Times New Roman"/>
          <w:bCs/>
          <w:noProof/>
          <w:sz w:val="24"/>
        </w:rPr>
        <w:t>fulfilled</w:t>
      </w:r>
      <w:r>
        <w:rPr>
          <w:rFonts w:ascii="Times New Roman" w:eastAsia="Calibri" w:hAnsi="Times New Roman"/>
          <w:bCs/>
          <w:noProof/>
          <w:sz w:val="24"/>
        </w:rPr>
        <w:t xml:space="preserve">.  In </w:t>
      </w:r>
      <w:r w:rsidRPr="00097148">
        <w:rPr>
          <w:rFonts w:ascii="Times New Roman" w:eastAsia="Calibri" w:hAnsi="Times New Roman"/>
          <w:bCs/>
          <w:noProof/>
          <w:sz w:val="24"/>
        </w:rPr>
        <w:t xml:space="preserve">the case of MoPW </w:t>
      </w:r>
      <w:r>
        <w:rPr>
          <w:rFonts w:ascii="Times New Roman" w:eastAsia="Calibri" w:hAnsi="Times New Roman"/>
          <w:bCs/>
          <w:noProof/>
          <w:sz w:val="24"/>
        </w:rPr>
        <w:t>t</w:t>
      </w:r>
      <w:r w:rsidRPr="00097148">
        <w:rPr>
          <w:rFonts w:ascii="Times New Roman" w:eastAsia="Calibri" w:hAnsi="Times New Roman"/>
          <w:bCs/>
          <w:noProof/>
          <w:sz w:val="24"/>
        </w:rPr>
        <w:t xml:space="preserve">he </w:t>
      </w:r>
      <w:r>
        <w:rPr>
          <w:rFonts w:ascii="Times New Roman" w:eastAsia="Calibri" w:hAnsi="Times New Roman"/>
          <w:bCs/>
          <w:noProof/>
          <w:sz w:val="24"/>
        </w:rPr>
        <w:t>Inspection D</w:t>
      </w:r>
      <w:r w:rsidRPr="00097148">
        <w:rPr>
          <w:rFonts w:ascii="Times New Roman" w:eastAsia="Calibri" w:hAnsi="Times New Roman"/>
          <w:bCs/>
          <w:noProof/>
          <w:sz w:val="24"/>
        </w:rPr>
        <w:t xml:space="preserve">epartment is independent </w:t>
      </w:r>
      <w:r>
        <w:rPr>
          <w:rFonts w:ascii="Times New Roman" w:eastAsia="Calibri" w:hAnsi="Times New Roman"/>
          <w:bCs/>
          <w:noProof/>
          <w:sz w:val="24"/>
        </w:rPr>
        <w:t xml:space="preserve">of the awarding </w:t>
      </w:r>
      <w:r w:rsidRPr="00097148">
        <w:rPr>
          <w:rFonts w:ascii="Times New Roman" w:eastAsia="Calibri" w:hAnsi="Times New Roman"/>
          <w:bCs/>
          <w:noProof/>
          <w:sz w:val="24"/>
        </w:rPr>
        <w:t xml:space="preserve">and reports directly to the Minister but its review and recommendations are not published and not binding, reducing the effectiveness of its role. </w:t>
      </w:r>
      <w:r>
        <w:rPr>
          <w:rFonts w:ascii="Times New Roman" w:eastAsia="Calibri" w:hAnsi="Times New Roman"/>
          <w:bCs/>
          <w:noProof/>
          <w:sz w:val="24"/>
        </w:rPr>
        <w:t xml:space="preserve"> However this is still not independent of the institution itself.</w:t>
      </w:r>
    </w:p>
    <w:p w14:paraId="0B4B94F2" w14:textId="77777777" w:rsidR="007518E4" w:rsidRPr="00C214FB" w:rsidRDefault="007518E4" w:rsidP="000C5978">
      <w:pPr>
        <w:pStyle w:val="ListParagraph"/>
        <w:widowControl w:val="0"/>
        <w:numPr>
          <w:ilvl w:val="0"/>
          <w:numId w:val="74"/>
        </w:numPr>
        <w:autoSpaceDE w:val="0"/>
        <w:autoSpaceDN w:val="0"/>
        <w:adjustRightInd w:val="0"/>
        <w:spacing w:before="0" w:after="120"/>
        <w:ind w:left="714" w:hanging="357"/>
        <w:contextualSpacing w:val="0"/>
        <w:rPr>
          <w:rFonts w:ascii="Times New Roman" w:eastAsia="Calibri" w:hAnsi="Times New Roman"/>
          <w:bCs/>
          <w:noProof/>
          <w:sz w:val="24"/>
        </w:rPr>
      </w:pPr>
      <w:r w:rsidRPr="00C214FB">
        <w:rPr>
          <w:rFonts w:ascii="Times New Roman" w:eastAsia="Calibri" w:hAnsi="Times New Roman"/>
          <w:bCs/>
          <w:noProof/>
          <w:sz w:val="24"/>
        </w:rPr>
        <w:t>Element (2)</w:t>
      </w:r>
      <w:r>
        <w:rPr>
          <w:rFonts w:ascii="Times New Roman" w:eastAsia="Calibri" w:hAnsi="Times New Roman"/>
          <w:bCs/>
          <w:noProof/>
          <w:sz w:val="24"/>
        </w:rPr>
        <w:t xml:space="preserve"> “</w:t>
      </w:r>
      <w:r w:rsidRPr="00097148">
        <w:rPr>
          <w:rFonts w:ascii="Times New Roman" w:eastAsia="Calibri" w:hAnsi="Times New Roman"/>
          <w:bCs/>
          <w:noProof/>
          <w:sz w:val="24"/>
        </w:rPr>
        <w:t>does not</w:t>
      </w:r>
      <w:r w:rsidRPr="00097148">
        <w:rPr>
          <w:rFonts w:ascii="Times New Roman" w:hAnsi="Times New Roman"/>
          <w:sz w:val="24"/>
        </w:rPr>
        <w:t xml:space="preserve"> charge fees that prohibit access by concerned parties</w:t>
      </w:r>
      <w:r>
        <w:rPr>
          <w:rFonts w:ascii="Times New Roman" w:hAnsi="Times New Roman"/>
          <w:sz w:val="24"/>
        </w:rPr>
        <w:t>” appears fulfilled</w:t>
      </w:r>
      <w:r>
        <w:rPr>
          <w:rFonts w:ascii="Times New Roman" w:eastAsia="Calibri" w:hAnsi="Times New Roman"/>
          <w:bCs/>
          <w:noProof/>
          <w:sz w:val="24"/>
        </w:rPr>
        <w:t>.</w:t>
      </w:r>
      <w:r w:rsidRPr="00C214FB">
        <w:rPr>
          <w:rFonts w:ascii="Times New Roman" w:eastAsia="Calibri" w:hAnsi="Times New Roman"/>
          <w:bCs/>
          <w:noProof/>
          <w:sz w:val="24"/>
        </w:rPr>
        <w:t xml:space="preserve"> There is no provision for payment of fees to lodge complaints in procurement processes. The MoPW reports the existence of a hotline and a box to receive and handle </w:t>
      </w:r>
      <w:r w:rsidRPr="00C214FB">
        <w:rPr>
          <w:rFonts w:ascii="Times New Roman" w:eastAsia="Calibri" w:hAnsi="Times New Roman"/>
          <w:bCs/>
          <w:noProof/>
          <w:sz w:val="24"/>
        </w:rPr>
        <w:lastRenderedPageBreak/>
        <w:t>complaints information.</w:t>
      </w:r>
    </w:p>
    <w:p w14:paraId="6D9DC401" w14:textId="77777777" w:rsidR="007518E4" w:rsidRPr="00C214FB" w:rsidRDefault="007518E4" w:rsidP="000C5978">
      <w:pPr>
        <w:pStyle w:val="ListParagraph"/>
        <w:widowControl w:val="0"/>
        <w:numPr>
          <w:ilvl w:val="0"/>
          <w:numId w:val="74"/>
        </w:numPr>
        <w:autoSpaceDE w:val="0"/>
        <w:autoSpaceDN w:val="0"/>
        <w:adjustRightInd w:val="0"/>
        <w:spacing w:before="0" w:after="120"/>
        <w:ind w:left="714" w:hanging="357"/>
        <w:contextualSpacing w:val="0"/>
        <w:rPr>
          <w:rFonts w:ascii="Times New Roman" w:eastAsia="Calibri" w:hAnsi="Times New Roman"/>
          <w:bCs/>
          <w:noProof/>
          <w:sz w:val="24"/>
        </w:rPr>
      </w:pPr>
      <w:r w:rsidRPr="00C214FB">
        <w:rPr>
          <w:rFonts w:ascii="Times New Roman" w:eastAsia="Calibri" w:hAnsi="Times New Roman"/>
          <w:bCs/>
          <w:noProof/>
          <w:sz w:val="24"/>
        </w:rPr>
        <w:t xml:space="preserve">Element (3) </w:t>
      </w:r>
      <w:r>
        <w:rPr>
          <w:rFonts w:ascii="Times New Roman" w:eastAsia="Calibri" w:hAnsi="Times New Roman"/>
          <w:bCs/>
          <w:noProof/>
          <w:sz w:val="24"/>
        </w:rPr>
        <w:t>“</w:t>
      </w:r>
      <w:r w:rsidRPr="00C214FB">
        <w:rPr>
          <w:rFonts w:ascii="Times New Roman" w:hAnsi="Times New Roman"/>
          <w:sz w:val="24"/>
        </w:rPr>
        <w:t>follows processes for submission and resolution of complaints that are clearly defined and publicly available</w:t>
      </w:r>
      <w:r>
        <w:rPr>
          <w:rFonts w:ascii="Times New Roman" w:hAnsi="Times New Roman"/>
          <w:sz w:val="24"/>
        </w:rPr>
        <w:t>”</w:t>
      </w:r>
      <w:r w:rsidRPr="00C214FB">
        <w:rPr>
          <w:rFonts w:ascii="Times New Roman" w:eastAsia="Calibri" w:hAnsi="Times New Roman"/>
          <w:bCs/>
          <w:noProof/>
          <w:sz w:val="24"/>
        </w:rPr>
        <w:t xml:space="preserve"> </w:t>
      </w:r>
      <w:r>
        <w:rPr>
          <w:rFonts w:ascii="Times New Roman" w:eastAsia="Calibri" w:hAnsi="Times New Roman"/>
          <w:bCs/>
          <w:noProof/>
          <w:sz w:val="24"/>
        </w:rPr>
        <w:t xml:space="preserve">is </w:t>
      </w:r>
      <w:r w:rsidRPr="00C214FB">
        <w:rPr>
          <w:rFonts w:ascii="Times New Roman" w:eastAsia="Calibri" w:hAnsi="Times New Roman"/>
          <w:bCs/>
          <w:noProof/>
          <w:sz w:val="24"/>
        </w:rPr>
        <w:t>not fulfilled: Processes for submission and resolution of complaints are not clearly defined and publicly available, and in the MoPW case, no transparency regarding the review and decision process by the Inspection department reporting directly to the Minister.</w:t>
      </w:r>
    </w:p>
    <w:p w14:paraId="58754E20" w14:textId="77777777" w:rsidR="007518E4" w:rsidRPr="00C214FB" w:rsidRDefault="007518E4" w:rsidP="000C5978">
      <w:pPr>
        <w:pStyle w:val="ListParagraph"/>
        <w:widowControl w:val="0"/>
        <w:numPr>
          <w:ilvl w:val="0"/>
          <w:numId w:val="74"/>
        </w:numPr>
        <w:autoSpaceDE w:val="0"/>
        <w:autoSpaceDN w:val="0"/>
        <w:adjustRightInd w:val="0"/>
        <w:spacing w:before="0" w:after="120"/>
        <w:contextualSpacing w:val="0"/>
        <w:rPr>
          <w:rFonts w:ascii="Times New Roman" w:eastAsia="Calibri" w:hAnsi="Times New Roman"/>
          <w:bCs/>
          <w:noProof/>
          <w:sz w:val="24"/>
        </w:rPr>
      </w:pPr>
      <w:r w:rsidRPr="00C214FB">
        <w:rPr>
          <w:rFonts w:ascii="Times New Roman" w:eastAsia="Calibri" w:hAnsi="Times New Roman"/>
          <w:bCs/>
          <w:noProof/>
          <w:sz w:val="24"/>
        </w:rPr>
        <w:t xml:space="preserve">Element (4) </w:t>
      </w:r>
      <w:r>
        <w:rPr>
          <w:rFonts w:ascii="Times New Roman" w:eastAsia="Calibri" w:hAnsi="Times New Roman"/>
          <w:bCs/>
          <w:noProof/>
          <w:sz w:val="24"/>
        </w:rPr>
        <w:t>“</w:t>
      </w:r>
      <w:r w:rsidRPr="00C214FB">
        <w:rPr>
          <w:rFonts w:ascii="Times New Roman" w:hAnsi="Times New Roman"/>
          <w:sz w:val="24"/>
        </w:rPr>
        <w:t>exercises the authority to suspend the procurement process</w:t>
      </w:r>
      <w:r>
        <w:rPr>
          <w:rFonts w:ascii="Times New Roman" w:hAnsi="Times New Roman"/>
          <w:sz w:val="24"/>
        </w:rPr>
        <w:t>”</w:t>
      </w:r>
      <w:r w:rsidRPr="00C214FB">
        <w:rPr>
          <w:rFonts w:ascii="Times New Roman" w:eastAsia="Calibri" w:hAnsi="Times New Roman"/>
          <w:bCs/>
          <w:noProof/>
          <w:sz w:val="24"/>
        </w:rPr>
        <w:t xml:space="preserve"> not </w:t>
      </w:r>
      <w:r>
        <w:rPr>
          <w:rFonts w:ascii="Times New Roman" w:eastAsia="Calibri" w:hAnsi="Times New Roman"/>
          <w:bCs/>
          <w:noProof/>
          <w:sz w:val="24"/>
        </w:rPr>
        <w:t>fulfilled.</w:t>
      </w:r>
      <w:r w:rsidRPr="00C214FB">
        <w:rPr>
          <w:rFonts w:ascii="Times New Roman" w:eastAsia="Calibri" w:hAnsi="Times New Roman"/>
          <w:bCs/>
          <w:noProof/>
          <w:sz w:val="24"/>
        </w:rPr>
        <w:t xml:space="preserve">  </w:t>
      </w:r>
    </w:p>
    <w:p w14:paraId="274313E4" w14:textId="77777777" w:rsidR="007518E4" w:rsidRPr="00C214FB" w:rsidRDefault="007518E4" w:rsidP="000C5978">
      <w:pPr>
        <w:pStyle w:val="ListParagraph"/>
        <w:widowControl w:val="0"/>
        <w:numPr>
          <w:ilvl w:val="0"/>
          <w:numId w:val="74"/>
        </w:numPr>
        <w:autoSpaceDE w:val="0"/>
        <w:autoSpaceDN w:val="0"/>
        <w:adjustRightInd w:val="0"/>
        <w:spacing w:before="0" w:after="120"/>
        <w:contextualSpacing w:val="0"/>
        <w:rPr>
          <w:rFonts w:ascii="Times New Roman" w:eastAsia="Calibri" w:hAnsi="Times New Roman"/>
          <w:bCs/>
          <w:noProof/>
          <w:sz w:val="24"/>
        </w:rPr>
      </w:pPr>
      <w:r w:rsidRPr="00C214FB">
        <w:rPr>
          <w:rFonts w:ascii="Times New Roman" w:eastAsia="Calibri" w:hAnsi="Times New Roman"/>
          <w:bCs/>
          <w:noProof/>
          <w:sz w:val="24"/>
        </w:rPr>
        <w:t xml:space="preserve">Element (5) </w:t>
      </w:r>
      <w:r>
        <w:rPr>
          <w:rFonts w:ascii="Times New Roman" w:eastAsia="Calibri" w:hAnsi="Times New Roman"/>
          <w:bCs/>
          <w:noProof/>
          <w:sz w:val="24"/>
        </w:rPr>
        <w:t>“</w:t>
      </w:r>
      <w:r w:rsidRPr="00C214FB">
        <w:rPr>
          <w:rFonts w:ascii="Times New Roman" w:hAnsi="Times New Roman"/>
          <w:sz w:val="24"/>
        </w:rPr>
        <w:t>issues decisions within the timeframe specified in the rules/regulations</w:t>
      </w:r>
      <w:r>
        <w:rPr>
          <w:rFonts w:ascii="Times New Roman" w:hAnsi="Times New Roman"/>
          <w:sz w:val="24"/>
        </w:rPr>
        <w:t xml:space="preserve">” </w:t>
      </w:r>
      <w:r w:rsidRPr="00C214FB">
        <w:rPr>
          <w:rFonts w:ascii="Times New Roman" w:eastAsia="Calibri" w:hAnsi="Times New Roman"/>
          <w:bCs/>
          <w:noProof/>
          <w:sz w:val="24"/>
        </w:rPr>
        <w:t>not fulfilled: There is no data available about the timeframe for the resolution of complaints.</w:t>
      </w:r>
    </w:p>
    <w:p w14:paraId="535EEBBE" w14:textId="77777777" w:rsidR="007518E4" w:rsidRPr="00C214FB" w:rsidRDefault="007518E4" w:rsidP="000C5978">
      <w:pPr>
        <w:pStyle w:val="ListParagraph"/>
        <w:widowControl w:val="0"/>
        <w:numPr>
          <w:ilvl w:val="0"/>
          <w:numId w:val="74"/>
        </w:numPr>
        <w:autoSpaceDE w:val="0"/>
        <w:autoSpaceDN w:val="0"/>
        <w:adjustRightInd w:val="0"/>
        <w:spacing w:before="0" w:after="120"/>
        <w:contextualSpacing w:val="0"/>
        <w:rPr>
          <w:rFonts w:ascii="Times New Roman" w:eastAsia="Calibri" w:hAnsi="Times New Roman"/>
          <w:bCs/>
          <w:noProof/>
          <w:sz w:val="24"/>
        </w:rPr>
      </w:pPr>
      <w:r w:rsidRPr="00C214FB">
        <w:rPr>
          <w:rFonts w:ascii="Times New Roman" w:eastAsia="Calibri" w:hAnsi="Times New Roman"/>
          <w:bCs/>
          <w:noProof/>
          <w:sz w:val="24"/>
        </w:rPr>
        <w:t xml:space="preserve">Element (6) </w:t>
      </w:r>
      <w:r>
        <w:rPr>
          <w:rFonts w:ascii="Times New Roman" w:eastAsia="Calibri" w:hAnsi="Times New Roman"/>
          <w:bCs/>
          <w:noProof/>
          <w:sz w:val="24"/>
        </w:rPr>
        <w:t>“</w:t>
      </w:r>
      <w:r w:rsidRPr="00C214FB">
        <w:rPr>
          <w:rFonts w:ascii="Times New Roman" w:hAnsi="Times New Roman"/>
          <w:sz w:val="24"/>
        </w:rPr>
        <w:t>issues decisions that are binding on all parties (without precluding subsequent access to an external higher authority)</w:t>
      </w:r>
      <w:r>
        <w:rPr>
          <w:rFonts w:ascii="Times New Roman" w:hAnsi="Times New Roman"/>
          <w:sz w:val="24"/>
        </w:rPr>
        <w:t xml:space="preserve">” </w:t>
      </w:r>
      <w:r w:rsidRPr="00C214FB">
        <w:rPr>
          <w:rFonts w:ascii="Times New Roman" w:eastAsia="Calibri" w:hAnsi="Times New Roman"/>
          <w:bCs/>
          <w:noProof/>
          <w:sz w:val="24"/>
        </w:rPr>
        <w:t>not fulfilled: There is no data available on the final decision and resolution taken after the internal review of complaints.</w:t>
      </w:r>
    </w:p>
    <w:p w14:paraId="7B86B0A9" w14:textId="77777777" w:rsidR="007518E4" w:rsidRPr="00303823" w:rsidRDefault="007518E4" w:rsidP="008037D9">
      <w:pPr>
        <w:pStyle w:val="ListParagraph"/>
        <w:numPr>
          <w:ilvl w:val="0"/>
          <w:numId w:val="72"/>
        </w:numPr>
        <w:autoSpaceDE w:val="0"/>
        <w:autoSpaceDN w:val="0"/>
        <w:adjustRightInd w:val="0"/>
        <w:spacing w:after="240"/>
        <w:ind w:left="0"/>
        <w:contextualSpacing w:val="0"/>
        <w:rPr>
          <w:rFonts w:ascii="Times New Roman" w:hAnsi="Times New Roman"/>
          <w:sz w:val="24"/>
        </w:rPr>
      </w:pPr>
      <w:r w:rsidRPr="00382A38">
        <w:rPr>
          <w:rFonts w:ascii="Times New Roman" w:hAnsi="Times New Roman"/>
          <w:b/>
          <w:sz w:val="24"/>
        </w:rPr>
        <w:t>The absence of complaints registered and or reported by any of the selected ministries tends to reflect the absence of checks and balances on the government procurement decisions.</w:t>
      </w:r>
      <w:r w:rsidR="000C5978">
        <w:rPr>
          <w:rFonts w:ascii="Times New Roman" w:hAnsi="Times New Roman"/>
          <w:sz w:val="24"/>
        </w:rPr>
        <w:t xml:space="preserve"> This </w:t>
      </w:r>
      <w:r>
        <w:rPr>
          <w:rFonts w:ascii="Times New Roman" w:hAnsi="Times New Roman"/>
          <w:sz w:val="24"/>
        </w:rPr>
        <w:t xml:space="preserve">contributes to a </w:t>
      </w:r>
      <w:r w:rsidRPr="00C214FB">
        <w:rPr>
          <w:rFonts w:ascii="Times New Roman" w:hAnsi="Times New Roman"/>
          <w:sz w:val="24"/>
        </w:rPr>
        <w:t xml:space="preserve">consequent lack of trust by the private sector that has no incentive to appeal a decision by the procuring entity </w:t>
      </w:r>
      <w:r>
        <w:rPr>
          <w:rFonts w:ascii="Times New Roman" w:hAnsi="Times New Roman"/>
          <w:sz w:val="24"/>
        </w:rPr>
        <w:t xml:space="preserve">as </w:t>
      </w:r>
      <w:r w:rsidRPr="00C214FB">
        <w:rPr>
          <w:rFonts w:ascii="Times New Roman" w:hAnsi="Times New Roman"/>
          <w:sz w:val="24"/>
        </w:rPr>
        <w:t xml:space="preserve">the complaints will not be handled according to </w:t>
      </w:r>
      <w:r w:rsidRPr="00303823">
        <w:rPr>
          <w:rFonts w:ascii="Times New Roman" w:hAnsi="Times New Roman"/>
          <w:sz w:val="24"/>
        </w:rPr>
        <w:t xml:space="preserve">clear rules </w:t>
      </w:r>
      <w:proofErr w:type="gramStart"/>
      <w:r w:rsidRPr="00303823">
        <w:rPr>
          <w:rFonts w:ascii="Times New Roman" w:hAnsi="Times New Roman"/>
          <w:sz w:val="24"/>
        </w:rPr>
        <w:t>and  the</w:t>
      </w:r>
      <w:proofErr w:type="gramEnd"/>
      <w:r w:rsidRPr="00303823">
        <w:rPr>
          <w:rFonts w:ascii="Times New Roman" w:hAnsi="Times New Roman"/>
          <w:sz w:val="24"/>
        </w:rPr>
        <w:t xml:space="preserve"> outcome of the appeal proceeding will not being published.</w:t>
      </w:r>
    </w:p>
    <w:p w14:paraId="79343F06" w14:textId="77777777" w:rsidR="007518E4" w:rsidRPr="00303823" w:rsidRDefault="007518E4" w:rsidP="008037D9">
      <w:pPr>
        <w:pStyle w:val="ListParagraph"/>
        <w:numPr>
          <w:ilvl w:val="0"/>
          <w:numId w:val="72"/>
        </w:numPr>
        <w:spacing w:after="240"/>
        <w:ind w:left="0"/>
        <w:contextualSpacing w:val="0"/>
        <w:rPr>
          <w:rFonts w:ascii="Times New Roman" w:hAnsi="Times New Roman"/>
          <w:sz w:val="24"/>
        </w:rPr>
      </w:pPr>
      <w:r w:rsidRPr="00382A38">
        <w:rPr>
          <w:rFonts w:ascii="Times New Roman" w:hAnsi="Times New Roman"/>
          <w:b/>
          <w:sz w:val="24"/>
        </w:rPr>
        <w:t>The procurement complaint system does not meet criterion (1) relating to an independent complaints body and only one of the other criteria (not charging fees):</w:t>
      </w:r>
      <w:r w:rsidRPr="00303823">
        <w:rPr>
          <w:rFonts w:ascii="Times New Roman" w:hAnsi="Times New Roman"/>
          <w:sz w:val="24"/>
        </w:rPr>
        <w:t xml:space="preserve"> Score D.</w:t>
      </w:r>
    </w:p>
    <w:p w14:paraId="6462BE4A" w14:textId="77777777" w:rsidR="007518E4" w:rsidRDefault="007518E4" w:rsidP="00382A38">
      <w:pPr>
        <w:pStyle w:val="Heading3"/>
        <w:spacing w:after="240"/>
        <w:ind w:left="0"/>
        <w:rPr>
          <w:rFonts w:ascii="Times New Roman" w:eastAsia="Calibri" w:hAnsi="Times New Roman"/>
          <w:b w:val="0"/>
          <w:bCs w:val="0"/>
          <w:color w:val="84C346"/>
          <w:spacing w:val="-1"/>
          <w:szCs w:val="28"/>
        </w:rPr>
      </w:pPr>
      <w:bookmarkStart w:id="93" w:name="_Toc518901810"/>
      <w:bookmarkStart w:id="94" w:name="_Toc4149005"/>
      <w:r w:rsidRPr="00FE6ED4">
        <w:rPr>
          <w:rFonts w:ascii="Times New Roman" w:eastAsia="Calibri" w:hAnsi="Times New Roman"/>
          <w:color w:val="84C346"/>
          <w:spacing w:val="-1"/>
          <w:szCs w:val="28"/>
        </w:rPr>
        <w:t xml:space="preserve">PI-25. Internal </w:t>
      </w:r>
      <w:r>
        <w:rPr>
          <w:rFonts w:ascii="Times New Roman" w:eastAsia="Calibri" w:hAnsi="Times New Roman"/>
          <w:color w:val="84C346"/>
          <w:spacing w:val="-1"/>
          <w:szCs w:val="28"/>
        </w:rPr>
        <w:t>c</w:t>
      </w:r>
      <w:r w:rsidRPr="00FE6ED4">
        <w:rPr>
          <w:rFonts w:ascii="Times New Roman" w:eastAsia="Calibri" w:hAnsi="Times New Roman"/>
          <w:color w:val="84C346"/>
          <w:spacing w:val="-1"/>
          <w:szCs w:val="28"/>
        </w:rPr>
        <w:t xml:space="preserve">ontrols </w:t>
      </w:r>
      <w:r>
        <w:rPr>
          <w:rFonts w:ascii="Times New Roman" w:eastAsia="Calibri" w:hAnsi="Times New Roman"/>
          <w:color w:val="84C346"/>
          <w:spacing w:val="-1"/>
          <w:szCs w:val="28"/>
        </w:rPr>
        <w:t>o</w:t>
      </w:r>
      <w:r w:rsidRPr="00FE6ED4">
        <w:rPr>
          <w:rFonts w:ascii="Times New Roman" w:eastAsia="Calibri" w:hAnsi="Times New Roman"/>
          <w:color w:val="84C346"/>
          <w:spacing w:val="-1"/>
          <w:szCs w:val="28"/>
        </w:rPr>
        <w:t xml:space="preserve">n </w:t>
      </w:r>
      <w:r>
        <w:rPr>
          <w:rFonts w:ascii="Times New Roman" w:eastAsia="Calibri" w:hAnsi="Times New Roman"/>
          <w:color w:val="84C346"/>
          <w:spacing w:val="-1"/>
          <w:szCs w:val="28"/>
        </w:rPr>
        <w:t>n</w:t>
      </w:r>
      <w:r w:rsidRPr="00FE6ED4">
        <w:rPr>
          <w:rFonts w:ascii="Times New Roman" w:eastAsia="Calibri" w:hAnsi="Times New Roman"/>
          <w:color w:val="84C346"/>
          <w:spacing w:val="-1"/>
          <w:szCs w:val="28"/>
        </w:rPr>
        <w:t>on</w:t>
      </w:r>
      <w:r>
        <w:rPr>
          <w:rFonts w:ascii="Times New Roman" w:eastAsia="Calibri" w:hAnsi="Times New Roman"/>
          <w:color w:val="84C346"/>
          <w:spacing w:val="-1"/>
          <w:szCs w:val="28"/>
        </w:rPr>
        <w:t>-s</w:t>
      </w:r>
      <w:r w:rsidRPr="00FE6ED4">
        <w:rPr>
          <w:rFonts w:ascii="Times New Roman" w:eastAsia="Calibri" w:hAnsi="Times New Roman"/>
          <w:color w:val="84C346"/>
          <w:spacing w:val="-1"/>
          <w:szCs w:val="28"/>
        </w:rPr>
        <w:t xml:space="preserve">alary </w:t>
      </w:r>
      <w:r>
        <w:rPr>
          <w:rFonts w:ascii="Times New Roman" w:eastAsia="Calibri" w:hAnsi="Times New Roman"/>
          <w:color w:val="84C346"/>
          <w:spacing w:val="-1"/>
          <w:szCs w:val="28"/>
        </w:rPr>
        <w:t>e</w:t>
      </w:r>
      <w:r w:rsidRPr="00FE6ED4">
        <w:rPr>
          <w:rFonts w:ascii="Times New Roman" w:eastAsia="Calibri" w:hAnsi="Times New Roman"/>
          <w:color w:val="84C346"/>
          <w:spacing w:val="-1"/>
          <w:szCs w:val="28"/>
        </w:rPr>
        <w:t>xpenditure</w:t>
      </w:r>
      <w:bookmarkEnd w:id="93"/>
      <w:bookmarkEnd w:id="94"/>
    </w:p>
    <w:p w14:paraId="3B2B197D" w14:textId="77777777" w:rsidR="007518E4" w:rsidRDefault="007518E4" w:rsidP="008037D9">
      <w:pPr>
        <w:pStyle w:val="ListParagraph"/>
        <w:numPr>
          <w:ilvl w:val="0"/>
          <w:numId w:val="72"/>
        </w:numPr>
        <w:spacing w:after="240"/>
        <w:ind w:left="0"/>
        <w:contextualSpacing w:val="0"/>
        <w:rPr>
          <w:rFonts w:ascii="Times New Roman" w:hAnsi="Times New Roman"/>
          <w:sz w:val="24"/>
        </w:rPr>
      </w:pPr>
      <w:r w:rsidRPr="00382A38">
        <w:rPr>
          <w:rFonts w:ascii="Times New Roman" w:hAnsi="Times New Roman"/>
          <w:b/>
          <w:sz w:val="24"/>
        </w:rPr>
        <w:t>This indicator measures the effectiveness of general internal controls for non-salary expenditures.</w:t>
      </w:r>
      <w:r w:rsidRPr="00937F39">
        <w:rPr>
          <w:rFonts w:ascii="Times New Roman" w:hAnsi="Times New Roman"/>
          <w:sz w:val="24"/>
        </w:rPr>
        <w:t xml:space="preserve"> Specific expenditure controls on public service sal</w:t>
      </w:r>
      <w:r w:rsidR="000C5978">
        <w:rPr>
          <w:rFonts w:ascii="Times New Roman" w:hAnsi="Times New Roman"/>
          <w:sz w:val="24"/>
        </w:rPr>
        <w:t xml:space="preserve">aries are considered in PI-23. </w:t>
      </w:r>
      <w:proofErr w:type="gramStart"/>
      <w:r w:rsidR="000C5978">
        <w:rPr>
          <w:rFonts w:ascii="Times New Roman" w:hAnsi="Times New Roman"/>
          <w:sz w:val="24"/>
        </w:rPr>
        <w:t>Time period</w:t>
      </w:r>
      <w:proofErr w:type="gramEnd"/>
      <w:r w:rsidR="000C5978">
        <w:rPr>
          <w:rFonts w:ascii="Times New Roman" w:hAnsi="Times New Roman"/>
          <w:sz w:val="24"/>
        </w:rPr>
        <w:t xml:space="preserve">: </w:t>
      </w:r>
      <w:r w:rsidRPr="00937F39">
        <w:rPr>
          <w:rFonts w:ascii="Times New Roman" w:hAnsi="Times New Roman"/>
          <w:sz w:val="24"/>
        </w:rPr>
        <w:t>At time of assessment and Coverage: Central Government.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1271"/>
        <w:gridCol w:w="4847"/>
      </w:tblGrid>
      <w:tr w:rsidR="007518E4" w:rsidRPr="008E34BC" w14:paraId="46D565D1" w14:textId="77777777" w:rsidTr="007518E4">
        <w:trPr>
          <w:trHeight w:val="397"/>
          <w:jc w:val="center"/>
        </w:trPr>
        <w:tc>
          <w:tcPr>
            <w:tcW w:w="16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7DACDE" w14:textId="77777777" w:rsidR="007518E4" w:rsidRPr="002E148D" w:rsidRDefault="007518E4" w:rsidP="000C5978">
            <w:pPr>
              <w:spacing w:before="0"/>
              <w:ind w:hanging="539"/>
              <w:jc w:val="center"/>
              <w:rPr>
                <w:rFonts w:ascii="Times New Roman" w:hAnsi="Times New Roman"/>
              </w:rPr>
            </w:pPr>
            <w:r w:rsidRPr="002E148D">
              <w:rPr>
                <w:rFonts w:ascii="Times New Roman" w:hAnsi="Times New Roman"/>
              </w:rPr>
              <w:t>Indicator/Dimension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5DC666" w14:textId="77777777" w:rsidR="007518E4" w:rsidRPr="002E148D" w:rsidRDefault="007518E4" w:rsidP="00DB50FA">
            <w:pPr>
              <w:spacing w:before="0"/>
              <w:ind w:left="0"/>
              <w:jc w:val="center"/>
              <w:rPr>
                <w:rFonts w:ascii="Times New Roman" w:hAnsi="Times New Roman"/>
              </w:rPr>
            </w:pPr>
            <w:r w:rsidRPr="002E148D">
              <w:rPr>
                <w:rFonts w:ascii="Times New Roman" w:hAnsi="Times New Roman"/>
              </w:rPr>
              <w:t>Score</w:t>
            </w:r>
          </w:p>
        </w:tc>
        <w:tc>
          <w:tcPr>
            <w:tcW w:w="26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90F360" w14:textId="77777777" w:rsidR="007518E4" w:rsidRPr="002E148D" w:rsidRDefault="007518E4" w:rsidP="000C5978">
            <w:pPr>
              <w:spacing w:before="0"/>
              <w:ind w:hanging="539"/>
              <w:jc w:val="center"/>
              <w:rPr>
                <w:rFonts w:ascii="Times New Roman" w:hAnsi="Times New Roman"/>
              </w:rPr>
            </w:pPr>
            <w:r w:rsidRPr="002E148D">
              <w:rPr>
                <w:rFonts w:ascii="Times New Roman" w:hAnsi="Times New Roman"/>
              </w:rPr>
              <w:t>Brief Explanation</w:t>
            </w:r>
          </w:p>
        </w:tc>
      </w:tr>
      <w:tr w:rsidR="007518E4" w:rsidRPr="008E34BC" w14:paraId="0253CBE0" w14:textId="77777777" w:rsidTr="007518E4">
        <w:trPr>
          <w:trHeight w:val="953"/>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03AFE8C2" w14:textId="77777777" w:rsidR="007518E4" w:rsidRPr="002E148D" w:rsidRDefault="007518E4" w:rsidP="00DB50FA">
            <w:pPr>
              <w:spacing w:before="0"/>
              <w:ind w:left="0"/>
              <w:rPr>
                <w:rFonts w:ascii="Times New Roman" w:hAnsi="Times New Roman"/>
              </w:rPr>
            </w:pPr>
            <w:r w:rsidRPr="002E148D">
              <w:rPr>
                <w:rFonts w:ascii="Times New Roman" w:hAnsi="Times New Roman"/>
                <w:bCs/>
              </w:rPr>
              <w:t xml:space="preserve">PI-25 Internal control on non-salary expenditure </w:t>
            </w:r>
          </w:p>
        </w:tc>
        <w:tc>
          <w:tcPr>
            <w:tcW w:w="705" w:type="pct"/>
            <w:tcBorders>
              <w:top w:val="single" w:sz="4" w:space="0" w:color="auto"/>
              <w:left w:val="single" w:sz="4" w:space="0" w:color="auto"/>
              <w:bottom w:val="single" w:sz="4" w:space="0" w:color="auto"/>
              <w:right w:val="single" w:sz="4" w:space="0" w:color="auto"/>
            </w:tcBorders>
            <w:vAlign w:val="center"/>
          </w:tcPr>
          <w:p w14:paraId="0E810830" w14:textId="77777777" w:rsidR="007518E4" w:rsidRPr="002E148D" w:rsidRDefault="007518E4" w:rsidP="00DB50FA">
            <w:pPr>
              <w:spacing w:before="0"/>
              <w:ind w:left="0"/>
              <w:jc w:val="center"/>
              <w:rPr>
                <w:rFonts w:ascii="Times New Roman" w:hAnsi="Times New Roman"/>
              </w:rPr>
            </w:pPr>
            <w:r w:rsidRPr="002E148D">
              <w:rPr>
                <w:rFonts w:ascii="Times New Roman" w:hAnsi="Times New Roman"/>
              </w:rPr>
              <w:t>C</w:t>
            </w:r>
            <w:r w:rsidR="000C44FB">
              <w:rPr>
                <w:rFonts w:ascii="Times New Roman" w:hAnsi="Times New Roman"/>
              </w:rPr>
              <w:t>+</w:t>
            </w:r>
          </w:p>
        </w:tc>
        <w:tc>
          <w:tcPr>
            <w:tcW w:w="2688" w:type="pct"/>
            <w:tcBorders>
              <w:top w:val="single" w:sz="4" w:space="0" w:color="auto"/>
              <w:left w:val="single" w:sz="4" w:space="0" w:color="auto"/>
              <w:bottom w:val="single" w:sz="4" w:space="0" w:color="auto"/>
              <w:right w:val="single" w:sz="4" w:space="0" w:color="auto"/>
            </w:tcBorders>
            <w:vAlign w:val="center"/>
            <w:hideMark/>
          </w:tcPr>
          <w:p w14:paraId="0723C546" w14:textId="77777777" w:rsidR="007518E4" w:rsidRPr="002E148D" w:rsidRDefault="007518E4" w:rsidP="00DB50FA">
            <w:pPr>
              <w:spacing w:before="0"/>
              <w:ind w:left="0"/>
              <w:rPr>
                <w:rFonts w:ascii="Times New Roman" w:hAnsi="Times New Roman"/>
              </w:rPr>
            </w:pPr>
            <w:r w:rsidRPr="002E148D">
              <w:rPr>
                <w:rFonts w:ascii="Times New Roman" w:eastAsia="Calibri" w:hAnsi="Times New Roman"/>
                <w:color w:val="000000"/>
              </w:rPr>
              <w:t>Dimension scores combined by method M2 (Average)</w:t>
            </w:r>
          </w:p>
        </w:tc>
      </w:tr>
      <w:tr w:rsidR="007518E4" w:rsidRPr="008E34BC" w14:paraId="1FBC517B" w14:textId="77777777" w:rsidTr="007518E4">
        <w:trPr>
          <w:trHeight w:val="53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63C101C0" w14:textId="77777777" w:rsidR="007518E4" w:rsidRPr="002E148D" w:rsidRDefault="007518E4" w:rsidP="00DB50FA">
            <w:pPr>
              <w:spacing w:before="0"/>
              <w:ind w:left="0"/>
              <w:rPr>
                <w:rFonts w:ascii="Times New Roman" w:hAnsi="Times New Roman"/>
              </w:rPr>
            </w:pPr>
            <w:r w:rsidRPr="002E148D">
              <w:rPr>
                <w:rFonts w:ascii="Times New Roman" w:hAnsi="Times New Roman"/>
              </w:rPr>
              <w:t>25.1 Segregation of duties</w:t>
            </w:r>
          </w:p>
        </w:tc>
        <w:tc>
          <w:tcPr>
            <w:tcW w:w="705" w:type="pct"/>
            <w:tcBorders>
              <w:top w:val="single" w:sz="4" w:space="0" w:color="auto"/>
              <w:left w:val="single" w:sz="4" w:space="0" w:color="auto"/>
              <w:bottom w:val="single" w:sz="4" w:space="0" w:color="auto"/>
              <w:right w:val="single" w:sz="4" w:space="0" w:color="auto"/>
            </w:tcBorders>
            <w:vAlign w:val="center"/>
          </w:tcPr>
          <w:p w14:paraId="7E6D177D" w14:textId="77777777" w:rsidR="007518E4" w:rsidRPr="002E148D" w:rsidRDefault="007518E4" w:rsidP="00DB50FA">
            <w:pPr>
              <w:spacing w:before="0"/>
              <w:ind w:left="0"/>
              <w:jc w:val="center"/>
              <w:rPr>
                <w:rFonts w:ascii="Times New Roman" w:hAnsi="Times New Roman"/>
              </w:rPr>
            </w:pPr>
            <w:r w:rsidRPr="002E148D">
              <w:rPr>
                <w:rFonts w:ascii="Times New Roman" w:hAnsi="Times New Roman"/>
              </w:rPr>
              <w:t>C</w:t>
            </w:r>
          </w:p>
        </w:tc>
        <w:tc>
          <w:tcPr>
            <w:tcW w:w="2688" w:type="pct"/>
            <w:tcBorders>
              <w:top w:val="single" w:sz="4" w:space="0" w:color="auto"/>
              <w:left w:val="single" w:sz="4" w:space="0" w:color="auto"/>
              <w:bottom w:val="single" w:sz="4" w:space="0" w:color="auto"/>
              <w:right w:val="single" w:sz="4" w:space="0" w:color="auto"/>
            </w:tcBorders>
            <w:vAlign w:val="center"/>
          </w:tcPr>
          <w:p w14:paraId="3A2B071A" w14:textId="77777777" w:rsidR="007518E4" w:rsidRPr="00AD22A6" w:rsidRDefault="007518E4" w:rsidP="00DB50FA">
            <w:pPr>
              <w:spacing w:before="0"/>
              <w:ind w:left="0"/>
              <w:rPr>
                <w:rFonts w:ascii="Times New Roman" w:eastAsia="Calibri" w:hAnsi="Times New Roman"/>
              </w:rPr>
            </w:pPr>
            <w:r w:rsidRPr="00AD22A6">
              <w:rPr>
                <w:rFonts w:ascii="Times New Roman" w:hAnsi="Times New Roman"/>
              </w:rPr>
              <w:t>Segregation of duties is prescribed throughout the expenditure process with responsibilities laid down for most key steps.  Systematic and consistent definition of rules, regulations and responsibilities are still needed</w:t>
            </w:r>
            <w:r>
              <w:rPr>
                <w:rFonts w:ascii="Times New Roman" w:hAnsi="Times New Roman"/>
              </w:rPr>
              <w:t>.</w:t>
            </w:r>
          </w:p>
        </w:tc>
      </w:tr>
      <w:tr w:rsidR="007518E4" w:rsidRPr="008E34BC" w14:paraId="0CE116B9" w14:textId="77777777" w:rsidTr="007518E4">
        <w:trPr>
          <w:trHeight w:val="800"/>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168E97C7" w14:textId="77777777" w:rsidR="007518E4" w:rsidRPr="002E148D" w:rsidRDefault="007518E4" w:rsidP="000C5978">
            <w:pPr>
              <w:spacing w:before="0"/>
              <w:ind w:left="0"/>
              <w:jc w:val="left"/>
              <w:rPr>
                <w:rFonts w:ascii="Times New Roman" w:hAnsi="Times New Roman"/>
              </w:rPr>
            </w:pPr>
            <w:r w:rsidRPr="002E148D">
              <w:rPr>
                <w:rFonts w:ascii="Times New Roman" w:hAnsi="Times New Roman"/>
              </w:rPr>
              <w:t xml:space="preserve">25.2 </w:t>
            </w:r>
            <w:r w:rsidRPr="002E148D">
              <w:rPr>
                <w:rFonts w:ascii="Times New Roman" w:hAnsi="Times New Roman"/>
                <w:bCs/>
                <w:color w:val="000000"/>
              </w:rPr>
              <w:t>Effectiveness of expenditure commitment control</w:t>
            </w:r>
          </w:p>
        </w:tc>
        <w:tc>
          <w:tcPr>
            <w:tcW w:w="705" w:type="pct"/>
            <w:tcBorders>
              <w:top w:val="single" w:sz="4" w:space="0" w:color="auto"/>
              <w:left w:val="single" w:sz="4" w:space="0" w:color="auto"/>
              <w:bottom w:val="single" w:sz="4" w:space="0" w:color="auto"/>
              <w:right w:val="single" w:sz="4" w:space="0" w:color="auto"/>
            </w:tcBorders>
            <w:vAlign w:val="center"/>
          </w:tcPr>
          <w:p w14:paraId="77617AB1" w14:textId="77777777" w:rsidR="007518E4" w:rsidRPr="002E148D" w:rsidRDefault="007518E4" w:rsidP="00DB50FA">
            <w:pPr>
              <w:spacing w:before="0"/>
              <w:ind w:left="0"/>
              <w:jc w:val="center"/>
              <w:rPr>
                <w:rFonts w:ascii="Times New Roman" w:hAnsi="Times New Roman"/>
              </w:rPr>
            </w:pPr>
            <w:r w:rsidRPr="002E148D">
              <w:rPr>
                <w:rFonts w:ascii="Times New Roman" w:hAnsi="Times New Roman"/>
              </w:rPr>
              <w:t>C</w:t>
            </w:r>
          </w:p>
        </w:tc>
        <w:tc>
          <w:tcPr>
            <w:tcW w:w="2688" w:type="pct"/>
            <w:tcBorders>
              <w:top w:val="single" w:sz="4" w:space="0" w:color="auto"/>
              <w:left w:val="single" w:sz="4" w:space="0" w:color="auto"/>
              <w:bottom w:val="single" w:sz="4" w:space="0" w:color="auto"/>
              <w:right w:val="single" w:sz="4" w:space="0" w:color="auto"/>
            </w:tcBorders>
            <w:vAlign w:val="center"/>
          </w:tcPr>
          <w:p w14:paraId="71ACCA7D" w14:textId="77777777" w:rsidR="007518E4" w:rsidRPr="00AD22A6" w:rsidRDefault="007518E4" w:rsidP="00DB50FA">
            <w:pPr>
              <w:spacing w:before="0"/>
              <w:ind w:left="0"/>
              <w:rPr>
                <w:rFonts w:ascii="Times New Roman" w:hAnsi="Times New Roman"/>
              </w:rPr>
            </w:pPr>
            <w:r w:rsidRPr="00AD22A6">
              <w:rPr>
                <w:rFonts w:ascii="Times New Roman" w:hAnsi="Times New Roman"/>
                <w:bCs/>
                <w:color w:val="000000"/>
              </w:rPr>
              <w:t xml:space="preserve">Expenditure commitment control procedures exist as part of GFIS for recurrent expenditures. However, the effectiveness of the control system is undermined by the uncertainty and lack of information on cash availability for payments and contracting obligations that can incur outside the GFIS system. Additionally, </w:t>
            </w:r>
            <w:r w:rsidRPr="00AD22A6">
              <w:rPr>
                <w:rFonts w:ascii="Times New Roman" w:hAnsi="Times New Roman"/>
                <w:bCs/>
                <w:color w:val="000000"/>
              </w:rPr>
              <w:lastRenderedPageBreak/>
              <w:t>only the central government operations can be fully captured by GFIS and are limited to single-year commitments</w:t>
            </w:r>
            <w:r>
              <w:rPr>
                <w:rFonts w:ascii="Times New Roman" w:hAnsi="Times New Roman"/>
                <w:bCs/>
                <w:color w:val="000000"/>
              </w:rPr>
              <w:t>.</w:t>
            </w:r>
          </w:p>
        </w:tc>
      </w:tr>
      <w:tr w:rsidR="007518E4" w:rsidRPr="008E34BC" w14:paraId="12A69122" w14:textId="77777777" w:rsidTr="007518E4">
        <w:trPr>
          <w:trHeight w:val="881"/>
          <w:jc w:val="center"/>
        </w:trPr>
        <w:tc>
          <w:tcPr>
            <w:tcW w:w="1607" w:type="pct"/>
            <w:tcBorders>
              <w:top w:val="single" w:sz="4" w:space="0" w:color="auto"/>
              <w:left w:val="single" w:sz="4" w:space="0" w:color="auto"/>
              <w:bottom w:val="single" w:sz="4" w:space="0" w:color="auto"/>
              <w:right w:val="single" w:sz="4" w:space="0" w:color="auto"/>
            </w:tcBorders>
            <w:vAlign w:val="center"/>
            <w:hideMark/>
          </w:tcPr>
          <w:p w14:paraId="32316DAE" w14:textId="77777777" w:rsidR="007518E4" w:rsidRPr="002E148D" w:rsidRDefault="007518E4" w:rsidP="000C5978">
            <w:pPr>
              <w:spacing w:before="0"/>
              <w:ind w:left="0"/>
              <w:jc w:val="left"/>
              <w:rPr>
                <w:rFonts w:ascii="Times New Roman" w:hAnsi="Times New Roman"/>
              </w:rPr>
            </w:pPr>
            <w:r w:rsidRPr="002E148D">
              <w:rPr>
                <w:rFonts w:ascii="Times New Roman" w:hAnsi="Times New Roman"/>
              </w:rPr>
              <w:lastRenderedPageBreak/>
              <w:t xml:space="preserve">25.3 Compliance with payment rules and procedures </w:t>
            </w:r>
          </w:p>
        </w:tc>
        <w:tc>
          <w:tcPr>
            <w:tcW w:w="705" w:type="pct"/>
            <w:tcBorders>
              <w:top w:val="single" w:sz="4" w:space="0" w:color="auto"/>
              <w:left w:val="single" w:sz="4" w:space="0" w:color="auto"/>
              <w:bottom w:val="single" w:sz="4" w:space="0" w:color="auto"/>
              <w:right w:val="single" w:sz="4" w:space="0" w:color="auto"/>
            </w:tcBorders>
            <w:vAlign w:val="center"/>
          </w:tcPr>
          <w:p w14:paraId="2D498813" w14:textId="77777777" w:rsidR="007518E4" w:rsidRPr="002E148D" w:rsidRDefault="000C44FB" w:rsidP="00DB50FA">
            <w:pPr>
              <w:spacing w:before="0"/>
              <w:ind w:left="0"/>
              <w:jc w:val="center"/>
              <w:rPr>
                <w:rFonts w:ascii="Times New Roman" w:hAnsi="Times New Roman"/>
              </w:rPr>
            </w:pPr>
            <w:r>
              <w:rPr>
                <w:rFonts w:ascii="Times New Roman" w:hAnsi="Times New Roman"/>
              </w:rPr>
              <w:t>B</w:t>
            </w:r>
          </w:p>
        </w:tc>
        <w:tc>
          <w:tcPr>
            <w:tcW w:w="2688" w:type="pct"/>
            <w:tcBorders>
              <w:top w:val="single" w:sz="4" w:space="0" w:color="auto"/>
              <w:left w:val="single" w:sz="4" w:space="0" w:color="auto"/>
              <w:bottom w:val="single" w:sz="4" w:space="0" w:color="auto"/>
              <w:right w:val="single" w:sz="4" w:space="0" w:color="auto"/>
            </w:tcBorders>
            <w:vAlign w:val="center"/>
          </w:tcPr>
          <w:p w14:paraId="78F60EE6" w14:textId="77777777" w:rsidR="007518E4" w:rsidRPr="00047C40" w:rsidRDefault="007518E4" w:rsidP="00DB50FA">
            <w:pPr>
              <w:spacing w:before="0"/>
              <w:ind w:left="0"/>
              <w:rPr>
                <w:rFonts w:ascii="Times New Roman" w:eastAsia="Calibri" w:hAnsi="Times New Roman"/>
                <w:color w:val="000000"/>
              </w:rPr>
            </w:pPr>
            <w:r w:rsidRPr="00047C40">
              <w:rPr>
                <w:rFonts w:ascii="Times New Roman" w:eastAsia="Calibri" w:hAnsi="Times New Roman"/>
                <w:bCs/>
                <w:color w:val="000000"/>
              </w:rPr>
              <w:t>Stricter procedures for expenditure authorization by the Treasury department</w:t>
            </w:r>
            <w:r w:rsidRPr="00047C40">
              <w:rPr>
                <w:rFonts w:ascii="Times New Roman" w:eastAsia="Calibri" w:hAnsi="Times New Roman"/>
                <w:color w:val="000000"/>
              </w:rPr>
              <w:t xml:space="preserve"> have been enforced since 2017.  Evidence shows that basic controls relating to payments are usually complied with,</w:t>
            </w:r>
            <w:r w:rsidRPr="00047C40">
              <w:rPr>
                <w:rFonts w:ascii="Times New Roman" w:eastAsia="Calibri" w:hAnsi="Times New Roman"/>
                <w:bCs/>
                <w:color w:val="000000"/>
              </w:rPr>
              <w:t xml:space="preserve"> and </w:t>
            </w:r>
            <w:r w:rsidRPr="00047C40">
              <w:rPr>
                <w:rFonts w:ascii="Times New Roman" w:eastAsia="Calibri" w:hAnsi="Times New Roman"/>
                <w:color w:val="000000"/>
              </w:rPr>
              <w:t xml:space="preserve">exceptions duly justified. SAO reports for the past period concluded </w:t>
            </w:r>
            <w:r w:rsidRPr="00047C40">
              <w:rPr>
                <w:rFonts w:ascii="Times New Roman" w:eastAsia="Calibri" w:hAnsi="Times New Roman"/>
                <w:bCs/>
                <w:color w:val="000000"/>
              </w:rPr>
              <w:t xml:space="preserve">unauthorized expenditures not fully compliant with the regular payment procedures. </w:t>
            </w:r>
          </w:p>
        </w:tc>
      </w:tr>
    </w:tbl>
    <w:p w14:paraId="1B1A7755" w14:textId="77777777" w:rsidR="007518E4" w:rsidRPr="00FE6ED4" w:rsidRDefault="007518E4" w:rsidP="00DB50FA">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25.1. Segregation of </w:t>
      </w:r>
      <w:r>
        <w:rPr>
          <w:rFonts w:ascii="Times New Roman" w:eastAsia="Calibri" w:hAnsi="Times New Roman"/>
          <w:b/>
          <w:bCs/>
          <w:color w:val="84C346"/>
          <w:spacing w:val="-1"/>
          <w:sz w:val="24"/>
        </w:rPr>
        <w:t>d</w:t>
      </w:r>
      <w:r w:rsidRPr="00FE6ED4">
        <w:rPr>
          <w:rFonts w:ascii="Times New Roman" w:eastAsia="Calibri" w:hAnsi="Times New Roman"/>
          <w:b/>
          <w:bCs/>
          <w:color w:val="84C346"/>
          <w:spacing w:val="-1"/>
          <w:sz w:val="24"/>
        </w:rPr>
        <w:t xml:space="preserve">uties  </w:t>
      </w:r>
    </w:p>
    <w:p w14:paraId="6160B146" w14:textId="77777777" w:rsidR="007518E4" w:rsidRDefault="007518E4" w:rsidP="008037D9">
      <w:pPr>
        <w:pStyle w:val="ListParagraph"/>
        <w:numPr>
          <w:ilvl w:val="0"/>
          <w:numId w:val="72"/>
        </w:numPr>
        <w:spacing w:after="240"/>
        <w:ind w:left="0"/>
        <w:contextualSpacing w:val="0"/>
        <w:rPr>
          <w:rFonts w:ascii="Times New Roman" w:hAnsi="Times New Roman"/>
          <w:sz w:val="24"/>
        </w:rPr>
      </w:pPr>
      <w:r w:rsidRPr="00DB50FA">
        <w:rPr>
          <w:rFonts w:ascii="Times New Roman" w:hAnsi="Times New Roman"/>
          <w:b/>
          <w:sz w:val="24"/>
        </w:rPr>
        <w:t>There is no specific law governing the government internal control framework</w:t>
      </w:r>
      <w:r w:rsidR="000C5978">
        <w:rPr>
          <w:rFonts w:ascii="Times New Roman" w:hAnsi="Times New Roman"/>
          <w:sz w:val="24"/>
        </w:rPr>
        <w:t xml:space="preserve">. </w:t>
      </w:r>
      <w:r w:rsidRPr="002E148D">
        <w:rPr>
          <w:rFonts w:ascii="Times New Roman" w:hAnsi="Times New Roman"/>
          <w:sz w:val="24"/>
        </w:rPr>
        <w:t xml:space="preserve">Provisions stipulating the key duties and responsibilities among institutions, and functions at various hierarchical levels are defined in various laws, secondary legislation, instructions and </w:t>
      </w:r>
      <w:proofErr w:type="spellStart"/>
      <w:r w:rsidRPr="002E148D">
        <w:rPr>
          <w:rFonts w:ascii="Times New Roman" w:hAnsi="Times New Roman"/>
          <w:sz w:val="24"/>
        </w:rPr>
        <w:t>ToRs</w:t>
      </w:r>
      <w:proofErr w:type="spellEnd"/>
      <w:r w:rsidRPr="002E148D">
        <w:rPr>
          <w:rFonts w:ascii="Times New Roman" w:hAnsi="Times New Roman"/>
          <w:sz w:val="24"/>
        </w:rPr>
        <w:t xml:space="preserve">.  The development of the primary legislation is still the </w:t>
      </w:r>
      <w:proofErr w:type="gramStart"/>
      <w:r w:rsidRPr="002E148D">
        <w:rPr>
          <w:rFonts w:ascii="Times New Roman" w:hAnsi="Times New Roman"/>
          <w:sz w:val="24"/>
        </w:rPr>
        <w:t>main focus</w:t>
      </w:r>
      <w:proofErr w:type="gramEnd"/>
      <w:r w:rsidRPr="002E148D">
        <w:rPr>
          <w:rFonts w:ascii="Times New Roman" w:hAnsi="Times New Roman"/>
          <w:sz w:val="24"/>
        </w:rPr>
        <w:t xml:space="preserve"> of the reform so systematic drafting of manuals an</w:t>
      </w:r>
      <w:r w:rsidR="000C5978">
        <w:rPr>
          <w:rFonts w:ascii="Times New Roman" w:hAnsi="Times New Roman"/>
          <w:sz w:val="24"/>
        </w:rPr>
        <w:t xml:space="preserve">d guidelines has been limited. </w:t>
      </w:r>
      <w:r w:rsidRPr="002E148D">
        <w:rPr>
          <w:rFonts w:ascii="Times New Roman" w:hAnsi="Times New Roman"/>
          <w:sz w:val="24"/>
        </w:rPr>
        <w:t xml:space="preserve">They will take place after the core PFM systems that are to define the overall regulatory framework have been established. Presently, internal controls are not defined as standard across the government entities and as a result, internal controls over management of funds within Government are specifically prescribed by internal </w:t>
      </w:r>
      <w:proofErr w:type="spellStart"/>
      <w:r w:rsidRPr="002E148D">
        <w:rPr>
          <w:rFonts w:ascii="Times New Roman" w:hAnsi="Times New Roman"/>
          <w:sz w:val="24"/>
        </w:rPr>
        <w:t>ToRs</w:t>
      </w:r>
      <w:proofErr w:type="spellEnd"/>
      <w:r w:rsidRPr="002E148D">
        <w:rPr>
          <w:rFonts w:ascii="Times New Roman" w:hAnsi="Times New Roman"/>
          <w:sz w:val="24"/>
        </w:rPr>
        <w:t xml:space="preserve"> at ministry and departmental level and can vary from one Ministry to another.  </w:t>
      </w:r>
    </w:p>
    <w:p w14:paraId="557DA983" w14:textId="77777777" w:rsidR="007518E4" w:rsidRDefault="007518E4" w:rsidP="008037D9">
      <w:pPr>
        <w:pStyle w:val="ListParagraph"/>
        <w:numPr>
          <w:ilvl w:val="0"/>
          <w:numId w:val="72"/>
        </w:numPr>
        <w:spacing w:after="240"/>
        <w:ind w:left="0"/>
        <w:contextualSpacing w:val="0"/>
        <w:rPr>
          <w:rFonts w:ascii="Times New Roman" w:hAnsi="Times New Roman"/>
          <w:sz w:val="24"/>
        </w:rPr>
      </w:pPr>
      <w:r w:rsidRPr="00DB50FA">
        <w:rPr>
          <w:rFonts w:ascii="Times New Roman" w:hAnsi="Times New Roman"/>
          <w:b/>
          <w:sz w:val="24"/>
        </w:rPr>
        <w:t xml:space="preserve">At the Treasury level, </w:t>
      </w:r>
      <w:r w:rsidR="00DB50FA">
        <w:rPr>
          <w:rFonts w:ascii="Times New Roman" w:hAnsi="Times New Roman"/>
          <w:b/>
          <w:sz w:val="24"/>
        </w:rPr>
        <w:t xml:space="preserve">internal </w:t>
      </w:r>
      <w:r w:rsidRPr="00DB50FA">
        <w:rPr>
          <w:rFonts w:ascii="Times New Roman" w:hAnsi="Times New Roman"/>
          <w:b/>
          <w:sz w:val="24"/>
        </w:rPr>
        <w:t>controls include those for expenditure authorization, posting, payment, recording of assets and audit.</w:t>
      </w:r>
      <w:r w:rsidRPr="00303823">
        <w:rPr>
          <w:rFonts w:ascii="Times New Roman" w:hAnsi="Times New Roman"/>
          <w:sz w:val="24"/>
        </w:rPr>
        <w:t xml:space="preserve"> </w:t>
      </w:r>
      <w:r w:rsidRPr="002E148D">
        <w:rPr>
          <w:rFonts w:ascii="Times New Roman" w:hAnsi="Times New Roman"/>
          <w:sz w:val="24"/>
        </w:rPr>
        <w:t xml:space="preserve">These internal controls are included in the Treasury internal instructions and various MoF instructions, as required by the need for clarification or decision by senior management. The GFIS-related segregation of responsibilities is outlined in the GFIS Manual and access rights to the system modules and applications are based on levels of authorization for each user’s profile. </w:t>
      </w:r>
    </w:p>
    <w:p w14:paraId="50DCF3AF" w14:textId="77777777" w:rsidR="007518E4" w:rsidRDefault="007518E4" w:rsidP="008037D9">
      <w:pPr>
        <w:pStyle w:val="ListParagraph"/>
        <w:numPr>
          <w:ilvl w:val="0"/>
          <w:numId w:val="72"/>
        </w:numPr>
        <w:spacing w:after="240"/>
        <w:ind w:left="0"/>
        <w:contextualSpacing w:val="0"/>
        <w:rPr>
          <w:rFonts w:ascii="Times New Roman" w:hAnsi="Times New Roman"/>
          <w:sz w:val="24"/>
        </w:rPr>
      </w:pPr>
      <w:r w:rsidRPr="00DB50FA">
        <w:rPr>
          <w:rFonts w:ascii="Times New Roman" w:hAnsi="Times New Roman"/>
          <w:b/>
          <w:sz w:val="24"/>
        </w:rPr>
        <w:t>At the ministry level, the definition of rules, regulations and guidelines is not fully in place.</w:t>
      </w:r>
      <w:r w:rsidRPr="001F4E0C">
        <w:rPr>
          <w:rFonts w:ascii="Times New Roman" w:hAnsi="Times New Roman"/>
          <w:sz w:val="24"/>
        </w:rPr>
        <w:t xml:space="preserve"> If it is, it needs updating, but in the general context of the Lao public administration, where hierarchical lines of powers define the whole decision-making process, the delineation of a vertical authority and corresponding controls below the Minister as main “</w:t>
      </w:r>
      <w:proofErr w:type="spellStart"/>
      <w:r w:rsidRPr="001F4E0C">
        <w:rPr>
          <w:rFonts w:ascii="Times New Roman" w:hAnsi="Times New Roman"/>
          <w:sz w:val="24"/>
        </w:rPr>
        <w:t>ordonator</w:t>
      </w:r>
      <w:proofErr w:type="spellEnd"/>
      <w:r w:rsidRPr="001F4E0C">
        <w:rPr>
          <w:rFonts w:ascii="Times New Roman" w:hAnsi="Times New Roman"/>
          <w:sz w:val="24"/>
        </w:rPr>
        <w:t>” at ministry level, and DG and DDG at department level tends to be strong and respected.  Within the existing rules, the budget execution process includes mechanisms for the segregation of incompatible functions such as registration and request for payment, and allocation of responsibilities for authorization, registration, safe</w:t>
      </w:r>
      <w:r>
        <w:rPr>
          <w:rFonts w:ascii="Times New Roman" w:hAnsi="Times New Roman"/>
          <w:sz w:val="24"/>
        </w:rPr>
        <w:t>-</w:t>
      </w:r>
      <w:r w:rsidRPr="001F4E0C">
        <w:rPr>
          <w:rFonts w:ascii="Times New Roman" w:hAnsi="Times New Roman"/>
          <w:sz w:val="24"/>
        </w:rPr>
        <w:t xml:space="preserve">keeping of assets and inspection of departments. </w:t>
      </w:r>
    </w:p>
    <w:p w14:paraId="477D6C65" w14:textId="77777777" w:rsidR="007518E4" w:rsidRPr="001F4E0C" w:rsidRDefault="007518E4" w:rsidP="008037D9">
      <w:pPr>
        <w:pStyle w:val="ListParagraph"/>
        <w:numPr>
          <w:ilvl w:val="0"/>
          <w:numId w:val="72"/>
        </w:numPr>
        <w:spacing w:after="240"/>
        <w:ind w:left="0"/>
        <w:contextualSpacing w:val="0"/>
        <w:rPr>
          <w:rFonts w:ascii="Times New Roman" w:hAnsi="Times New Roman"/>
          <w:i/>
          <w:sz w:val="24"/>
        </w:rPr>
      </w:pPr>
      <w:r w:rsidRPr="00DB50FA">
        <w:rPr>
          <w:rFonts w:ascii="Times New Roman" w:hAnsi="Times New Roman"/>
          <w:b/>
          <w:sz w:val="24"/>
        </w:rPr>
        <w:t>The main challenge lies in the lack of integration and harmonization of the legal provisions throughout the government regulatory framework.</w:t>
      </w:r>
      <w:r w:rsidRPr="00303823">
        <w:rPr>
          <w:rFonts w:ascii="Times New Roman" w:hAnsi="Times New Roman"/>
          <w:sz w:val="24"/>
        </w:rPr>
        <w:t xml:space="preserve"> </w:t>
      </w:r>
      <w:r w:rsidRPr="001F4E0C">
        <w:rPr>
          <w:rFonts w:ascii="Times New Roman" w:hAnsi="Times New Roman"/>
          <w:sz w:val="24"/>
        </w:rPr>
        <w:t xml:space="preserve"> This is particularly when unclear reporting obligations between institutions create a gap as seen under previou</w:t>
      </w:r>
      <w:r w:rsidR="000C5978">
        <w:rPr>
          <w:rFonts w:ascii="Times New Roman" w:hAnsi="Times New Roman"/>
          <w:sz w:val="24"/>
        </w:rPr>
        <w:t xml:space="preserve">s indicators (e.g. PI-11, 12). </w:t>
      </w:r>
      <w:r w:rsidRPr="001F4E0C">
        <w:rPr>
          <w:rFonts w:ascii="Times New Roman" w:hAnsi="Times New Roman"/>
          <w:sz w:val="24"/>
        </w:rPr>
        <w:t xml:space="preserve">Enforcement of existing provisions will remain problematic when instructions are not binding and comprehensive and in the absence of systematic sanctions in case of non-compliance. The existence of multiple ad hoc committees to share information and facilitate consensus-based decision-making processes is a consequence of the “silo” approach of each ministry within its competence. </w:t>
      </w:r>
    </w:p>
    <w:p w14:paraId="31B44725" w14:textId="77777777" w:rsidR="007518E4" w:rsidRPr="001F4E0C" w:rsidRDefault="007518E4" w:rsidP="008037D9">
      <w:pPr>
        <w:pStyle w:val="ListParagraph"/>
        <w:numPr>
          <w:ilvl w:val="0"/>
          <w:numId w:val="72"/>
        </w:numPr>
        <w:spacing w:after="240"/>
        <w:ind w:left="0"/>
        <w:contextualSpacing w:val="0"/>
        <w:rPr>
          <w:rFonts w:ascii="Times New Roman" w:hAnsi="Times New Roman"/>
          <w:b/>
          <w:sz w:val="24"/>
        </w:rPr>
      </w:pPr>
      <w:r w:rsidRPr="00DB50FA">
        <w:rPr>
          <w:rFonts w:ascii="Times New Roman" w:hAnsi="Times New Roman"/>
          <w:b/>
          <w:sz w:val="24"/>
        </w:rPr>
        <w:lastRenderedPageBreak/>
        <w:t>The SAO reports mention the need for a better defined and enforced internal control framework.</w:t>
      </w:r>
      <w:r w:rsidR="000C5978">
        <w:rPr>
          <w:rFonts w:ascii="Times New Roman" w:hAnsi="Times New Roman"/>
          <w:sz w:val="24"/>
        </w:rPr>
        <w:t xml:space="preserve"> </w:t>
      </w:r>
      <w:r w:rsidRPr="001F4E0C">
        <w:rPr>
          <w:rFonts w:ascii="Times New Roman" w:hAnsi="Times New Roman"/>
          <w:sz w:val="24"/>
        </w:rPr>
        <w:t>They do not point to any specific issue in segregation of duties i</w:t>
      </w:r>
      <w:r w:rsidR="000C5978">
        <w:rPr>
          <w:rFonts w:ascii="Times New Roman" w:hAnsi="Times New Roman"/>
          <w:sz w:val="24"/>
        </w:rPr>
        <w:t xml:space="preserve">n their reports in the period. </w:t>
      </w:r>
      <w:r w:rsidRPr="001F4E0C">
        <w:rPr>
          <w:rFonts w:ascii="Times New Roman" w:hAnsi="Times New Roman"/>
          <w:sz w:val="24"/>
        </w:rPr>
        <w:t xml:space="preserve">Individual violations of legal provisions are clearly denounced when identified and the government has recently shown its commitment toward transparency and integrity when publicizing the cases of lack of enforcement of the rules by senior officials, e.g. in the case of use of luxury goods and cars. </w:t>
      </w:r>
    </w:p>
    <w:p w14:paraId="6C1A11DB" w14:textId="77777777" w:rsidR="007518E4" w:rsidRPr="001F4E0C" w:rsidRDefault="007518E4" w:rsidP="008037D9">
      <w:pPr>
        <w:pStyle w:val="ListParagraph"/>
        <w:numPr>
          <w:ilvl w:val="0"/>
          <w:numId w:val="72"/>
        </w:numPr>
        <w:spacing w:after="240"/>
        <w:ind w:left="0"/>
        <w:contextualSpacing w:val="0"/>
        <w:rPr>
          <w:rFonts w:ascii="Times New Roman" w:hAnsi="Times New Roman"/>
          <w:b/>
          <w:sz w:val="24"/>
        </w:rPr>
      </w:pPr>
      <w:r w:rsidRPr="00DB50FA">
        <w:rPr>
          <w:rFonts w:ascii="Times New Roman" w:hAnsi="Times New Roman"/>
          <w:b/>
          <w:sz w:val="24"/>
        </w:rPr>
        <w:t>Segregation of duties is prescribed throughout the expenditure process with responsibilities laid down for most key steps.</w:t>
      </w:r>
      <w:r>
        <w:rPr>
          <w:rFonts w:ascii="Times New Roman" w:hAnsi="Times New Roman"/>
          <w:b/>
          <w:sz w:val="24"/>
        </w:rPr>
        <w:t xml:space="preserve"> </w:t>
      </w:r>
      <w:r w:rsidRPr="00AD22A6">
        <w:rPr>
          <w:rFonts w:ascii="Times New Roman" w:hAnsi="Times New Roman"/>
          <w:sz w:val="24"/>
        </w:rPr>
        <w:t>Systematic and consistent definition of rules, regulations and responsibilities are still needed:</w:t>
      </w:r>
      <w:r w:rsidRPr="001F4E0C">
        <w:rPr>
          <w:rFonts w:ascii="Times New Roman" w:hAnsi="Times New Roman"/>
          <w:b/>
          <w:sz w:val="24"/>
        </w:rPr>
        <w:t xml:space="preserve"> </w:t>
      </w:r>
      <w:r w:rsidRPr="001F4E0C">
        <w:rPr>
          <w:rFonts w:ascii="Times New Roman" w:hAnsi="Times New Roman"/>
          <w:sz w:val="24"/>
        </w:rPr>
        <w:t>Score C.</w:t>
      </w:r>
      <w:r w:rsidRPr="001F4E0C">
        <w:rPr>
          <w:rFonts w:ascii="Times New Roman" w:hAnsi="Times New Roman"/>
          <w:b/>
          <w:sz w:val="24"/>
        </w:rPr>
        <w:t xml:space="preserve"> </w:t>
      </w:r>
    </w:p>
    <w:p w14:paraId="3F2C0056" w14:textId="77777777" w:rsidR="007518E4" w:rsidRPr="00FE6ED4" w:rsidRDefault="007518E4" w:rsidP="00DB50FA">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t xml:space="preserve">25.2. Effectiveness of </w:t>
      </w:r>
      <w:r>
        <w:rPr>
          <w:rFonts w:ascii="Times New Roman" w:eastAsia="Calibri" w:hAnsi="Times New Roman"/>
          <w:b/>
          <w:bCs/>
          <w:color w:val="84C346"/>
          <w:spacing w:val="-1"/>
          <w:sz w:val="24"/>
        </w:rPr>
        <w:t>e</w:t>
      </w:r>
      <w:r w:rsidRPr="00FE6ED4">
        <w:rPr>
          <w:rFonts w:ascii="Times New Roman" w:eastAsia="Calibri" w:hAnsi="Times New Roman"/>
          <w:b/>
          <w:bCs/>
          <w:color w:val="84C346"/>
          <w:spacing w:val="-1"/>
          <w:sz w:val="24"/>
        </w:rPr>
        <w:t xml:space="preserve">xpenditure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 xml:space="preserve">ommitment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ontrols</w:t>
      </w:r>
    </w:p>
    <w:p w14:paraId="1615ADCC" w14:textId="77777777" w:rsidR="007518E4" w:rsidRDefault="007518E4" w:rsidP="008037D9">
      <w:pPr>
        <w:pStyle w:val="ListParagraph"/>
        <w:widowControl w:val="0"/>
        <w:numPr>
          <w:ilvl w:val="0"/>
          <w:numId w:val="72"/>
        </w:numPr>
        <w:autoSpaceDE w:val="0"/>
        <w:autoSpaceDN w:val="0"/>
        <w:adjustRightInd w:val="0"/>
        <w:spacing w:after="240" w:line="280" w:lineRule="atLeast"/>
        <w:ind w:left="0"/>
        <w:contextualSpacing w:val="0"/>
        <w:rPr>
          <w:rFonts w:ascii="Times New Roman" w:hAnsi="Times New Roman"/>
          <w:sz w:val="24"/>
        </w:rPr>
      </w:pPr>
      <w:r w:rsidRPr="00DB50FA">
        <w:rPr>
          <w:rFonts w:ascii="Times New Roman" w:hAnsi="Times New Roman"/>
          <w:b/>
          <w:sz w:val="24"/>
        </w:rPr>
        <w:t xml:space="preserve">Payment processing in GFIS is tied to budget allocations and authorized spending plans updated on a quarterly basis and updated after the revision of the budget by the NA. </w:t>
      </w:r>
      <w:r w:rsidRPr="00303823">
        <w:rPr>
          <w:rFonts w:ascii="Times New Roman" w:hAnsi="Times New Roman"/>
          <w:sz w:val="24"/>
        </w:rPr>
        <w:t>These budget allocations are locked into the GFIS system once approved with 6-</w:t>
      </w:r>
      <w:r w:rsidRPr="001F4E0C">
        <w:rPr>
          <w:rFonts w:ascii="Times New Roman" w:hAnsi="Times New Roman"/>
          <w:sz w:val="24"/>
        </w:rPr>
        <w:t>month allotment for recurrent expenditures and 3-month for salaries and constitutes cash ceilings commitment</w:t>
      </w:r>
      <w:r w:rsidR="000C5978">
        <w:rPr>
          <w:rFonts w:ascii="Times New Roman" w:hAnsi="Times New Roman"/>
          <w:sz w:val="24"/>
        </w:rPr>
        <w:t>.</w:t>
      </w:r>
      <w:r w:rsidRPr="001F4E0C">
        <w:rPr>
          <w:rFonts w:ascii="Times New Roman" w:hAnsi="Times New Roman"/>
          <w:sz w:val="24"/>
        </w:rPr>
        <w:t xml:space="preserve"> </w:t>
      </w:r>
    </w:p>
    <w:p w14:paraId="58B93AAF" w14:textId="77777777" w:rsidR="007518E4" w:rsidRPr="001F4E0C" w:rsidRDefault="007518E4" w:rsidP="008037D9">
      <w:pPr>
        <w:pStyle w:val="ListParagraph"/>
        <w:widowControl w:val="0"/>
        <w:numPr>
          <w:ilvl w:val="0"/>
          <w:numId w:val="72"/>
        </w:numPr>
        <w:autoSpaceDE w:val="0"/>
        <w:autoSpaceDN w:val="0"/>
        <w:adjustRightInd w:val="0"/>
        <w:spacing w:after="240" w:line="280" w:lineRule="atLeast"/>
        <w:ind w:left="0"/>
        <w:contextualSpacing w:val="0"/>
        <w:rPr>
          <w:rFonts w:ascii="Times New Roman" w:hAnsi="Times New Roman"/>
          <w:sz w:val="24"/>
        </w:rPr>
      </w:pPr>
      <w:r w:rsidRPr="00DB50FA">
        <w:rPr>
          <w:rFonts w:ascii="Times New Roman" w:hAnsi="Times New Roman"/>
          <w:b/>
          <w:sz w:val="24"/>
        </w:rPr>
        <w:t>However, while these commitments on recurrent expenditures are captured in GFIS for ministries and government entities within GFIS, other categories of commitments are created outside GFIS</w:t>
      </w:r>
      <w:r w:rsidRPr="00303823">
        <w:rPr>
          <w:rFonts w:ascii="Times New Roman" w:hAnsi="Times New Roman"/>
          <w:sz w:val="24"/>
        </w:rPr>
        <w:t>.</w:t>
      </w:r>
      <w:r w:rsidR="000C5978">
        <w:rPr>
          <w:rFonts w:ascii="Times New Roman" w:hAnsi="Times New Roman"/>
          <w:sz w:val="24"/>
        </w:rPr>
        <w:t xml:space="preserve"> </w:t>
      </w:r>
      <w:r>
        <w:rPr>
          <w:rFonts w:ascii="Times New Roman" w:hAnsi="Times New Roman"/>
          <w:sz w:val="24"/>
        </w:rPr>
        <w:t xml:space="preserve">These are </w:t>
      </w:r>
      <w:r w:rsidRPr="001F4E0C">
        <w:rPr>
          <w:rFonts w:ascii="Times New Roman" w:hAnsi="Times New Roman"/>
          <w:sz w:val="24"/>
        </w:rPr>
        <w:t xml:space="preserve">captured when the expenditure is not in the spending plan and </w:t>
      </w:r>
      <w:r>
        <w:rPr>
          <w:rFonts w:ascii="Times New Roman" w:hAnsi="Times New Roman"/>
          <w:sz w:val="24"/>
        </w:rPr>
        <w:t>is subsequently</w:t>
      </w:r>
      <w:r w:rsidRPr="001F4E0C">
        <w:rPr>
          <w:rFonts w:ascii="Times New Roman" w:hAnsi="Times New Roman"/>
          <w:sz w:val="24"/>
        </w:rPr>
        <w:t xml:space="preserve"> negotiated, or if the cash availability by Treasury does not allow them to be covered adequately.</w:t>
      </w:r>
      <w:r>
        <w:rPr>
          <w:rFonts w:ascii="Times New Roman" w:hAnsi="Times New Roman"/>
          <w:sz w:val="24"/>
        </w:rPr>
        <w:t xml:space="preserve"> </w:t>
      </w:r>
      <w:r w:rsidRPr="001F4E0C">
        <w:rPr>
          <w:rFonts w:ascii="Times New Roman" w:hAnsi="Times New Roman"/>
          <w:sz w:val="24"/>
        </w:rPr>
        <w:t xml:space="preserve">As GFIS </w:t>
      </w:r>
      <w:r>
        <w:rPr>
          <w:rFonts w:ascii="Times New Roman" w:hAnsi="Times New Roman"/>
          <w:sz w:val="24"/>
        </w:rPr>
        <w:t>operates at the budget level</w:t>
      </w:r>
      <w:r w:rsidRPr="001F4E0C">
        <w:rPr>
          <w:rFonts w:ascii="Times New Roman" w:hAnsi="Times New Roman"/>
          <w:sz w:val="24"/>
        </w:rPr>
        <w:t xml:space="preserve"> but not the availability of funds, these expenditure commitments, submitted in the form of Payment Vouchers to Treasury department, can end up as arrears and carried forward to the next financia</w:t>
      </w:r>
      <w:r w:rsidR="000C5978">
        <w:rPr>
          <w:rFonts w:ascii="Times New Roman" w:hAnsi="Times New Roman"/>
          <w:sz w:val="24"/>
        </w:rPr>
        <w:t xml:space="preserve">l year. </w:t>
      </w:r>
      <w:r w:rsidRPr="001F4E0C">
        <w:rPr>
          <w:rFonts w:ascii="Times New Roman" w:hAnsi="Times New Roman"/>
          <w:sz w:val="24"/>
        </w:rPr>
        <w:t>Treasury department reviews these expenditure commitments at the end of the financial year and establishes whether they can be cleared in the post-closing period of three months after 31 December and charged to the available budget of the year when they were incurred. According to the Treasury department, all payment requests duly submitted by 31 December within the expenditure plans should be covered in the subsequent 3-month period. However, both the Treasury department and line ministries have mentioned the cases of carry-forward obligations and Payment Vouchers due to lack of cash availability (see PI-22).</w:t>
      </w:r>
    </w:p>
    <w:p w14:paraId="550D21AA" w14:textId="77777777" w:rsidR="007518E4" w:rsidRPr="001F4E0C" w:rsidRDefault="007518E4" w:rsidP="008037D9">
      <w:pPr>
        <w:pStyle w:val="ListParagraph"/>
        <w:widowControl w:val="0"/>
        <w:numPr>
          <w:ilvl w:val="0"/>
          <w:numId w:val="72"/>
        </w:numPr>
        <w:autoSpaceDE w:val="0"/>
        <w:autoSpaceDN w:val="0"/>
        <w:adjustRightInd w:val="0"/>
        <w:spacing w:after="240" w:line="280" w:lineRule="atLeast"/>
        <w:ind w:left="0"/>
        <w:contextualSpacing w:val="0"/>
        <w:rPr>
          <w:rFonts w:ascii="Times New Roman" w:eastAsia="Calibri" w:hAnsi="Times New Roman"/>
          <w:sz w:val="24"/>
        </w:rPr>
      </w:pPr>
      <w:r w:rsidRPr="00DB50FA">
        <w:rPr>
          <w:rFonts w:ascii="Times New Roman" w:hAnsi="Times New Roman"/>
          <w:b/>
          <w:sz w:val="24"/>
        </w:rPr>
        <w:t>Commitments related to contracts spanning over more than a year are more problematic than in-year commitments on recurrent expenditure</w:t>
      </w:r>
      <w:r w:rsidRPr="00303823">
        <w:rPr>
          <w:rFonts w:ascii="Times New Roman" w:hAnsi="Times New Roman"/>
          <w:sz w:val="24"/>
        </w:rPr>
        <w:t>.</w:t>
      </w:r>
      <w:r w:rsidRPr="001F4E0C">
        <w:rPr>
          <w:rFonts w:ascii="Times New Roman" w:hAnsi="Times New Roman"/>
          <w:sz w:val="24"/>
        </w:rPr>
        <w:t xml:space="preserve"> The GFIS system does not handle multi-year contracts, and as a result these are handled manually to define the </w:t>
      </w:r>
      <w:r>
        <w:rPr>
          <w:rFonts w:ascii="Times New Roman" w:hAnsi="Times New Roman"/>
          <w:sz w:val="24"/>
        </w:rPr>
        <w:t xml:space="preserve">multi-year </w:t>
      </w:r>
      <w:r w:rsidRPr="001F4E0C">
        <w:rPr>
          <w:rFonts w:ascii="Times New Roman" w:hAnsi="Times New Roman"/>
          <w:sz w:val="24"/>
        </w:rPr>
        <w:t>obligations</w:t>
      </w:r>
      <w:r>
        <w:rPr>
          <w:rFonts w:ascii="Times New Roman" w:hAnsi="Times New Roman"/>
          <w:sz w:val="24"/>
        </w:rPr>
        <w:t xml:space="preserve"> for payment</w:t>
      </w:r>
      <w:r w:rsidR="000C5978">
        <w:rPr>
          <w:rFonts w:ascii="Times New Roman" w:hAnsi="Times New Roman"/>
          <w:sz w:val="24"/>
        </w:rPr>
        <w:t xml:space="preserve">. </w:t>
      </w:r>
      <w:r w:rsidRPr="001F4E0C">
        <w:rPr>
          <w:rFonts w:ascii="Times New Roman" w:hAnsi="Times New Roman"/>
          <w:sz w:val="24"/>
        </w:rPr>
        <w:t>These manual transa</w:t>
      </w:r>
      <w:r>
        <w:rPr>
          <w:rFonts w:ascii="Times New Roman" w:hAnsi="Times New Roman"/>
          <w:sz w:val="24"/>
        </w:rPr>
        <w:t>ctions, based on excel records, are</w:t>
      </w:r>
      <w:r w:rsidRPr="001F4E0C">
        <w:rPr>
          <w:rFonts w:ascii="Times New Roman" w:hAnsi="Times New Roman"/>
          <w:sz w:val="24"/>
        </w:rPr>
        <w:t xml:space="preserve"> also linked to the absence of integration of the procurement processes that take place outside GFIS</w:t>
      </w:r>
      <w:r>
        <w:rPr>
          <w:rFonts w:ascii="Times New Roman" w:hAnsi="Times New Roman"/>
          <w:sz w:val="24"/>
        </w:rPr>
        <w:t xml:space="preserve">.  These are only </w:t>
      </w:r>
      <w:r w:rsidRPr="001F4E0C">
        <w:rPr>
          <w:rFonts w:ascii="Times New Roman" w:hAnsi="Times New Roman"/>
          <w:sz w:val="24"/>
        </w:rPr>
        <w:t xml:space="preserve">captured when the payment request is submitted in the system or to the Treasury department. </w:t>
      </w:r>
    </w:p>
    <w:p w14:paraId="73D16BA5" w14:textId="77777777" w:rsidR="007518E4" w:rsidRPr="001F4E0C" w:rsidRDefault="007518E4" w:rsidP="008037D9">
      <w:pPr>
        <w:pStyle w:val="ListParagraph"/>
        <w:widowControl w:val="0"/>
        <w:numPr>
          <w:ilvl w:val="0"/>
          <w:numId w:val="72"/>
        </w:numPr>
        <w:autoSpaceDE w:val="0"/>
        <w:autoSpaceDN w:val="0"/>
        <w:adjustRightInd w:val="0"/>
        <w:spacing w:after="240" w:line="280" w:lineRule="atLeast"/>
        <w:ind w:left="0"/>
        <w:contextualSpacing w:val="0"/>
        <w:rPr>
          <w:rFonts w:ascii="Times New Roman" w:hAnsi="Times New Roman"/>
          <w:bCs/>
          <w:sz w:val="24"/>
        </w:rPr>
      </w:pPr>
      <w:r w:rsidRPr="00DB50FA">
        <w:rPr>
          <w:rFonts w:ascii="Times New Roman" w:hAnsi="Times New Roman"/>
          <w:b/>
          <w:bCs/>
          <w:color w:val="000000"/>
          <w:sz w:val="24"/>
        </w:rPr>
        <w:t>Expenditure commitment control procedures exist as part of GFIS for recurrent expenditures.</w:t>
      </w:r>
      <w:r w:rsidRPr="001F4E0C">
        <w:rPr>
          <w:rFonts w:ascii="Times New Roman" w:hAnsi="Times New Roman"/>
          <w:b/>
          <w:bCs/>
          <w:color w:val="000000"/>
          <w:sz w:val="24"/>
        </w:rPr>
        <w:t xml:space="preserve"> </w:t>
      </w:r>
      <w:r w:rsidRPr="00AD22A6">
        <w:rPr>
          <w:rFonts w:ascii="Times New Roman" w:hAnsi="Times New Roman"/>
          <w:bCs/>
          <w:color w:val="000000"/>
          <w:sz w:val="24"/>
        </w:rPr>
        <w:t>However, the effectiveness of the control system is undermined by the uncertainty and lack of information on cash availability for payments and contracting obligations that can incur outside the GFIS system. Additionally, only the central government operations can be fully captured by GFIS and are limited to single-year commitments: Score C.</w:t>
      </w:r>
    </w:p>
    <w:p w14:paraId="441B8091" w14:textId="77777777" w:rsidR="007518E4" w:rsidRPr="00FE6ED4" w:rsidRDefault="007518E4" w:rsidP="00DB50FA">
      <w:pPr>
        <w:spacing w:after="240"/>
        <w:ind w:left="0"/>
        <w:rPr>
          <w:rFonts w:ascii="Times New Roman" w:eastAsia="Calibri" w:hAnsi="Times New Roman"/>
          <w:b/>
          <w:bCs/>
          <w:color w:val="84C346"/>
          <w:spacing w:val="-1"/>
          <w:sz w:val="24"/>
        </w:rPr>
      </w:pPr>
      <w:r w:rsidRPr="00FE6ED4">
        <w:rPr>
          <w:rFonts w:ascii="Times New Roman" w:eastAsia="Calibri" w:hAnsi="Times New Roman"/>
          <w:b/>
          <w:bCs/>
          <w:color w:val="84C346"/>
          <w:spacing w:val="-1"/>
          <w:sz w:val="24"/>
        </w:rPr>
        <w:lastRenderedPageBreak/>
        <w:t xml:space="preserve">25.3. Degree of </w:t>
      </w:r>
      <w:r>
        <w:rPr>
          <w:rFonts w:ascii="Times New Roman" w:eastAsia="Calibri" w:hAnsi="Times New Roman"/>
          <w:b/>
          <w:bCs/>
          <w:color w:val="84C346"/>
          <w:spacing w:val="-1"/>
          <w:sz w:val="24"/>
        </w:rPr>
        <w:t>c</w:t>
      </w:r>
      <w:r w:rsidRPr="00FE6ED4">
        <w:rPr>
          <w:rFonts w:ascii="Times New Roman" w:eastAsia="Calibri" w:hAnsi="Times New Roman"/>
          <w:b/>
          <w:bCs/>
          <w:color w:val="84C346"/>
          <w:spacing w:val="-1"/>
          <w:sz w:val="24"/>
        </w:rPr>
        <w:t xml:space="preserve">ompliance with </w:t>
      </w:r>
      <w:r>
        <w:rPr>
          <w:rFonts w:ascii="Times New Roman" w:eastAsia="Calibri" w:hAnsi="Times New Roman"/>
          <w:b/>
          <w:bCs/>
          <w:color w:val="84C346"/>
          <w:spacing w:val="-1"/>
          <w:sz w:val="24"/>
        </w:rPr>
        <w:t>p</w:t>
      </w:r>
      <w:r w:rsidRPr="00FE6ED4">
        <w:rPr>
          <w:rFonts w:ascii="Times New Roman" w:eastAsia="Calibri" w:hAnsi="Times New Roman"/>
          <w:b/>
          <w:bCs/>
          <w:color w:val="84C346"/>
          <w:spacing w:val="-1"/>
          <w:sz w:val="24"/>
        </w:rPr>
        <w:t xml:space="preserve">ayment </w:t>
      </w:r>
      <w:r>
        <w:rPr>
          <w:rFonts w:ascii="Times New Roman" w:eastAsia="Calibri" w:hAnsi="Times New Roman"/>
          <w:b/>
          <w:bCs/>
          <w:color w:val="84C346"/>
          <w:spacing w:val="-1"/>
          <w:sz w:val="24"/>
        </w:rPr>
        <w:t>r</w:t>
      </w:r>
      <w:r w:rsidRPr="00FE6ED4">
        <w:rPr>
          <w:rFonts w:ascii="Times New Roman" w:eastAsia="Calibri" w:hAnsi="Times New Roman"/>
          <w:b/>
          <w:bCs/>
          <w:color w:val="84C346"/>
          <w:spacing w:val="-1"/>
          <w:sz w:val="24"/>
        </w:rPr>
        <w:t xml:space="preserve">ules and </w:t>
      </w:r>
      <w:r>
        <w:rPr>
          <w:rFonts w:ascii="Times New Roman" w:eastAsia="Calibri" w:hAnsi="Times New Roman"/>
          <w:b/>
          <w:bCs/>
          <w:color w:val="84C346"/>
          <w:spacing w:val="-1"/>
          <w:sz w:val="24"/>
        </w:rPr>
        <w:t>p</w:t>
      </w:r>
      <w:r w:rsidRPr="00FE6ED4">
        <w:rPr>
          <w:rFonts w:ascii="Times New Roman" w:eastAsia="Calibri" w:hAnsi="Times New Roman"/>
          <w:b/>
          <w:bCs/>
          <w:color w:val="84C346"/>
          <w:spacing w:val="-1"/>
          <w:sz w:val="24"/>
        </w:rPr>
        <w:t>rocedures</w:t>
      </w:r>
    </w:p>
    <w:p w14:paraId="6E201C9B" w14:textId="77777777" w:rsidR="007518E4" w:rsidRDefault="007518E4" w:rsidP="00DB50FA">
      <w:pPr>
        <w:pStyle w:val="ListParagraph"/>
        <w:numPr>
          <w:ilvl w:val="0"/>
          <w:numId w:val="72"/>
        </w:numPr>
        <w:spacing w:after="240"/>
        <w:ind w:left="0"/>
        <w:contextualSpacing w:val="0"/>
        <w:rPr>
          <w:rFonts w:ascii="Times New Roman" w:hAnsi="Times New Roman"/>
          <w:sz w:val="24"/>
        </w:rPr>
      </w:pPr>
      <w:r w:rsidRPr="00DB50FA">
        <w:rPr>
          <w:rFonts w:ascii="Times New Roman" w:eastAsia="Calibri" w:hAnsi="Times New Roman"/>
          <w:b/>
          <w:color w:val="000000"/>
          <w:sz w:val="24"/>
        </w:rPr>
        <w:t>The payment function is centralized for all government level, by the Treasury Department and includes strong internal controls.</w:t>
      </w:r>
      <w:r w:rsidRPr="00870345">
        <w:rPr>
          <w:rFonts w:ascii="Times New Roman" w:eastAsia="Calibri" w:hAnsi="Times New Roman"/>
          <w:color w:val="000000"/>
          <w:sz w:val="24"/>
        </w:rPr>
        <w:t xml:space="preserve"> Payment processing involves the Budget Expenditure Division responsible for the r</w:t>
      </w:r>
      <w:r w:rsidRPr="00870345">
        <w:rPr>
          <w:rFonts w:ascii="Times New Roman" w:hAnsi="Times New Roman"/>
          <w:sz w:val="24"/>
        </w:rPr>
        <w:t xml:space="preserve">eview of budget expenditure documents submitted by budgetary units before processing the payment, for posting into the GFIS accounting system and producing the relevant forms (withdrawal request, disbursement instruction) signed by the senior management level of the Treasury department.  These are sent to the </w:t>
      </w:r>
      <w:r w:rsidRPr="00870345">
        <w:rPr>
          <w:rFonts w:ascii="Times New Roman" w:eastAsia="Calibri" w:hAnsi="Times New Roman"/>
          <w:color w:val="000000"/>
          <w:sz w:val="24"/>
        </w:rPr>
        <w:t xml:space="preserve">Operation Division of the Treasury department who is responsible for processing </w:t>
      </w:r>
      <w:r w:rsidRPr="00870345">
        <w:rPr>
          <w:rFonts w:ascii="Times New Roman" w:hAnsi="Times New Roman"/>
          <w:sz w:val="24"/>
        </w:rPr>
        <w:t xml:space="preserve">expenditure request documents and creating payment vouchers from the Treasury’s deposit accounts with the Bank of Lao PDR and commercial banks. </w:t>
      </w:r>
    </w:p>
    <w:p w14:paraId="60F64FA8" w14:textId="77777777" w:rsidR="007518E4" w:rsidRPr="00870345" w:rsidRDefault="007518E4" w:rsidP="00DB50FA">
      <w:pPr>
        <w:pStyle w:val="ListParagraph"/>
        <w:numPr>
          <w:ilvl w:val="0"/>
          <w:numId w:val="72"/>
        </w:numPr>
        <w:spacing w:after="240"/>
        <w:ind w:left="0"/>
        <w:contextualSpacing w:val="0"/>
        <w:rPr>
          <w:rFonts w:ascii="Times New Roman" w:hAnsi="Times New Roman"/>
          <w:sz w:val="24"/>
        </w:rPr>
      </w:pPr>
      <w:r w:rsidRPr="00DB50FA">
        <w:rPr>
          <w:rFonts w:ascii="Times New Roman" w:eastAsia="Calibri" w:hAnsi="Times New Roman"/>
          <w:b/>
          <w:color w:val="000000"/>
          <w:sz w:val="24"/>
        </w:rPr>
        <w:t>External audit reports produced by SAO for 2013/2014 and 2014/2015, can be used as primary sources of assessment of whether payment rules and procedures are compliant.</w:t>
      </w:r>
      <w:r w:rsidR="000C5978">
        <w:rPr>
          <w:rFonts w:ascii="Times New Roman" w:eastAsia="Calibri" w:hAnsi="Times New Roman"/>
          <w:color w:val="000000"/>
          <w:sz w:val="24"/>
        </w:rPr>
        <w:t xml:space="preserve"> </w:t>
      </w:r>
      <w:r>
        <w:rPr>
          <w:rFonts w:ascii="Times New Roman" w:eastAsia="Calibri" w:hAnsi="Times New Roman"/>
          <w:color w:val="000000"/>
          <w:sz w:val="24"/>
        </w:rPr>
        <w:t>These reports</w:t>
      </w:r>
      <w:r w:rsidRPr="00870345">
        <w:rPr>
          <w:rFonts w:ascii="Times New Roman" w:eastAsia="Calibri" w:hAnsi="Times New Roman"/>
          <w:color w:val="000000"/>
          <w:sz w:val="24"/>
        </w:rPr>
        <w:t xml:space="preserve"> include several audit observations </w:t>
      </w:r>
      <w:r w:rsidRPr="00870345">
        <w:rPr>
          <w:rFonts w:ascii="Times New Roman" w:eastAsia="Calibri" w:hAnsi="Times New Roman"/>
          <w:sz w:val="24"/>
        </w:rPr>
        <w:t xml:space="preserve">pointing to unauthorized expenditures which could indicate partial compliance </w:t>
      </w:r>
      <w:proofErr w:type="gramStart"/>
      <w:r w:rsidRPr="00870345">
        <w:rPr>
          <w:rFonts w:ascii="Times New Roman" w:eastAsia="Calibri" w:hAnsi="Times New Roman"/>
          <w:sz w:val="24"/>
        </w:rPr>
        <w:t>as regards</w:t>
      </w:r>
      <w:proofErr w:type="gramEnd"/>
      <w:r w:rsidRPr="00870345">
        <w:rPr>
          <w:rFonts w:ascii="Times New Roman" w:eastAsia="Calibri" w:hAnsi="Times New Roman"/>
          <w:sz w:val="24"/>
        </w:rPr>
        <w:t xml:space="preserve"> payments controls procedures.</w:t>
      </w:r>
      <w:r w:rsidRPr="00870345">
        <w:rPr>
          <w:rFonts w:ascii="Times New Roman" w:eastAsia="Calibri" w:hAnsi="Times New Roman"/>
          <w:color w:val="000000"/>
          <w:sz w:val="24"/>
        </w:rPr>
        <w:t xml:space="preserve"> </w:t>
      </w:r>
      <w:r>
        <w:rPr>
          <w:rFonts w:ascii="Times New Roman" w:eastAsia="Calibri" w:hAnsi="Times New Roman"/>
          <w:color w:val="000000"/>
          <w:sz w:val="24"/>
        </w:rPr>
        <w:t>Most of such</w:t>
      </w:r>
      <w:r w:rsidRPr="00870345">
        <w:rPr>
          <w:rFonts w:ascii="Times New Roman" w:eastAsia="Calibri" w:hAnsi="Times New Roman"/>
          <w:color w:val="000000"/>
          <w:sz w:val="24"/>
        </w:rPr>
        <w:t xml:space="preserve"> findings relate to pa</w:t>
      </w:r>
      <w:r>
        <w:rPr>
          <w:rFonts w:ascii="Times New Roman" w:eastAsia="Calibri" w:hAnsi="Times New Roman"/>
          <w:color w:val="000000"/>
          <w:sz w:val="24"/>
        </w:rPr>
        <w:t>yment procedures being violated:</w:t>
      </w:r>
      <w:r w:rsidRPr="00870345">
        <w:rPr>
          <w:rFonts w:ascii="Times New Roman" w:eastAsia="Calibri" w:hAnsi="Times New Roman"/>
          <w:color w:val="000000"/>
          <w:sz w:val="24"/>
        </w:rPr>
        <w:t xml:space="preserve"> without supporting documentation, goods/services not </w:t>
      </w:r>
      <w:proofErr w:type="gramStart"/>
      <w:r w:rsidRPr="00870345">
        <w:rPr>
          <w:rFonts w:ascii="Times New Roman" w:eastAsia="Calibri" w:hAnsi="Times New Roman"/>
          <w:color w:val="000000"/>
          <w:sz w:val="24"/>
        </w:rPr>
        <w:t>supplied</w:t>
      </w:r>
      <w:proofErr w:type="gramEnd"/>
      <w:r w:rsidRPr="00870345">
        <w:rPr>
          <w:rFonts w:ascii="Times New Roman" w:eastAsia="Calibri" w:hAnsi="Times New Roman"/>
          <w:color w:val="000000"/>
          <w:sz w:val="24"/>
        </w:rPr>
        <w:t xml:space="preserve"> or no justification given. No information was available regarding the SAO report for 2015/2016 to validate the compliance during the more recent period</w:t>
      </w:r>
      <w:r>
        <w:rPr>
          <w:rFonts w:ascii="Times New Roman" w:eastAsia="Calibri" w:hAnsi="Times New Roman"/>
          <w:color w:val="000000"/>
          <w:sz w:val="24"/>
        </w:rPr>
        <w:t>. The</w:t>
      </w:r>
      <w:r w:rsidRPr="00870345">
        <w:rPr>
          <w:rFonts w:ascii="Times New Roman" w:eastAsia="Calibri" w:hAnsi="Times New Roman"/>
          <w:color w:val="000000"/>
          <w:sz w:val="24"/>
        </w:rPr>
        <w:t xml:space="preserve"> Treasury department </w:t>
      </w:r>
      <w:r>
        <w:rPr>
          <w:rFonts w:ascii="Times New Roman" w:eastAsia="Calibri" w:hAnsi="Times New Roman"/>
          <w:color w:val="000000"/>
          <w:sz w:val="24"/>
        </w:rPr>
        <w:t xml:space="preserve">has </w:t>
      </w:r>
      <w:r w:rsidRPr="00870345">
        <w:rPr>
          <w:rFonts w:ascii="Times New Roman" w:eastAsia="Calibri" w:hAnsi="Times New Roman"/>
          <w:color w:val="000000"/>
          <w:sz w:val="24"/>
        </w:rPr>
        <w:t xml:space="preserve">indicated that strict payment procedures and authorizations are </w:t>
      </w:r>
      <w:r>
        <w:rPr>
          <w:rFonts w:ascii="Times New Roman" w:eastAsia="Calibri" w:hAnsi="Times New Roman"/>
          <w:color w:val="000000"/>
          <w:sz w:val="24"/>
        </w:rPr>
        <w:t xml:space="preserve">now </w:t>
      </w:r>
      <w:r w:rsidRPr="00870345">
        <w:rPr>
          <w:rFonts w:ascii="Times New Roman" w:eastAsia="Calibri" w:hAnsi="Times New Roman"/>
          <w:color w:val="000000"/>
          <w:sz w:val="24"/>
        </w:rPr>
        <w:t>in place since the restructuring of the Treasury function in 2017</w:t>
      </w:r>
      <w:r w:rsidR="000C5978">
        <w:rPr>
          <w:rFonts w:ascii="Times New Roman" w:eastAsia="Calibri" w:hAnsi="Times New Roman"/>
          <w:color w:val="000000"/>
          <w:sz w:val="24"/>
        </w:rPr>
        <w:t xml:space="preserve">. </w:t>
      </w:r>
      <w:r>
        <w:rPr>
          <w:rFonts w:ascii="Times New Roman" w:eastAsia="Calibri" w:hAnsi="Times New Roman"/>
          <w:color w:val="000000"/>
          <w:sz w:val="24"/>
        </w:rPr>
        <w:t>A</w:t>
      </w:r>
      <w:r w:rsidRPr="00870345">
        <w:rPr>
          <w:rFonts w:ascii="Times New Roman" w:eastAsia="Calibri" w:hAnsi="Times New Roman"/>
          <w:color w:val="000000"/>
          <w:sz w:val="24"/>
        </w:rPr>
        <w:t xml:space="preserve"> sample of </w:t>
      </w:r>
      <w:r>
        <w:rPr>
          <w:rFonts w:ascii="Times New Roman" w:eastAsia="Calibri" w:hAnsi="Times New Roman"/>
          <w:color w:val="000000"/>
          <w:sz w:val="24"/>
        </w:rPr>
        <w:t xml:space="preserve">a </w:t>
      </w:r>
      <w:r w:rsidRPr="00870345">
        <w:rPr>
          <w:rFonts w:ascii="Times New Roman" w:eastAsia="Calibri" w:hAnsi="Times New Roman"/>
          <w:color w:val="000000"/>
          <w:sz w:val="24"/>
        </w:rPr>
        <w:t xml:space="preserve">few payment requests selected randomly from the daily ledger </w:t>
      </w:r>
      <w:r>
        <w:rPr>
          <w:rFonts w:ascii="Times New Roman" w:eastAsia="Calibri" w:hAnsi="Times New Roman"/>
          <w:color w:val="000000"/>
          <w:sz w:val="24"/>
        </w:rPr>
        <w:t xml:space="preserve">demonstrated </w:t>
      </w:r>
      <w:r w:rsidRPr="00870345">
        <w:rPr>
          <w:rFonts w:ascii="Times New Roman" w:eastAsia="Calibri" w:hAnsi="Times New Roman"/>
          <w:color w:val="000000"/>
          <w:sz w:val="24"/>
        </w:rPr>
        <w:t>effective compli</w:t>
      </w:r>
      <w:r>
        <w:rPr>
          <w:rFonts w:ascii="Times New Roman" w:eastAsia="Calibri" w:hAnsi="Times New Roman"/>
          <w:color w:val="000000"/>
          <w:sz w:val="24"/>
        </w:rPr>
        <w:t xml:space="preserve">ance </w:t>
      </w:r>
      <w:r w:rsidRPr="00870345">
        <w:rPr>
          <w:rFonts w:ascii="Times New Roman" w:eastAsia="Calibri" w:hAnsi="Times New Roman"/>
          <w:color w:val="000000"/>
          <w:sz w:val="24"/>
        </w:rPr>
        <w:t>with</w:t>
      </w:r>
      <w:r>
        <w:rPr>
          <w:rFonts w:ascii="Times New Roman" w:eastAsia="Calibri" w:hAnsi="Times New Roman"/>
          <w:color w:val="000000"/>
          <w:sz w:val="24"/>
        </w:rPr>
        <w:t xml:space="preserve"> procedures</w:t>
      </w:r>
      <w:r w:rsidRPr="00870345">
        <w:rPr>
          <w:rFonts w:ascii="Times New Roman" w:eastAsia="Calibri" w:hAnsi="Times New Roman"/>
          <w:color w:val="000000"/>
          <w:sz w:val="24"/>
        </w:rPr>
        <w:t>. Recent MPI instructions regarding procedures for capital payment requests and the checklist of documentation required for verification also signal the commitment from the government toward expenditure control.</w:t>
      </w:r>
    </w:p>
    <w:p w14:paraId="645AC8DB" w14:textId="77777777" w:rsidR="007518E4" w:rsidRPr="00DB50FA" w:rsidRDefault="007518E4" w:rsidP="000C5978">
      <w:pPr>
        <w:pStyle w:val="ListParagraph"/>
        <w:numPr>
          <w:ilvl w:val="0"/>
          <w:numId w:val="72"/>
        </w:numPr>
        <w:spacing w:after="240"/>
        <w:ind w:left="0"/>
        <w:contextualSpacing w:val="0"/>
        <w:rPr>
          <w:rFonts w:ascii="Times New Roman" w:hAnsi="Times New Roman"/>
          <w:sz w:val="24"/>
        </w:rPr>
      </w:pPr>
      <w:r w:rsidRPr="00DB50FA">
        <w:rPr>
          <w:rFonts w:ascii="Times New Roman" w:eastAsia="Calibri" w:hAnsi="Times New Roman"/>
          <w:b/>
          <w:bCs/>
          <w:color w:val="000000"/>
          <w:sz w:val="24"/>
        </w:rPr>
        <w:t>Stricter procedures for expenditure authorization by the Treasury department</w:t>
      </w:r>
      <w:r w:rsidRPr="00DB50FA">
        <w:rPr>
          <w:rFonts w:ascii="Times New Roman" w:eastAsia="Calibri" w:hAnsi="Times New Roman"/>
          <w:b/>
          <w:color w:val="000000"/>
          <w:sz w:val="24"/>
        </w:rPr>
        <w:t xml:space="preserve"> have been enforced since 2017.  </w:t>
      </w:r>
      <w:r w:rsidR="005A1DD9">
        <w:rPr>
          <w:rFonts w:ascii="Times New Roman" w:eastAsia="Calibri" w:hAnsi="Times New Roman"/>
          <w:b/>
          <w:color w:val="000000"/>
          <w:sz w:val="24"/>
        </w:rPr>
        <w:t>Although there is no automatic commitment management and control system in GFIS, e</w:t>
      </w:r>
      <w:r w:rsidRPr="00DB50FA">
        <w:rPr>
          <w:rFonts w:ascii="Times New Roman" w:eastAsia="Calibri" w:hAnsi="Times New Roman"/>
          <w:color w:val="000000"/>
          <w:sz w:val="24"/>
        </w:rPr>
        <w:t>vidence shows that basic controls relating to payments are usually complied with,</w:t>
      </w:r>
      <w:r w:rsidRPr="00DB50FA">
        <w:rPr>
          <w:rFonts w:ascii="Times New Roman" w:eastAsia="Calibri" w:hAnsi="Times New Roman"/>
          <w:bCs/>
          <w:color w:val="000000"/>
          <w:sz w:val="24"/>
        </w:rPr>
        <w:t xml:space="preserve"> and </w:t>
      </w:r>
      <w:r w:rsidRPr="00DB50FA">
        <w:rPr>
          <w:rFonts w:ascii="Times New Roman" w:eastAsia="Calibri" w:hAnsi="Times New Roman"/>
          <w:color w:val="000000"/>
          <w:sz w:val="24"/>
        </w:rPr>
        <w:t xml:space="preserve">exceptions duly justified. SAO reports for the past period concluded </w:t>
      </w:r>
      <w:r w:rsidR="005A1DD9">
        <w:rPr>
          <w:rFonts w:ascii="Times New Roman" w:eastAsia="Calibri" w:hAnsi="Times New Roman"/>
          <w:color w:val="000000"/>
          <w:sz w:val="24"/>
        </w:rPr>
        <w:t xml:space="preserve">to some </w:t>
      </w:r>
      <w:r w:rsidRPr="00DB50FA">
        <w:rPr>
          <w:rFonts w:ascii="Times New Roman" w:eastAsia="Calibri" w:hAnsi="Times New Roman"/>
          <w:bCs/>
          <w:color w:val="000000"/>
          <w:sz w:val="24"/>
        </w:rPr>
        <w:t>unauthorized expenditures not fully compliant with the regular payment procedures</w:t>
      </w:r>
      <w:r w:rsidR="005A1DD9">
        <w:rPr>
          <w:rFonts w:ascii="Times New Roman" w:eastAsia="Calibri" w:hAnsi="Times New Roman"/>
          <w:bCs/>
          <w:color w:val="000000"/>
          <w:sz w:val="24"/>
        </w:rPr>
        <w:t xml:space="preserve"> but most payments</w:t>
      </w:r>
      <w:r w:rsidR="000C44FB">
        <w:rPr>
          <w:rFonts w:ascii="Times New Roman" w:eastAsia="Calibri" w:hAnsi="Times New Roman"/>
          <w:bCs/>
          <w:color w:val="000000"/>
          <w:sz w:val="24"/>
        </w:rPr>
        <w:t xml:space="preserve"> are compliant with regular payment procedures</w:t>
      </w:r>
      <w:r w:rsidRPr="00DB50FA">
        <w:rPr>
          <w:rFonts w:ascii="Times New Roman" w:eastAsia="Calibri" w:hAnsi="Times New Roman"/>
          <w:bCs/>
          <w:color w:val="000000"/>
          <w:sz w:val="24"/>
        </w:rPr>
        <w:t xml:space="preserve">: Score </w:t>
      </w:r>
      <w:r w:rsidR="000C44FB">
        <w:rPr>
          <w:rFonts w:ascii="Times New Roman" w:eastAsia="Calibri" w:hAnsi="Times New Roman"/>
          <w:bCs/>
          <w:color w:val="000000"/>
          <w:sz w:val="24"/>
        </w:rPr>
        <w:t>B</w:t>
      </w:r>
      <w:r w:rsidRPr="00DB50FA">
        <w:rPr>
          <w:rFonts w:ascii="Times New Roman" w:eastAsia="Calibri" w:hAnsi="Times New Roman"/>
          <w:bCs/>
          <w:color w:val="000000"/>
          <w:sz w:val="24"/>
        </w:rPr>
        <w:t>.</w:t>
      </w:r>
    </w:p>
    <w:p w14:paraId="09D857D2" w14:textId="77777777" w:rsidR="007518E4" w:rsidRPr="00FE6ED4" w:rsidRDefault="007518E4" w:rsidP="00DB50FA">
      <w:pPr>
        <w:pStyle w:val="Heading3"/>
        <w:keepNext w:val="0"/>
        <w:widowControl w:val="0"/>
        <w:spacing w:after="240"/>
        <w:ind w:left="0"/>
        <w:rPr>
          <w:rFonts w:ascii="Times New Roman" w:eastAsia="Calibri" w:hAnsi="Times New Roman"/>
          <w:b w:val="0"/>
          <w:bCs w:val="0"/>
          <w:color w:val="84C346"/>
          <w:spacing w:val="-1"/>
          <w:szCs w:val="28"/>
        </w:rPr>
      </w:pPr>
      <w:bookmarkStart w:id="95" w:name="_Toc518901811"/>
      <w:bookmarkStart w:id="96" w:name="_Toc4149006"/>
      <w:r w:rsidRPr="00FE6ED4">
        <w:rPr>
          <w:rFonts w:ascii="Times New Roman" w:eastAsia="Calibri" w:hAnsi="Times New Roman"/>
          <w:color w:val="84C346"/>
          <w:spacing w:val="-1"/>
          <w:szCs w:val="28"/>
        </w:rPr>
        <w:t xml:space="preserve">PI-26. Internal </w:t>
      </w:r>
      <w:r>
        <w:rPr>
          <w:rFonts w:ascii="Times New Roman" w:eastAsia="Calibri" w:hAnsi="Times New Roman"/>
          <w:color w:val="84C346"/>
          <w:spacing w:val="-1"/>
          <w:szCs w:val="28"/>
        </w:rPr>
        <w:t>a</w:t>
      </w:r>
      <w:r w:rsidRPr="00FE6ED4">
        <w:rPr>
          <w:rFonts w:ascii="Times New Roman" w:eastAsia="Calibri" w:hAnsi="Times New Roman"/>
          <w:color w:val="84C346"/>
          <w:spacing w:val="-1"/>
          <w:szCs w:val="28"/>
        </w:rPr>
        <w:t>udit</w:t>
      </w:r>
      <w:bookmarkEnd w:id="95"/>
      <w:bookmarkEnd w:id="96"/>
    </w:p>
    <w:p w14:paraId="4BADDA19" w14:textId="77777777" w:rsidR="007518E4" w:rsidRDefault="007518E4" w:rsidP="008037D9">
      <w:pPr>
        <w:pStyle w:val="BodyText"/>
        <w:numPr>
          <w:ilvl w:val="0"/>
          <w:numId w:val="72"/>
        </w:numPr>
        <w:spacing w:after="240"/>
        <w:ind w:left="0"/>
        <w:rPr>
          <w:rFonts w:ascii="Times New Roman" w:hAnsi="Times New Roman"/>
          <w:sz w:val="24"/>
        </w:rPr>
      </w:pPr>
      <w:r w:rsidRPr="00DB50FA">
        <w:rPr>
          <w:rFonts w:ascii="Times New Roman" w:hAnsi="Times New Roman"/>
          <w:b/>
          <w:sz w:val="24"/>
        </w:rPr>
        <w:t>This indicator assesses the standards and procedures applied in internal audit.</w:t>
      </w:r>
      <w:r w:rsidRPr="00131A41">
        <w:rPr>
          <w:rFonts w:ascii="Times New Roman" w:hAnsi="Times New Roman"/>
          <w:sz w:val="24"/>
        </w:rPr>
        <w:t xml:space="preserve"> The </w:t>
      </w:r>
      <w:proofErr w:type="gramStart"/>
      <w:r w:rsidRPr="00131A41">
        <w:rPr>
          <w:rFonts w:ascii="Times New Roman" w:hAnsi="Times New Roman"/>
          <w:sz w:val="24"/>
        </w:rPr>
        <w:t>time period</w:t>
      </w:r>
      <w:proofErr w:type="gramEnd"/>
      <w:r w:rsidRPr="00131A41">
        <w:rPr>
          <w:rFonts w:ascii="Times New Roman" w:hAnsi="Times New Roman"/>
          <w:sz w:val="24"/>
        </w:rPr>
        <w:t xml:space="preserve"> for dimensions 26.1 and 26.2 is at time of assessment; for 26.3 the last completed fiscal year and for 26.4 audit reports used for the assessment should have been issued in last 3 fiscal years. Coverage is Central Government.</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272"/>
        <w:gridCol w:w="4846"/>
      </w:tblGrid>
      <w:tr w:rsidR="007518E4" w:rsidRPr="00047C40" w14:paraId="1CC57DEB" w14:textId="77777777" w:rsidTr="000C5978">
        <w:trPr>
          <w:trHeight w:val="397"/>
          <w:jc w:val="center"/>
        </w:trPr>
        <w:tc>
          <w:tcPr>
            <w:tcW w:w="14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94BD82" w14:textId="77777777" w:rsidR="007518E4" w:rsidRPr="00047C40" w:rsidRDefault="007518E4" w:rsidP="000C5978">
            <w:pPr>
              <w:spacing w:before="0"/>
              <w:ind w:hanging="539"/>
              <w:jc w:val="center"/>
              <w:rPr>
                <w:rFonts w:ascii="Times New Roman" w:hAnsi="Times New Roman"/>
              </w:rPr>
            </w:pPr>
            <w:r w:rsidRPr="00047C40">
              <w:rPr>
                <w:rFonts w:ascii="Times New Roman" w:hAnsi="Times New Roman"/>
              </w:rPr>
              <w:t>Indicator/Dimension</w:t>
            </w:r>
          </w:p>
        </w:tc>
        <w:tc>
          <w:tcPr>
            <w:tcW w:w="7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37088E" w14:textId="77777777" w:rsidR="007518E4" w:rsidRPr="00047C40" w:rsidRDefault="007518E4" w:rsidP="00DB50FA">
            <w:pPr>
              <w:spacing w:before="0"/>
              <w:ind w:left="0"/>
              <w:jc w:val="center"/>
              <w:rPr>
                <w:rFonts w:ascii="Times New Roman" w:hAnsi="Times New Roman"/>
              </w:rPr>
            </w:pPr>
            <w:r w:rsidRPr="00047C40">
              <w:rPr>
                <w:rFonts w:ascii="Times New Roman" w:hAnsi="Times New Roman"/>
              </w:rPr>
              <w:t>Score</w:t>
            </w:r>
          </w:p>
        </w:tc>
        <w:tc>
          <w:tcPr>
            <w:tcW w:w="2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5011BD" w14:textId="77777777" w:rsidR="007518E4" w:rsidRPr="00047C40" w:rsidRDefault="007518E4" w:rsidP="000C5978">
            <w:pPr>
              <w:spacing w:before="0"/>
              <w:ind w:hanging="539"/>
              <w:jc w:val="center"/>
              <w:rPr>
                <w:rFonts w:ascii="Times New Roman" w:hAnsi="Times New Roman"/>
              </w:rPr>
            </w:pPr>
            <w:r w:rsidRPr="00047C40">
              <w:rPr>
                <w:rFonts w:ascii="Times New Roman" w:hAnsi="Times New Roman"/>
              </w:rPr>
              <w:t>Brief Explanation</w:t>
            </w:r>
          </w:p>
        </w:tc>
      </w:tr>
      <w:tr w:rsidR="007518E4" w:rsidRPr="00047C40" w14:paraId="09CDBD89" w14:textId="77777777" w:rsidTr="000C5978">
        <w:trPr>
          <w:trHeight w:val="718"/>
          <w:jc w:val="center"/>
        </w:trPr>
        <w:tc>
          <w:tcPr>
            <w:tcW w:w="1498" w:type="pct"/>
            <w:tcBorders>
              <w:top w:val="single" w:sz="4" w:space="0" w:color="auto"/>
              <w:left w:val="single" w:sz="4" w:space="0" w:color="auto"/>
              <w:bottom w:val="single" w:sz="4" w:space="0" w:color="auto"/>
              <w:right w:val="single" w:sz="4" w:space="0" w:color="auto"/>
            </w:tcBorders>
            <w:vAlign w:val="center"/>
            <w:hideMark/>
          </w:tcPr>
          <w:p w14:paraId="5F7C5651" w14:textId="77777777" w:rsidR="007518E4" w:rsidRPr="00047C40" w:rsidRDefault="007518E4" w:rsidP="00DB50FA">
            <w:pPr>
              <w:spacing w:before="0"/>
              <w:ind w:left="0"/>
              <w:rPr>
                <w:rFonts w:ascii="Times New Roman" w:hAnsi="Times New Roman"/>
              </w:rPr>
            </w:pPr>
            <w:r w:rsidRPr="00047C40">
              <w:rPr>
                <w:rFonts w:ascii="Times New Roman" w:hAnsi="Times New Roman"/>
                <w:bCs/>
              </w:rPr>
              <w:t xml:space="preserve">PI-26 Internal Audit </w:t>
            </w:r>
          </w:p>
        </w:tc>
        <w:tc>
          <w:tcPr>
            <w:tcW w:w="728" w:type="pct"/>
            <w:tcBorders>
              <w:top w:val="single" w:sz="4" w:space="0" w:color="auto"/>
              <w:left w:val="single" w:sz="4" w:space="0" w:color="auto"/>
              <w:bottom w:val="single" w:sz="4" w:space="0" w:color="auto"/>
              <w:right w:val="single" w:sz="4" w:space="0" w:color="auto"/>
            </w:tcBorders>
            <w:vAlign w:val="center"/>
          </w:tcPr>
          <w:p w14:paraId="4008593D" w14:textId="77777777" w:rsidR="007518E4" w:rsidRPr="00047C40" w:rsidRDefault="007518E4" w:rsidP="00DB50FA">
            <w:pPr>
              <w:spacing w:before="0"/>
              <w:ind w:left="0"/>
              <w:jc w:val="center"/>
              <w:rPr>
                <w:rFonts w:ascii="Times New Roman" w:hAnsi="Times New Roman"/>
              </w:rPr>
            </w:pPr>
            <w:r w:rsidRPr="00047C40">
              <w:rPr>
                <w:rFonts w:ascii="Times New Roman" w:hAnsi="Times New Roman"/>
              </w:rPr>
              <w:t>D</w:t>
            </w:r>
          </w:p>
        </w:tc>
        <w:tc>
          <w:tcPr>
            <w:tcW w:w="2774" w:type="pct"/>
            <w:tcBorders>
              <w:top w:val="single" w:sz="4" w:space="0" w:color="auto"/>
              <w:left w:val="single" w:sz="4" w:space="0" w:color="auto"/>
              <w:bottom w:val="single" w:sz="4" w:space="0" w:color="auto"/>
              <w:right w:val="single" w:sz="4" w:space="0" w:color="auto"/>
            </w:tcBorders>
            <w:vAlign w:val="center"/>
            <w:hideMark/>
          </w:tcPr>
          <w:p w14:paraId="1B543DA6" w14:textId="77777777" w:rsidR="007518E4" w:rsidRPr="00047C40" w:rsidRDefault="007518E4" w:rsidP="00DB50FA">
            <w:pPr>
              <w:spacing w:before="0"/>
              <w:ind w:left="0"/>
              <w:rPr>
                <w:rFonts w:ascii="Times New Roman" w:hAnsi="Times New Roman"/>
              </w:rPr>
            </w:pPr>
            <w:r w:rsidRPr="00047C40">
              <w:rPr>
                <w:rFonts w:ascii="Times New Roman" w:eastAsia="Calibri" w:hAnsi="Times New Roman"/>
              </w:rPr>
              <w:t>Dimension scores combined by Method M1 (weakest link)</w:t>
            </w:r>
          </w:p>
        </w:tc>
      </w:tr>
      <w:tr w:rsidR="007518E4" w:rsidRPr="00047C40" w14:paraId="67884FD1" w14:textId="77777777" w:rsidTr="000C5978">
        <w:trPr>
          <w:trHeight w:val="530"/>
          <w:jc w:val="center"/>
        </w:trPr>
        <w:tc>
          <w:tcPr>
            <w:tcW w:w="1498" w:type="pct"/>
            <w:tcBorders>
              <w:top w:val="single" w:sz="4" w:space="0" w:color="auto"/>
              <w:left w:val="single" w:sz="4" w:space="0" w:color="auto"/>
              <w:bottom w:val="single" w:sz="4" w:space="0" w:color="auto"/>
              <w:right w:val="single" w:sz="4" w:space="0" w:color="auto"/>
            </w:tcBorders>
            <w:vAlign w:val="center"/>
            <w:hideMark/>
          </w:tcPr>
          <w:p w14:paraId="34ECD509" w14:textId="77777777" w:rsidR="007518E4" w:rsidRPr="00047C40" w:rsidRDefault="007518E4" w:rsidP="000C5978">
            <w:pPr>
              <w:spacing w:before="0"/>
              <w:ind w:left="0"/>
              <w:jc w:val="left"/>
              <w:rPr>
                <w:rFonts w:ascii="Times New Roman" w:hAnsi="Times New Roman"/>
              </w:rPr>
            </w:pPr>
            <w:r w:rsidRPr="00047C40">
              <w:rPr>
                <w:rFonts w:ascii="Times New Roman" w:hAnsi="Times New Roman"/>
              </w:rPr>
              <w:t xml:space="preserve">26.1 </w:t>
            </w:r>
            <w:r w:rsidRPr="00047C40">
              <w:rPr>
                <w:rFonts w:ascii="Times New Roman" w:hAnsi="Times New Roman"/>
                <w:bCs/>
                <w:color w:val="000000"/>
              </w:rPr>
              <w:t>Coverage of internal audit</w:t>
            </w:r>
          </w:p>
        </w:tc>
        <w:tc>
          <w:tcPr>
            <w:tcW w:w="728" w:type="pct"/>
            <w:tcBorders>
              <w:top w:val="single" w:sz="4" w:space="0" w:color="auto"/>
              <w:left w:val="single" w:sz="4" w:space="0" w:color="auto"/>
              <w:bottom w:val="single" w:sz="4" w:space="0" w:color="auto"/>
              <w:right w:val="single" w:sz="4" w:space="0" w:color="auto"/>
            </w:tcBorders>
            <w:vAlign w:val="center"/>
          </w:tcPr>
          <w:p w14:paraId="7CB590CF" w14:textId="77777777" w:rsidR="007518E4" w:rsidRPr="00047C40" w:rsidRDefault="007518E4" w:rsidP="00DB50FA">
            <w:pPr>
              <w:spacing w:before="0"/>
              <w:ind w:left="0"/>
              <w:jc w:val="center"/>
              <w:rPr>
                <w:rFonts w:ascii="Times New Roman" w:hAnsi="Times New Roman"/>
              </w:rPr>
            </w:pPr>
            <w:r w:rsidRPr="00047C40">
              <w:rPr>
                <w:rFonts w:ascii="Times New Roman" w:hAnsi="Times New Roman"/>
              </w:rPr>
              <w:t>D</w:t>
            </w:r>
          </w:p>
        </w:tc>
        <w:tc>
          <w:tcPr>
            <w:tcW w:w="2774" w:type="pct"/>
            <w:tcBorders>
              <w:top w:val="single" w:sz="4" w:space="0" w:color="auto"/>
              <w:left w:val="single" w:sz="4" w:space="0" w:color="auto"/>
              <w:bottom w:val="single" w:sz="4" w:space="0" w:color="auto"/>
              <w:right w:val="single" w:sz="4" w:space="0" w:color="auto"/>
            </w:tcBorders>
            <w:vAlign w:val="center"/>
          </w:tcPr>
          <w:p w14:paraId="5C814D88" w14:textId="77777777" w:rsidR="007518E4" w:rsidRPr="00047C40" w:rsidRDefault="007518E4" w:rsidP="00DB50FA">
            <w:pPr>
              <w:spacing w:before="0"/>
              <w:ind w:left="0"/>
              <w:rPr>
                <w:rFonts w:ascii="Times New Roman" w:eastAsia="Calibri" w:hAnsi="Times New Roman"/>
                <w:color w:val="000000"/>
              </w:rPr>
            </w:pPr>
            <w:r w:rsidRPr="00725AD7">
              <w:rPr>
                <w:rFonts w:ascii="Times New Roman" w:hAnsi="Times New Roman"/>
              </w:rPr>
              <w:t xml:space="preserve">The Inspection departments in all government entities carry out ex post controls activities relating to the budget execution including some features of an operational audit function.  These activities cover organizational independence, access to information </w:t>
            </w:r>
            <w:r w:rsidRPr="00725AD7">
              <w:rPr>
                <w:rFonts w:ascii="Times New Roman" w:hAnsi="Times New Roman"/>
              </w:rPr>
              <w:lastRenderedPageBreak/>
              <w:t>and power to report to the Head of the ministry or entity.  They do not operate based on recognized international standards and professional audit techniques</w:t>
            </w:r>
            <w:r w:rsidRPr="00725AD7">
              <w:rPr>
                <w:rFonts w:ascii="Times New Roman" w:hAnsi="Times New Roman"/>
                <w:sz w:val="24"/>
              </w:rPr>
              <w:t>.</w:t>
            </w:r>
            <w:r w:rsidRPr="00047C40">
              <w:rPr>
                <w:rFonts w:ascii="Times New Roman" w:hAnsi="Times New Roman"/>
              </w:rPr>
              <w:t xml:space="preserve"> </w:t>
            </w:r>
          </w:p>
        </w:tc>
      </w:tr>
      <w:tr w:rsidR="007518E4" w:rsidRPr="00047C40" w14:paraId="0A24C6CC" w14:textId="77777777" w:rsidTr="000C5978">
        <w:trPr>
          <w:trHeight w:val="800"/>
          <w:jc w:val="center"/>
        </w:trPr>
        <w:tc>
          <w:tcPr>
            <w:tcW w:w="1498" w:type="pct"/>
            <w:tcBorders>
              <w:top w:val="single" w:sz="4" w:space="0" w:color="auto"/>
              <w:left w:val="single" w:sz="4" w:space="0" w:color="auto"/>
              <w:bottom w:val="single" w:sz="4" w:space="0" w:color="auto"/>
              <w:right w:val="single" w:sz="4" w:space="0" w:color="auto"/>
            </w:tcBorders>
            <w:vAlign w:val="center"/>
            <w:hideMark/>
          </w:tcPr>
          <w:p w14:paraId="736AF6F7" w14:textId="77777777" w:rsidR="007518E4" w:rsidRPr="00047C40" w:rsidRDefault="007518E4" w:rsidP="000C5978">
            <w:pPr>
              <w:spacing w:before="0"/>
              <w:ind w:left="0"/>
              <w:jc w:val="left"/>
              <w:rPr>
                <w:rFonts w:ascii="Times New Roman" w:hAnsi="Times New Roman"/>
              </w:rPr>
            </w:pPr>
            <w:r w:rsidRPr="00047C40">
              <w:rPr>
                <w:rFonts w:ascii="Times New Roman" w:hAnsi="Times New Roman"/>
              </w:rPr>
              <w:lastRenderedPageBreak/>
              <w:t xml:space="preserve">26.2 </w:t>
            </w:r>
            <w:r w:rsidRPr="00047C40">
              <w:rPr>
                <w:rFonts w:ascii="Times New Roman" w:hAnsi="Times New Roman"/>
                <w:bCs/>
                <w:color w:val="000000"/>
              </w:rPr>
              <w:t>Nature of audits and standards applied</w:t>
            </w:r>
          </w:p>
        </w:tc>
        <w:tc>
          <w:tcPr>
            <w:tcW w:w="728" w:type="pct"/>
            <w:tcBorders>
              <w:top w:val="single" w:sz="4" w:space="0" w:color="auto"/>
              <w:left w:val="single" w:sz="4" w:space="0" w:color="auto"/>
              <w:bottom w:val="single" w:sz="4" w:space="0" w:color="auto"/>
              <w:right w:val="single" w:sz="4" w:space="0" w:color="auto"/>
            </w:tcBorders>
            <w:vAlign w:val="center"/>
          </w:tcPr>
          <w:p w14:paraId="69914D1A" w14:textId="77777777" w:rsidR="007518E4" w:rsidRPr="00047C40" w:rsidRDefault="007518E4" w:rsidP="00DB50FA">
            <w:pPr>
              <w:spacing w:before="0"/>
              <w:ind w:left="0"/>
              <w:jc w:val="center"/>
              <w:rPr>
                <w:rFonts w:ascii="Times New Roman" w:hAnsi="Times New Roman"/>
              </w:rPr>
            </w:pPr>
            <w:r w:rsidRPr="00047C40">
              <w:rPr>
                <w:rFonts w:ascii="Times New Roman" w:hAnsi="Times New Roman"/>
              </w:rPr>
              <w:t>D</w:t>
            </w:r>
          </w:p>
        </w:tc>
        <w:tc>
          <w:tcPr>
            <w:tcW w:w="2774" w:type="pct"/>
            <w:tcBorders>
              <w:top w:val="single" w:sz="4" w:space="0" w:color="auto"/>
              <w:left w:val="single" w:sz="4" w:space="0" w:color="auto"/>
              <w:bottom w:val="single" w:sz="4" w:space="0" w:color="auto"/>
              <w:right w:val="single" w:sz="4" w:space="0" w:color="auto"/>
            </w:tcBorders>
            <w:vAlign w:val="center"/>
          </w:tcPr>
          <w:p w14:paraId="0647C387" w14:textId="77777777" w:rsidR="007518E4" w:rsidRPr="00047C40" w:rsidRDefault="007518E4" w:rsidP="00DB50FA">
            <w:pPr>
              <w:spacing w:before="0"/>
              <w:ind w:left="0"/>
              <w:rPr>
                <w:rFonts w:ascii="Times New Roman" w:hAnsi="Times New Roman"/>
                <w:bCs/>
                <w:color w:val="000000"/>
              </w:rPr>
            </w:pPr>
            <w:r w:rsidRPr="00047C40">
              <w:rPr>
                <w:rFonts w:ascii="Times New Roman" w:hAnsi="Times New Roman"/>
                <w:bCs/>
                <w:color w:val="000000"/>
              </w:rPr>
              <w:t>Internal audit activities largely focus on compliance. A quality assurance system is not in place and there are no established government standards for the Inspection planning and reporting.</w:t>
            </w:r>
          </w:p>
        </w:tc>
      </w:tr>
      <w:tr w:rsidR="007518E4" w:rsidRPr="00047C40" w14:paraId="0FA0608E" w14:textId="77777777" w:rsidTr="000C5978">
        <w:trPr>
          <w:trHeight w:val="881"/>
          <w:jc w:val="center"/>
        </w:trPr>
        <w:tc>
          <w:tcPr>
            <w:tcW w:w="1498" w:type="pct"/>
            <w:tcBorders>
              <w:top w:val="single" w:sz="4" w:space="0" w:color="auto"/>
              <w:left w:val="single" w:sz="4" w:space="0" w:color="auto"/>
              <w:bottom w:val="single" w:sz="4" w:space="0" w:color="auto"/>
              <w:right w:val="single" w:sz="4" w:space="0" w:color="auto"/>
            </w:tcBorders>
            <w:vAlign w:val="center"/>
            <w:hideMark/>
          </w:tcPr>
          <w:p w14:paraId="3FEB2ECA" w14:textId="77777777" w:rsidR="007518E4" w:rsidRPr="00047C40" w:rsidRDefault="007518E4" w:rsidP="000C5978">
            <w:pPr>
              <w:spacing w:before="0"/>
              <w:ind w:left="0"/>
              <w:jc w:val="left"/>
              <w:rPr>
                <w:rFonts w:ascii="Times New Roman" w:hAnsi="Times New Roman"/>
              </w:rPr>
            </w:pPr>
            <w:r w:rsidRPr="00047C40">
              <w:rPr>
                <w:rFonts w:ascii="Times New Roman" w:hAnsi="Times New Roman"/>
              </w:rPr>
              <w:t xml:space="preserve">26.3 Implementation of internal audits and reporting </w:t>
            </w:r>
          </w:p>
        </w:tc>
        <w:tc>
          <w:tcPr>
            <w:tcW w:w="728" w:type="pct"/>
            <w:tcBorders>
              <w:top w:val="single" w:sz="4" w:space="0" w:color="auto"/>
              <w:left w:val="single" w:sz="4" w:space="0" w:color="auto"/>
              <w:bottom w:val="single" w:sz="4" w:space="0" w:color="auto"/>
              <w:right w:val="single" w:sz="4" w:space="0" w:color="auto"/>
            </w:tcBorders>
            <w:vAlign w:val="center"/>
          </w:tcPr>
          <w:p w14:paraId="3C6EDB71" w14:textId="77777777" w:rsidR="007518E4" w:rsidRPr="00047C40" w:rsidRDefault="007518E4" w:rsidP="00DB50FA">
            <w:pPr>
              <w:spacing w:before="0"/>
              <w:ind w:left="0"/>
              <w:jc w:val="center"/>
              <w:rPr>
                <w:rFonts w:ascii="Times New Roman" w:hAnsi="Times New Roman"/>
              </w:rPr>
            </w:pPr>
            <w:r w:rsidRPr="00047C40">
              <w:rPr>
                <w:rFonts w:ascii="Times New Roman" w:hAnsi="Times New Roman"/>
              </w:rPr>
              <w:t>D*</w:t>
            </w:r>
          </w:p>
        </w:tc>
        <w:tc>
          <w:tcPr>
            <w:tcW w:w="2774" w:type="pct"/>
            <w:tcBorders>
              <w:top w:val="single" w:sz="4" w:space="0" w:color="auto"/>
              <w:left w:val="single" w:sz="4" w:space="0" w:color="auto"/>
              <w:bottom w:val="single" w:sz="4" w:space="0" w:color="auto"/>
              <w:right w:val="single" w:sz="4" w:space="0" w:color="auto"/>
            </w:tcBorders>
            <w:vAlign w:val="center"/>
          </w:tcPr>
          <w:p w14:paraId="03E552A6" w14:textId="77777777" w:rsidR="007518E4" w:rsidRPr="00047C40" w:rsidRDefault="007518E4" w:rsidP="00DB50FA">
            <w:pPr>
              <w:spacing w:before="0"/>
              <w:ind w:left="0"/>
              <w:rPr>
                <w:rFonts w:ascii="Times New Roman" w:eastAsia="Calibri" w:hAnsi="Times New Roman"/>
                <w:color w:val="000000"/>
              </w:rPr>
            </w:pPr>
            <w:r w:rsidRPr="00047C40">
              <w:rPr>
                <w:rFonts w:ascii="Times New Roman" w:hAnsi="Times New Roman"/>
              </w:rPr>
              <w:t>The Inspection departments’ work</w:t>
            </w:r>
            <w:r>
              <w:rPr>
                <w:rFonts w:ascii="Times New Roman" w:hAnsi="Times New Roman"/>
              </w:rPr>
              <w:t xml:space="preserve"> </w:t>
            </w:r>
            <w:r w:rsidRPr="00047C40">
              <w:rPr>
                <w:rFonts w:ascii="Times New Roman" w:hAnsi="Times New Roman"/>
              </w:rPr>
              <w:t xml:space="preserve">plan </w:t>
            </w:r>
            <w:proofErr w:type="gramStart"/>
            <w:r w:rsidRPr="00047C40">
              <w:rPr>
                <w:rFonts w:ascii="Times New Roman" w:hAnsi="Times New Roman"/>
              </w:rPr>
              <w:t>are</w:t>
            </w:r>
            <w:proofErr w:type="gramEnd"/>
            <w:r w:rsidRPr="00047C40">
              <w:rPr>
                <w:rFonts w:ascii="Times New Roman" w:hAnsi="Times New Roman"/>
              </w:rPr>
              <w:t xml:space="preserve"> implemented under the authority of their respective management and no information was accessible on the percentage of coverage of the planned activities</w:t>
            </w:r>
            <w:r w:rsidR="000C5978">
              <w:rPr>
                <w:rFonts w:ascii="Times New Roman" w:hAnsi="Times New Roman"/>
              </w:rPr>
              <w:t xml:space="preserve"> and investigations effectively</w:t>
            </w:r>
            <w:r w:rsidRPr="00047C40">
              <w:rPr>
                <w:rFonts w:ascii="Times New Roman" w:hAnsi="Times New Roman"/>
              </w:rPr>
              <w:t xml:space="preserve"> undertaken</w:t>
            </w:r>
          </w:p>
        </w:tc>
      </w:tr>
      <w:tr w:rsidR="007518E4" w:rsidRPr="00047C40" w14:paraId="3A3B77A2" w14:textId="77777777" w:rsidTr="000C5978">
        <w:trPr>
          <w:trHeight w:val="881"/>
          <w:jc w:val="center"/>
        </w:trPr>
        <w:tc>
          <w:tcPr>
            <w:tcW w:w="1498" w:type="pct"/>
            <w:tcBorders>
              <w:top w:val="single" w:sz="4" w:space="0" w:color="auto"/>
              <w:left w:val="single" w:sz="4" w:space="0" w:color="auto"/>
              <w:bottom w:val="single" w:sz="4" w:space="0" w:color="auto"/>
              <w:right w:val="single" w:sz="4" w:space="0" w:color="auto"/>
            </w:tcBorders>
            <w:vAlign w:val="center"/>
          </w:tcPr>
          <w:p w14:paraId="16A4EE8C" w14:textId="77777777" w:rsidR="007518E4" w:rsidRPr="00047C40" w:rsidRDefault="007518E4" w:rsidP="000C5978">
            <w:pPr>
              <w:spacing w:before="0"/>
              <w:ind w:left="0"/>
              <w:jc w:val="left"/>
              <w:rPr>
                <w:rFonts w:ascii="Times New Roman" w:hAnsi="Times New Roman"/>
              </w:rPr>
            </w:pPr>
            <w:r w:rsidRPr="00047C40">
              <w:rPr>
                <w:rFonts w:ascii="Times New Roman" w:hAnsi="Times New Roman"/>
              </w:rPr>
              <w:t>26.4 Response to internal audits</w:t>
            </w:r>
          </w:p>
        </w:tc>
        <w:tc>
          <w:tcPr>
            <w:tcW w:w="728" w:type="pct"/>
            <w:tcBorders>
              <w:top w:val="single" w:sz="4" w:space="0" w:color="auto"/>
              <w:left w:val="single" w:sz="4" w:space="0" w:color="auto"/>
              <w:bottom w:val="single" w:sz="4" w:space="0" w:color="auto"/>
              <w:right w:val="single" w:sz="4" w:space="0" w:color="auto"/>
            </w:tcBorders>
            <w:vAlign w:val="center"/>
          </w:tcPr>
          <w:p w14:paraId="506024DC" w14:textId="77777777" w:rsidR="007518E4" w:rsidRPr="00047C40" w:rsidRDefault="007518E4" w:rsidP="00DB50FA">
            <w:pPr>
              <w:spacing w:before="0"/>
              <w:ind w:left="0"/>
              <w:jc w:val="center"/>
              <w:rPr>
                <w:rFonts w:ascii="Times New Roman" w:hAnsi="Times New Roman"/>
              </w:rPr>
            </w:pPr>
            <w:r w:rsidRPr="00047C40">
              <w:rPr>
                <w:rFonts w:ascii="Times New Roman" w:hAnsi="Times New Roman"/>
              </w:rPr>
              <w:t>D*</w:t>
            </w:r>
          </w:p>
        </w:tc>
        <w:tc>
          <w:tcPr>
            <w:tcW w:w="2774" w:type="pct"/>
            <w:tcBorders>
              <w:top w:val="single" w:sz="4" w:space="0" w:color="auto"/>
              <w:left w:val="single" w:sz="4" w:space="0" w:color="auto"/>
              <w:bottom w:val="single" w:sz="4" w:space="0" w:color="auto"/>
              <w:right w:val="single" w:sz="4" w:space="0" w:color="auto"/>
            </w:tcBorders>
            <w:vAlign w:val="center"/>
          </w:tcPr>
          <w:p w14:paraId="1372E803" w14:textId="77777777" w:rsidR="007518E4" w:rsidRPr="00047C40" w:rsidRDefault="007518E4" w:rsidP="00DB50FA">
            <w:pPr>
              <w:spacing w:before="0"/>
              <w:ind w:left="0"/>
              <w:rPr>
                <w:rFonts w:ascii="Times New Roman" w:eastAsia="Calibri" w:hAnsi="Times New Roman"/>
                <w:color w:val="000000"/>
              </w:rPr>
            </w:pPr>
            <w:r w:rsidRPr="00047C40">
              <w:rPr>
                <w:rFonts w:ascii="Times New Roman" w:hAnsi="Times New Roman"/>
              </w:rPr>
              <w:t xml:space="preserve">Follow up and response to the Inspection departments’ recommendations depends on the management decision and no tracking of follow up or resolution rate is available. </w:t>
            </w:r>
          </w:p>
        </w:tc>
      </w:tr>
    </w:tbl>
    <w:p w14:paraId="166952B4" w14:textId="77777777" w:rsidR="007518E4" w:rsidRPr="00047C40" w:rsidRDefault="007518E4" w:rsidP="008037D9">
      <w:pPr>
        <w:pStyle w:val="ListParagraph"/>
        <w:numPr>
          <w:ilvl w:val="0"/>
          <w:numId w:val="72"/>
        </w:numPr>
        <w:spacing w:after="240"/>
        <w:ind w:left="0"/>
        <w:contextualSpacing w:val="0"/>
        <w:rPr>
          <w:rFonts w:ascii="Times New Roman" w:hAnsi="Times New Roman"/>
          <w:sz w:val="24"/>
        </w:rPr>
      </w:pPr>
      <w:r w:rsidRPr="00DB50FA">
        <w:rPr>
          <w:rFonts w:ascii="Times New Roman" w:hAnsi="Times New Roman"/>
          <w:b/>
          <w:sz w:val="24"/>
        </w:rPr>
        <w:t>There is no formally established government internal audit function</w:t>
      </w:r>
      <w:r w:rsidRPr="00303823">
        <w:rPr>
          <w:rFonts w:ascii="Times New Roman" w:hAnsi="Times New Roman"/>
          <w:sz w:val="24"/>
        </w:rPr>
        <w:t>.</w:t>
      </w:r>
      <w:r>
        <w:rPr>
          <w:rFonts w:ascii="Times New Roman" w:hAnsi="Times New Roman"/>
          <w:b/>
          <w:sz w:val="24"/>
        </w:rPr>
        <w:t xml:space="preserve"> </w:t>
      </w:r>
      <w:r w:rsidRPr="00DB50FA">
        <w:rPr>
          <w:rFonts w:ascii="Times New Roman" w:hAnsi="Times New Roman"/>
          <w:sz w:val="24"/>
        </w:rPr>
        <w:t>T</w:t>
      </w:r>
      <w:r w:rsidRPr="00047C40">
        <w:rPr>
          <w:rFonts w:ascii="Times New Roman" w:hAnsi="Times New Roman"/>
          <w:sz w:val="24"/>
        </w:rPr>
        <w:t>he duties and responsibilities for the internal control environment are distributed across</w:t>
      </w:r>
      <w:r>
        <w:rPr>
          <w:rFonts w:ascii="Times New Roman" w:hAnsi="Times New Roman"/>
          <w:sz w:val="24"/>
        </w:rPr>
        <w:t xml:space="preserve"> the f</w:t>
      </w:r>
      <w:r w:rsidRPr="00047C40">
        <w:rPr>
          <w:rFonts w:ascii="Times New Roman" w:hAnsi="Times New Roman"/>
          <w:sz w:val="24"/>
        </w:rPr>
        <w:t>inance departments within the implementing entities and MoF</w:t>
      </w:r>
      <w:r>
        <w:rPr>
          <w:rFonts w:ascii="Times New Roman" w:hAnsi="Times New Roman"/>
          <w:sz w:val="24"/>
        </w:rPr>
        <w:t>.  E</w:t>
      </w:r>
      <w:r w:rsidRPr="00047C40">
        <w:rPr>
          <w:rFonts w:ascii="Times New Roman" w:hAnsi="Times New Roman"/>
          <w:sz w:val="24"/>
        </w:rPr>
        <w:t xml:space="preserve">x ante controls on financial compliance </w:t>
      </w:r>
      <w:r>
        <w:rPr>
          <w:rFonts w:ascii="Times New Roman" w:hAnsi="Times New Roman"/>
          <w:sz w:val="24"/>
        </w:rPr>
        <w:t xml:space="preserve">is the responsibility of </w:t>
      </w:r>
      <w:r w:rsidRPr="00047C40">
        <w:rPr>
          <w:rFonts w:ascii="Times New Roman" w:hAnsi="Times New Roman"/>
          <w:sz w:val="24"/>
        </w:rPr>
        <w:t xml:space="preserve">Inspection departments within the entities and MoF </w:t>
      </w:r>
      <w:r>
        <w:rPr>
          <w:rFonts w:ascii="Times New Roman" w:hAnsi="Times New Roman"/>
          <w:sz w:val="24"/>
        </w:rPr>
        <w:t xml:space="preserve">manages </w:t>
      </w:r>
      <w:r w:rsidRPr="00047C40">
        <w:rPr>
          <w:rFonts w:ascii="Times New Roman" w:hAnsi="Times New Roman"/>
          <w:sz w:val="24"/>
        </w:rPr>
        <w:t>ex post control activities and investigatio</w:t>
      </w:r>
      <w:r w:rsidR="000C5978">
        <w:rPr>
          <w:rFonts w:ascii="Times New Roman" w:hAnsi="Times New Roman"/>
          <w:sz w:val="24"/>
        </w:rPr>
        <w:t xml:space="preserve">ns of reported non-compliance. </w:t>
      </w:r>
      <w:r>
        <w:rPr>
          <w:rFonts w:ascii="Times New Roman" w:hAnsi="Times New Roman"/>
          <w:sz w:val="24"/>
        </w:rPr>
        <w:t>Originally the Ins</w:t>
      </w:r>
      <w:r w:rsidRPr="00047C40">
        <w:rPr>
          <w:rFonts w:ascii="Times New Roman" w:hAnsi="Times New Roman"/>
          <w:sz w:val="24"/>
        </w:rPr>
        <w:t>p</w:t>
      </w:r>
      <w:r>
        <w:rPr>
          <w:rFonts w:ascii="Times New Roman" w:hAnsi="Times New Roman"/>
          <w:sz w:val="24"/>
        </w:rPr>
        <w:t>ection departments were</w:t>
      </w:r>
      <w:r w:rsidRPr="00047C40">
        <w:rPr>
          <w:rFonts w:ascii="Times New Roman" w:hAnsi="Times New Roman"/>
          <w:sz w:val="24"/>
        </w:rPr>
        <w:t xml:space="preserve"> responsible to ensure compliance with Party </w:t>
      </w:r>
      <w:proofErr w:type="gramStart"/>
      <w:r w:rsidRPr="00047C40">
        <w:rPr>
          <w:rFonts w:ascii="Times New Roman" w:hAnsi="Times New Roman"/>
          <w:sz w:val="24"/>
        </w:rPr>
        <w:t>guidelines</w:t>
      </w:r>
      <w:proofErr w:type="gramEnd"/>
      <w:r w:rsidRPr="00047C40">
        <w:rPr>
          <w:rFonts w:ascii="Times New Roman" w:hAnsi="Times New Roman"/>
          <w:sz w:val="24"/>
        </w:rPr>
        <w:t xml:space="preserve"> but their role is </w:t>
      </w:r>
      <w:r>
        <w:rPr>
          <w:rFonts w:ascii="Times New Roman" w:hAnsi="Times New Roman"/>
          <w:sz w:val="24"/>
        </w:rPr>
        <w:t>now more and more focused</w:t>
      </w:r>
      <w:r w:rsidRPr="00047C40">
        <w:rPr>
          <w:rFonts w:ascii="Times New Roman" w:hAnsi="Times New Roman"/>
          <w:sz w:val="24"/>
        </w:rPr>
        <w:t xml:space="preserve"> on compliance with all government regulations concerning the state budget implementation. Following the adoption of the Anti-corruption Law, the budgetary auditing and inspection roles were expanded and in 2001, the State Inspection and Anti-Corruption Authority was established, answering directly to the </w:t>
      </w:r>
      <w:r>
        <w:rPr>
          <w:rFonts w:ascii="Times New Roman" w:hAnsi="Times New Roman"/>
          <w:sz w:val="24"/>
        </w:rPr>
        <w:t>Prime M</w:t>
      </w:r>
      <w:r w:rsidRPr="00047C40">
        <w:rPr>
          <w:rFonts w:ascii="Times New Roman" w:hAnsi="Times New Roman"/>
          <w:sz w:val="24"/>
        </w:rPr>
        <w:t>inister, with full powers to investigate any reported cases of corruption</w:t>
      </w:r>
      <w:r w:rsidR="000C5978">
        <w:rPr>
          <w:rFonts w:ascii="Times New Roman" w:hAnsi="Times New Roman"/>
          <w:sz w:val="24"/>
        </w:rPr>
        <w:t xml:space="preserve">. </w:t>
      </w:r>
      <w:r>
        <w:rPr>
          <w:rFonts w:ascii="Times New Roman" w:hAnsi="Times New Roman"/>
          <w:sz w:val="24"/>
        </w:rPr>
        <w:t>J</w:t>
      </w:r>
      <w:r w:rsidRPr="00047C40">
        <w:rPr>
          <w:rFonts w:ascii="Times New Roman" w:hAnsi="Times New Roman"/>
          <w:sz w:val="24"/>
        </w:rPr>
        <w:t>urisdiction cover</w:t>
      </w:r>
      <w:r>
        <w:rPr>
          <w:rFonts w:ascii="Times New Roman" w:hAnsi="Times New Roman"/>
          <w:sz w:val="24"/>
        </w:rPr>
        <w:t>s</w:t>
      </w:r>
      <w:r w:rsidRPr="00047C40">
        <w:rPr>
          <w:rFonts w:ascii="Times New Roman" w:hAnsi="Times New Roman"/>
          <w:sz w:val="24"/>
        </w:rPr>
        <w:t xml:space="preserve"> all financial activities at central and provincial level. The focus of the assessment has been on the role and responsibilities assigned to the Ministerial Inspection departments.</w:t>
      </w:r>
    </w:p>
    <w:p w14:paraId="6196767D" w14:textId="77777777" w:rsidR="007518E4" w:rsidRPr="00131A41" w:rsidRDefault="007518E4" w:rsidP="00DB50FA">
      <w:pPr>
        <w:spacing w:after="240"/>
        <w:ind w:left="0"/>
        <w:rPr>
          <w:rFonts w:ascii="Times New Roman" w:eastAsia="Calibri" w:hAnsi="Times New Roman"/>
          <w:b/>
          <w:bCs/>
          <w:color w:val="92D050"/>
          <w:spacing w:val="-1"/>
          <w:sz w:val="24"/>
        </w:rPr>
      </w:pPr>
      <w:r w:rsidRPr="00131A41">
        <w:rPr>
          <w:rFonts w:ascii="Times New Roman" w:eastAsia="Calibri" w:hAnsi="Times New Roman"/>
          <w:b/>
          <w:bCs/>
          <w:color w:val="92D050"/>
          <w:spacing w:val="-1"/>
          <w:sz w:val="24"/>
        </w:rPr>
        <w:t xml:space="preserve">26.1. Coverage of the </w:t>
      </w:r>
      <w:r>
        <w:rPr>
          <w:rFonts w:ascii="Times New Roman" w:eastAsia="Calibri" w:hAnsi="Times New Roman"/>
          <w:b/>
          <w:bCs/>
          <w:color w:val="92D050"/>
          <w:spacing w:val="-1"/>
          <w:sz w:val="24"/>
        </w:rPr>
        <w:t>i</w:t>
      </w:r>
      <w:r w:rsidRPr="00131A41">
        <w:rPr>
          <w:rFonts w:ascii="Times New Roman" w:eastAsia="Calibri" w:hAnsi="Times New Roman"/>
          <w:b/>
          <w:bCs/>
          <w:color w:val="92D050"/>
          <w:spacing w:val="-1"/>
          <w:sz w:val="24"/>
        </w:rPr>
        <w:t xml:space="preserve">nternal </w:t>
      </w:r>
      <w:r>
        <w:rPr>
          <w:rFonts w:ascii="Times New Roman" w:eastAsia="Calibri" w:hAnsi="Times New Roman"/>
          <w:b/>
          <w:bCs/>
          <w:color w:val="92D050"/>
          <w:spacing w:val="-1"/>
          <w:sz w:val="24"/>
        </w:rPr>
        <w:t>a</w:t>
      </w:r>
      <w:r w:rsidRPr="00131A41">
        <w:rPr>
          <w:rFonts w:ascii="Times New Roman" w:eastAsia="Calibri" w:hAnsi="Times New Roman"/>
          <w:b/>
          <w:bCs/>
          <w:color w:val="92D050"/>
          <w:spacing w:val="-1"/>
          <w:sz w:val="24"/>
        </w:rPr>
        <w:t xml:space="preserve">udit </w:t>
      </w:r>
    </w:p>
    <w:p w14:paraId="644C94F7" w14:textId="77777777" w:rsidR="007518E4" w:rsidRPr="00725AD7" w:rsidRDefault="007518E4" w:rsidP="008037D9">
      <w:pPr>
        <w:pStyle w:val="ListParagraph"/>
        <w:widowControl w:val="0"/>
        <w:numPr>
          <w:ilvl w:val="0"/>
          <w:numId w:val="72"/>
        </w:numPr>
        <w:autoSpaceDE w:val="0"/>
        <w:autoSpaceDN w:val="0"/>
        <w:adjustRightInd w:val="0"/>
        <w:spacing w:after="240"/>
        <w:ind w:left="0"/>
        <w:contextualSpacing w:val="0"/>
        <w:rPr>
          <w:rFonts w:ascii="Times New Roman" w:eastAsia="Calibri" w:hAnsi="Times New Roman"/>
          <w:b/>
          <w:sz w:val="24"/>
        </w:rPr>
      </w:pPr>
      <w:r w:rsidRPr="00DB50FA">
        <w:rPr>
          <w:rFonts w:ascii="Times New Roman" w:eastAsia="Calibri" w:hAnsi="Times New Roman"/>
          <w:b/>
          <w:sz w:val="24"/>
        </w:rPr>
        <w:t>Inspection Departments are, in principle, formally established and operational in all central government entities</w:t>
      </w:r>
      <w:r w:rsidRPr="00303823">
        <w:rPr>
          <w:rFonts w:ascii="Times New Roman" w:eastAsia="Calibri" w:hAnsi="Times New Roman"/>
          <w:sz w:val="24"/>
        </w:rPr>
        <w:t>.</w:t>
      </w:r>
      <w:r w:rsidR="000C5978">
        <w:rPr>
          <w:rFonts w:ascii="Times New Roman" w:eastAsia="Calibri" w:hAnsi="Times New Roman"/>
          <w:sz w:val="24"/>
        </w:rPr>
        <w:t xml:space="preserve"> </w:t>
      </w:r>
      <w:r w:rsidRPr="00725AD7">
        <w:rPr>
          <w:rFonts w:ascii="Times New Roman" w:eastAsia="Calibri" w:hAnsi="Times New Roman"/>
          <w:sz w:val="24"/>
        </w:rPr>
        <w:t>These carry out an ex post control function on all the concerned entity operations. The DG of the department reports directly to the Minister’s internal audit units and no</w:t>
      </w:r>
      <w:r w:rsidR="000C5978">
        <w:rPr>
          <w:rFonts w:ascii="Times New Roman" w:eastAsia="Calibri" w:hAnsi="Times New Roman"/>
          <w:sz w:val="24"/>
        </w:rPr>
        <w:t xml:space="preserve">n-functional audit committees. </w:t>
      </w:r>
      <w:r w:rsidRPr="00725AD7">
        <w:rPr>
          <w:rFonts w:ascii="Times New Roman" w:eastAsia="Calibri" w:hAnsi="Times New Roman"/>
          <w:sz w:val="24"/>
        </w:rPr>
        <w:t>With reference to specific international control framework and international internal audit standards, all the characteristics of an effective internal audit functio</w:t>
      </w:r>
      <w:r w:rsidR="000C5978">
        <w:rPr>
          <w:rFonts w:ascii="Times New Roman" w:eastAsia="Calibri" w:hAnsi="Times New Roman"/>
          <w:sz w:val="24"/>
        </w:rPr>
        <w:t xml:space="preserve">n are not currently fulfilled. </w:t>
      </w:r>
      <w:r w:rsidRPr="00725AD7">
        <w:rPr>
          <w:rFonts w:ascii="Times New Roman" w:eastAsia="Calibri" w:hAnsi="Times New Roman"/>
          <w:sz w:val="24"/>
        </w:rPr>
        <w:t xml:space="preserve">The capacity to cover the mandate is constrained by the absence of a formal legal framework to define an internal audit function. </w:t>
      </w:r>
      <w:r>
        <w:rPr>
          <w:rFonts w:ascii="Times New Roman" w:eastAsia="Calibri" w:hAnsi="Times New Roman"/>
          <w:sz w:val="24"/>
        </w:rPr>
        <w:t xml:space="preserve"> </w:t>
      </w:r>
      <w:r w:rsidRPr="00725AD7">
        <w:rPr>
          <w:rFonts w:ascii="Times New Roman" w:eastAsia="Calibri" w:hAnsi="Times New Roman"/>
          <w:sz w:val="24"/>
        </w:rPr>
        <w:t xml:space="preserve">However, the lack of formal standards does not preclude the effective role of the Inspection department to ensure compliance to the rules and regulations applicable within the Ministry, and the preparation of inspection work plans, filing of inspection reports for the decision of the senior management. </w:t>
      </w:r>
      <w:r>
        <w:rPr>
          <w:rFonts w:ascii="Times New Roman" w:eastAsia="Calibri" w:hAnsi="Times New Roman"/>
          <w:sz w:val="24"/>
        </w:rPr>
        <w:t>However</w:t>
      </w:r>
      <w:r w:rsidR="000C5978">
        <w:rPr>
          <w:rFonts w:ascii="Times New Roman" w:eastAsia="Calibri" w:hAnsi="Times New Roman"/>
          <w:sz w:val="24"/>
        </w:rPr>
        <w:t>,</w:t>
      </w:r>
      <w:r>
        <w:rPr>
          <w:rFonts w:ascii="Times New Roman" w:eastAsia="Calibri" w:hAnsi="Times New Roman"/>
          <w:sz w:val="24"/>
        </w:rPr>
        <w:t xml:space="preserve"> these functions are</w:t>
      </w:r>
      <w:r w:rsidRPr="00725AD7">
        <w:rPr>
          <w:rFonts w:ascii="Times New Roman" w:eastAsia="Calibri" w:hAnsi="Times New Roman"/>
          <w:sz w:val="24"/>
        </w:rPr>
        <w:t xml:space="preserve"> effectively constrained by available human and financial resources a</w:t>
      </w:r>
      <w:r>
        <w:rPr>
          <w:rFonts w:ascii="Times New Roman" w:eastAsia="Calibri" w:hAnsi="Times New Roman"/>
          <w:sz w:val="24"/>
        </w:rPr>
        <w:t>s well as the</w:t>
      </w:r>
      <w:r w:rsidRPr="00725AD7">
        <w:rPr>
          <w:rFonts w:ascii="Times New Roman" w:eastAsia="Calibri" w:hAnsi="Times New Roman"/>
          <w:sz w:val="24"/>
        </w:rPr>
        <w:t xml:space="preserve"> technical capacity of each ministry</w:t>
      </w:r>
      <w:r w:rsidR="000C44FB">
        <w:rPr>
          <w:rFonts w:ascii="Times New Roman" w:eastAsia="Calibri" w:hAnsi="Times New Roman"/>
          <w:sz w:val="24"/>
        </w:rPr>
        <w:t xml:space="preserve"> and their effective and operational coverage of the budgeted revenue and expenditures is limited.</w:t>
      </w:r>
    </w:p>
    <w:p w14:paraId="68FBB5B9" w14:textId="77777777" w:rsidR="007518E4" w:rsidRPr="00725AD7" w:rsidRDefault="007518E4" w:rsidP="008037D9">
      <w:pPr>
        <w:pStyle w:val="ListParagraph"/>
        <w:numPr>
          <w:ilvl w:val="0"/>
          <w:numId w:val="72"/>
        </w:numPr>
        <w:spacing w:after="240"/>
        <w:ind w:left="0"/>
        <w:contextualSpacing w:val="0"/>
        <w:rPr>
          <w:rFonts w:ascii="Times New Roman" w:hAnsi="Times New Roman"/>
          <w:sz w:val="24"/>
        </w:rPr>
      </w:pPr>
      <w:r w:rsidRPr="00DB50FA">
        <w:rPr>
          <w:rFonts w:ascii="Times New Roman" w:hAnsi="Times New Roman"/>
          <w:b/>
          <w:sz w:val="24"/>
        </w:rPr>
        <w:t xml:space="preserve">The Inspection departments in all government entities carry out ex post controls activities relating to the budget execution including some features of an </w:t>
      </w:r>
      <w:r w:rsidRPr="00DB50FA">
        <w:rPr>
          <w:rFonts w:ascii="Times New Roman" w:hAnsi="Times New Roman"/>
          <w:b/>
          <w:sz w:val="24"/>
        </w:rPr>
        <w:lastRenderedPageBreak/>
        <w:t>operational audit function.</w:t>
      </w:r>
      <w:r>
        <w:rPr>
          <w:rFonts w:ascii="Times New Roman" w:hAnsi="Times New Roman"/>
          <w:b/>
          <w:sz w:val="24"/>
        </w:rPr>
        <w:t xml:space="preserve"> </w:t>
      </w:r>
      <w:r w:rsidRPr="00725AD7">
        <w:rPr>
          <w:rFonts w:ascii="Times New Roman" w:hAnsi="Times New Roman"/>
          <w:sz w:val="24"/>
        </w:rPr>
        <w:t xml:space="preserve">These activities cover organizational independence, access to information and power to report to the </w:t>
      </w:r>
      <w:r>
        <w:rPr>
          <w:rFonts w:ascii="Times New Roman" w:hAnsi="Times New Roman"/>
          <w:sz w:val="24"/>
        </w:rPr>
        <w:t>H</w:t>
      </w:r>
      <w:r w:rsidR="000C5978">
        <w:rPr>
          <w:rFonts w:ascii="Times New Roman" w:hAnsi="Times New Roman"/>
          <w:sz w:val="24"/>
        </w:rPr>
        <w:t xml:space="preserve">ead of the ministry or entity. </w:t>
      </w:r>
      <w:r>
        <w:rPr>
          <w:rFonts w:ascii="Times New Roman" w:hAnsi="Times New Roman"/>
          <w:sz w:val="24"/>
        </w:rPr>
        <w:t xml:space="preserve">They </w:t>
      </w:r>
      <w:r w:rsidRPr="00725AD7">
        <w:rPr>
          <w:rFonts w:ascii="Times New Roman" w:hAnsi="Times New Roman"/>
          <w:sz w:val="24"/>
        </w:rPr>
        <w:t>do not operate</w:t>
      </w:r>
      <w:r w:rsidRPr="00725AD7">
        <w:rPr>
          <w:rFonts w:ascii="Times New Roman" w:hAnsi="Times New Roman"/>
          <w:b/>
          <w:sz w:val="24"/>
        </w:rPr>
        <w:t xml:space="preserve"> </w:t>
      </w:r>
      <w:r w:rsidRPr="00725AD7">
        <w:rPr>
          <w:rFonts w:ascii="Times New Roman" w:hAnsi="Times New Roman"/>
          <w:sz w:val="24"/>
        </w:rPr>
        <w:t>based on recognized international standards and professional audit techniques. Score D</w:t>
      </w:r>
    </w:p>
    <w:p w14:paraId="1B776CED" w14:textId="77777777" w:rsidR="007518E4" w:rsidRPr="00131A41" w:rsidRDefault="007518E4" w:rsidP="00DB50FA">
      <w:pPr>
        <w:spacing w:after="240"/>
        <w:ind w:left="0"/>
        <w:rPr>
          <w:rFonts w:ascii="Times New Roman" w:eastAsia="Calibri" w:hAnsi="Times New Roman"/>
          <w:b/>
          <w:bCs/>
          <w:color w:val="92D050"/>
          <w:spacing w:val="-1"/>
          <w:sz w:val="24"/>
        </w:rPr>
      </w:pPr>
      <w:r w:rsidRPr="00131A41">
        <w:rPr>
          <w:rFonts w:ascii="Times New Roman" w:eastAsia="Calibri" w:hAnsi="Times New Roman"/>
          <w:b/>
          <w:bCs/>
          <w:color w:val="92D050"/>
          <w:spacing w:val="-1"/>
          <w:sz w:val="24"/>
        </w:rPr>
        <w:t xml:space="preserve">26.2. Nature of </w:t>
      </w:r>
      <w:r>
        <w:rPr>
          <w:rFonts w:ascii="Times New Roman" w:eastAsia="Calibri" w:hAnsi="Times New Roman"/>
          <w:b/>
          <w:bCs/>
          <w:color w:val="92D050"/>
          <w:spacing w:val="-1"/>
          <w:sz w:val="24"/>
        </w:rPr>
        <w:t>a</w:t>
      </w:r>
      <w:r w:rsidRPr="00131A41">
        <w:rPr>
          <w:rFonts w:ascii="Times New Roman" w:eastAsia="Calibri" w:hAnsi="Times New Roman"/>
          <w:b/>
          <w:bCs/>
          <w:color w:val="92D050"/>
          <w:spacing w:val="-1"/>
          <w:sz w:val="24"/>
        </w:rPr>
        <w:t xml:space="preserve">udits and </w:t>
      </w:r>
      <w:r>
        <w:rPr>
          <w:rFonts w:ascii="Times New Roman" w:eastAsia="Calibri" w:hAnsi="Times New Roman"/>
          <w:b/>
          <w:bCs/>
          <w:color w:val="92D050"/>
          <w:spacing w:val="-1"/>
          <w:sz w:val="24"/>
        </w:rPr>
        <w:t>s</w:t>
      </w:r>
      <w:r w:rsidRPr="00131A41">
        <w:rPr>
          <w:rFonts w:ascii="Times New Roman" w:eastAsia="Calibri" w:hAnsi="Times New Roman"/>
          <w:b/>
          <w:bCs/>
          <w:color w:val="92D050"/>
          <w:spacing w:val="-1"/>
          <w:sz w:val="24"/>
        </w:rPr>
        <w:t xml:space="preserve">tandards </w:t>
      </w:r>
      <w:r>
        <w:rPr>
          <w:rFonts w:ascii="Times New Roman" w:eastAsia="Calibri" w:hAnsi="Times New Roman"/>
          <w:b/>
          <w:bCs/>
          <w:color w:val="92D050"/>
          <w:spacing w:val="-1"/>
          <w:sz w:val="24"/>
        </w:rPr>
        <w:t>a</w:t>
      </w:r>
      <w:r w:rsidRPr="00131A41">
        <w:rPr>
          <w:rFonts w:ascii="Times New Roman" w:eastAsia="Calibri" w:hAnsi="Times New Roman"/>
          <w:b/>
          <w:bCs/>
          <w:color w:val="92D050"/>
          <w:spacing w:val="-1"/>
          <w:sz w:val="24"/>
        </w:rPr>
        <w:t>pplied</w:t>
      </w:r>
    </w:p>
    <w:p w14:paraId="4F9A7718" w14:textId="77777777" w:rsidR="007518E4" w:rsidRPr="00725AD7" w:rsidRDefault="007518E4" w:rsidP="008037D9">
      <w:pPr>
        <w:pStyle w:val="ListParagraph"/>
        <w:widowControl w:val="0"/>
        <w:numPr>
          <w:ilvl w:val="0"/>
          <w:numId w:val="75"/>
        </w:numPr>
        <w:autoSpaceDE w:val="0"/>
        <w:autoSpaceDN w:val="0"/>
        <w:adjustRightInd w:val="0"/>
        <w:spacing w:after="240"/>
        <w:ind w:left="0"/>
        <w:contextualSpacing w:val="0"/>
        <w:rPr>
          <w:rFonts w:ascii="Times New Roman" w:eastAsia="Calibri" w:hAnsi="Times New Roman"/>
          <w:b/>
          <w:color w:val="000000" w:themeColor="text1"/>
          <w:sz w:val="24"/>
        </w:rPr>
      </w:pPr>
      <w:r w:rsidRPr="00DB50FA">
        <w:rPr>
          <w:rFonts w:ascii="Times New Roman" w:eastAsia="Calibri" w:hAnsi="Times New Roman"/>
          <w:b/>
          <w:color w:val="000000" w:themeColor="text1"/>
          <w:sz w:val="24"/>
        </w:rPr>
        <w:t xml:space="preserve">The role and responsibilities of the Inspection department are clearly defined in </w:t>
      </w:r>
      <w:proofErr w:type="spellStart"/>
      <w:r w:rsidRPr="00DB50FA">
        <w:rPr>
          <w:rFonts w:ascii="Times New Roman" w:eastAsia="Calibri" w:hAnsi="Times New Roman"/>
          <w:b/>
          <w:color w:val="000000" w:themeColor="text1"/>
          <w:sz w:val="24"/>
        </w:rPr>
        <w:t>ToRs</w:t>
      </w:r>
      <w:proofErr w:type="spellEnd"/>
      <w:r w:rsidRPr="00DB50FA">
        <w:rPr>
          <w:rFonts w:ascii="Times New Roman" w:eastAsia="Calibri" w:hAnsi="Times New Roman"/>
          <w:b/>
          <w:color w:val="000000" w:themeColor="text1"/>
          <w:sz w:val="24"/>
        </w:rPr>
        <w:t xml:space="preserve"> and operational manuals that cover both the compliance with the Party guidelines</w:t>
      </w:r>
      <w:r w:rsidRPr="00303823">
        <w:rPr>
          <w:rFonts w:ascii="Times New Roman" w:eastAsia="Calibri" w:hAnsi="Times New Roman"/>
          <w:color w:val="000000" w:themeColor="text1"/>
          <w:sz w:val="24"/>
        </w:rPr>
        <w:t>.</w:t>
      </w:r>
      <w:r w:rsidRPr="00725AD7">
        <w:rPr>
          <w:rFonts w:ascii="Times New Roman" w:eastAsia="Calibri" w:hAnsi="Times New Roman"/>
          <w:color w:val="000000" w:themeColor="text1"/>
          <w:sz w:val="24"/>
        </w:rPr>
        <w:t xml:space="preserve"> </w:t>
      </w:r>
      <w:r>
        <w:rPr>
          <w:rFonts w:ascii="Times New Roman" w:eastAsia="Calibri" w:hAnsi="Times New Roman"/>
          <w:color w:val="000000" w:themeColor="text1"/>
          <w:sz w:val="24"/>
        </w:rPr>
        <w:t>This is based o</w:t>
      </w:r>
      <w:r w:rsidRPr="00725AD7">
        <w:rPr>
          <w:rFonts w:ascii="Times New Roman" w:eastAsia="Calibri" w:hAnsi="Times New Roman"/>
          <w:color w:val="000000" w:themeColor="text1"/>
          <w:sz w:val="24"/>
        </w:rPr>
        <w:t>n the line ministries selected for the assessment, namel</w:t>
      </w:r>
      <w:r w:rsidR="000C5978">
        <w:rPr>
          <w:rFonts w:ascii="Times New Roman" w:eastAsia="Calibri" w:hAnsi="Times New Roman"/>
          <w:color w:val="000000" w:themeColor="text1"/>
          <w:sz w:val="24"/>
        </w:rPr>
        <w:t xml:space="preserve">y the </w:t>
      </w:r>
      <w:proofErr w:type="spellStart"/>
      <w:r w:rsidR="000C5978">
        <w:rPr>
          <w:rFonts w:ascii="Times New Roman" w:eastAsia="Calibri" w:hAnsi="Times New Roman"/>
          <w:color w:val="000000" w:themeColor="text1"/>
          <w:sz w:val="24"/>
        </w:rPr>
        <w:t>MoES</w:t>
      </w:r>
      <w:proofErr w:type="spellEnd"/>
      <w:r w:rsidR="000C5978">
        <w:rPr>
          <w:rFonts w:ascii="Times New Roman" w:eastAsia="Calibri" w:hAnsi="Times New Roman"/>
          <w:color w:val="000000" w:themeColor="text1"/>
          <w:sz w:val="24"/>
        </w:rPr>
        <w:t xml:space="preserve">, </w:t>
      </w:r>
      <w:proofErr w:type="spellStart"/>
      <w:r w:rsidR="000C5978">
        <w:rPr>
          <w:rFonts w:ascii="Times New Roman" w:eastAsia="Calibri" w:hAnsi="Times New Roman"/>
          <w:color w:val="000000" w:themeColor="text1"/>
          <w:sz w:val="24"/>
        </w:rPr>
        <w:t>MoH</w:t>
      </w:r>
      <w:proofErr w:type="spellEnd"/>
      <w:r w:rsidR="000C5978">
        <w:rPr>
          <w:rFonts w:ascii="Times New Roman" w:eastAsia="Calibri" w:hAnsi="Times New Roman"/>
          <w:color w:val="000000" w:themeColor="text1"/>
          <w:sz w:val="24"/>
        </w:rPr>
        <w:t xml:space="preserve">, </w:t>
      </w:r>
      <w:proofErr w:type="spellStart"/>
      <w:r w:rsidR="000C5978">
        <w:rPr>
          <w:rFonts w:ascii="Times New Roman" w:eastAsia="Calibri" w:hAnsi="Times New Roman"/>
          <w:color w:val="000000" w:themeColor="text1"/>
          <w:sz w:val="24"/>
        </w:rPr>
        <w:t>MoPW</w:t>
      </w:r>
      <w:proofErr w:type="spellEnd"/>
      <w:r w:rsidR="000C5978">
        <w:rPr>
          <w:rFonts w:ascii="Times New Roman" w:eastAsia="Calibri" w:hAnsi="Times New Roman"/>
          <w:color w:val="000000" w:themeColor="text1"/>
          <w:sz w:val="24"/>
        </w:rPr>
        <w:t xml:space="preserve"> and MoF. </w:t>
      </w:r>
      <w:r>
        <w:rPr>
          <w:rFonts w:ascii="Times New Roman" w:eastAsia="Calibri" w:hAnsi="Times New Roman"/>
          <w:color w:val="000000" w:themeColor="text1"/>
          <w:sz w:val="24"/>
        </w:rPr>
        <w:t xml:space="preserve">These roles and responsibilities cover </w:t>
      </w:r>
      <w:r w:rsidRPr="00725AD7">
        <w:rPr>
          <w:rFonts w:ascii="Times New Roman" w:eastAsia="Calibri" w:hAnsi="Times New Roman"/>
          <w:color w:val="000000" w:themeColor="text1"/>
          <w:sz w:val="24"/>
        </w:rPr>
        <w:t>the plan and budget execution</w:t>
      </w:r>
      <w:r w:rsidR="00005321">
        <w:rPr>
          <w:rFonts w:ascii="Times New Roman" w:eastAsia="Calibri" w:hAnsi="Times New Roman"/>
          <w:color w:val="000000" w:themeColor="text1"/>
          <w:sz w:val="24"/>
        </w:rPr>
        <w:t>,</w:t>
      </w:r>
      <w:r w:rsidRPr="00725AD7">
        <w:rPr>
          <w:rFonts w:ascii="Times New Roman" w:eastAsia="Calibri" w:hAnsi="Times New Roman"/>
          <w:color w:val="000000" w:themeColor="text1"/>
          <w:sz w:val="24"/>
        </w:rPr>
        <w:t xml:space="preserve"> monitoring, follow up on the SAO recommendations and any other tasks assigned by the senior management. As an illustration, MoF Inspection department is composed of 4 divisions defined as:</w:t>
      </w:r>
      <w:r w:rsidRPr="00725AD7">
        <w:rPr>
          <w:rFonts w:ascii="Times New Roman" w:hAnsi="Times New Roman"/>
          <w:color w:val="000000" w:themeColor="text1"/>
          <w:sz w:val="24"/>
        </w:rPr>
        <w:t xml:space="preserve"> party inspection, state budget inspection, anti-corruption, follow up and resolution</w:t>
      </w:r>
      <w:r>
        <w:rPr>
          <w:rFonts w:ascii="Times New Roman" w:hAnsi="Times New Roman"/>
          <w:color w:val="000000" w:themeColor="text1"/>
          <w:sz w:val="24"/>
        </w:rPr>
        <w:t>.  Article</w:t>
      </w:r>
      <w:r w:rsidRPr="00725AD7">
        <w:rPr>
          <w:rFonts w:ascii="Times New Roman" w:eastAsia="Calibri" w:hAnsi="Times New Roman"/>
          <w:color w:val="000000" w:themeColor="text1"/>
          <w:sz w:val="24"/>
        </w:rPr>
        <w:t xml:space="preserve"> 3. para.7 to 10 of the </w:t>
      </w:r>
      <w:proofErr w:type="spellStart"/>
      <w:r w:rsidRPr="00725AD7">
        <w:rPr>
          <w:rFonts w:ascii="Times New Roman" w:eastAsia="Calibri" w:hAnsi="Times New Roman"/>
          <w:color w:val="000000" w:themeColor="text1"/>
          <w:sz w:val="24"/>
        </w:rPr>
        <w:t>ToRs</w:t>
      </w:r>
      <w:proofErr w:type="spellEnd"/>
      <w:r w:rsidRPr="00725AD7">
        <w:rPr>
          <w:rFonts w:ascii="Times New Roman" w:eastAsia="Calibri" w:hAnsi="Times New Roman"/>
          <w:color w:val="000000" w:themeColor="text1"/>
          <w:sz w:val="24"/>
        </w:rPr>
        <w:t xml:space="preserve"> defines its duties and responsibilities as follows:</w:t>
      </w:r>
    </w:p>
    <w:p w14:paraId="73D7B9FE" w14:textId="77777777" w:rsidR="007518E4" w:rsidRPr="001A7412"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1A7412">
        <w:rPr>
          <w:rFonts w:ascii="Times New Roman" w:hAnsi="Times New Roman"/>
          <w:color w:val="000000" w:themeColor="text1"/>
          <w:sz w:val="24"/>
        </w:rPr>
        <w:t>covers all state agencies and liaise with all state budget Inspection departments of line ministries, finance offices of the provinces and districts in relation to the budget execution,</w:t>
      </w:r>
    </w:p>
    <w:p w14:paraId="36074327" w14:textId="77777777" w:rsidR="007518E4" w:rsidRPr="001A7412"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1A7412">
        <w:rPr>
          <w:rFonts w:ascii="Times New Roman" w:hAnsi="Times New Roman"/>
          <w:color w:val="000000" w:themeColor="text1"/>
          <w:sz w:val="24"/>
        </w:rPr>
        <w:t>covers all staff and carry out inspection of all civil servants in the Finance sector, Finance departments of provinces and districts who violate the instructions and rules,</w:t>
      </w:r>
    </w:p>
    <w:p w14:paraId="4FA80F00" w14:textId="77777777" w:rsidR="007518E4" w:rsidRPr="001A7412"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1A7412">
        <w:rPr>
          <w:rFonts w:ascii="Times New Roman" w:hAnsi="Times New Roman"/>
          <w:color w:val="000000" w:themeColor="text1"/>
          <w:sz w:val="24"/>
        </w:rPr>
        <w:t>has the mandate to investigate anti-corruption cases based on art</w:t>
      </w:r>
      <w:r>
        <w:rPr>
          <w:rFonts w:ascii="Times New Roman" w:hAnsi="Times New Roman"/>
          <w:color w:val="000000" w:themeColor="text1"/>
          <w:sz w:val="24"/>
        </w:rPr>
        <w:t>icle</w:t>
      </w:r>
      <w:r w:rsidRPr="001A7412">
        <w:rPr>
          <w:rFonts w:ascii="Times New Roman" w:hAnsi="Times New Roman"/>
          <w:color w:val="000000" w:themeColor="text1"/>
          <w:sz w:val="24"/>
        </w:rPr>
        <w:t xml:space="preserve"> 41 of the Anti-corruption Law,</w:t>
      </w:r>
    </w:p>
    <w:p w14:paraId="7D54590D" w14:textId="77777777" w:rsidR="007518E4" w:rsidRPr="001A7412"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1A7412">
        <w:rPr>
          <w:rFonts w:ascii="Times New Roman" w:hAnsi="Times New Roman"/>
          <w:color w:val="000000" w:themeColor="text1"/>
          <w:sz w:val="24"/>
        </w:rPr>
        <w:t xml:space="preserve">carry-out preventive activities for anti-corruption, investigations of the individuals, agencies, etc. </w:t>
      </w:r>
    </w:p>
    <w:p w14:paraId="27E930B3" w14:textId="77777777" w:rsidR="007518E4" w:rsidRPr="001A7412" w:rsidRDefault="007518E4" w:rsidP="000C5978">
      <w:pPr>
        <w:pStyle w:val="ListParagraph"/>
        <w:widowControl w:val="0"/>
        <w:numPr>
          <w:ilvl w:val="0"/>
          <w:numId w:val="76"/>
        </w:numPr>
        <w:autoSpaceDE w:val="0"/>
        <w:autoSpaceDN w:val="0"/>
        <w:adjustRightInd w:val="0"/>
        <w:spacing w:before="0" w:after="120"/>
        <w:ind w:left="714" w:hanging="357"/>
        <w:contextualSpacing w:val="0"/>
        <w:rPr>
          <w:rFonts w:ascii="Times New Roman" w:hAnsi="Times New Roman"/>
          <w:color w:val="000000" w:themeColor="text1"/>
          <w:sz w:val="24"/>
        </w:rPr>
      </w:pPr>
      <w:r w:rsidRPr="001A7412">
        <w:rPr>
          <w:rFonts w:ascii="Times New Roman" w:hAnsi="Times New Roman"/>
          <w:color w:val="000000" w:themeColor="text1"/>
          <w:sz w:val="24"/>
        </w:rPr>
        <w:t>maintain the records and register of declaration of assets.</w:t>
      </w:r>
    </w:p>
    <w:p w14:paraId="37FE08F0" w14:textId="77777777" w:rsidR="007518E4" w:rsidRPr="00725AD7" w:rsidRDefault="007518E4" w:rsidP="008037D9">
      <w:pPr>
        <w:pStyle w:val="ListParagraph"/>
        <w:numPr>
          <w:ilvl w:val="0"/>
          <w:numId w:val="75"/>
        </w:numPr>
        <w:spacing w:after="240"/>
        <w:ind w:left="0"/>
        <w:contextualSpacing w:val="0"/>
        <w:rPr>
          <w:rFonts w:ascii="Times New Roman" w:hAnsi="Times New Roman"/>
          <w:bCs/>
          <w:color w:val="000000" w:themeColor="text1"/>
          <w:sz w:val="24"/>
        </w:rPr>
      </w:pPr>
      <w:r w:rsidRPr="00DB50FA">
        <w:rPr>
          <w:rFonts w:ascii="Times New Roman" w:hAnsi="Times New Roman"/>
          <w:b/>
          <w:bCs/>
          <w:color w:val="000000" w:themeColor="text1"/>
          <w:sz w:val="24"/>
        </w:rPr>
        <w:t>In practice, the Inspection departments’ activities primarily focused on financial compliance and ex post controls and investigations</w:t>
      </w:r>
      <w:r w:rsidRPr="00303823">
        <w:rPr>
          <w:rFonts w:ascii="Times New Roman" w:hAnsi="Times New Roman"/>
          <w:bCs/>
          <w:color w:val="000000" w:themeColor="text1"/>
          <w:sz w:val="24"/>
        </w:rPr>
        <w:t xml:space="preserve">. </w:t>
      </w:r>
      <w:r>
        <w:rPr>
          <w:rFonts w:ascii="Times New Roman" w:hAnsi="Times New Roman"/>
          <w:bCs/>
          <w:color w:val="000000" w:themeColor="text1"/>
          <w:sz w:val="24"/>
        </w:rPr>
        <w:t>They</w:t>
      </w:r>
      <w:r w:rsidRPr="00725AD7">
        <w:rPr>
          <w:rFonts w:ascii="Times New Roman" w:hAnsi="Times New Roman"/>
          <w:bCs/>
          <w:color w:val="000000" w:themeColor="text1"/>
          <w:sz w:val="24"/>
        </w:rPr>
        <w:t xml:space="preserve"> do not relate directly to the adequacy and effectiveness of internal controls in place. The focus of the government is to reinforce compliance with financial regulatory framework </w:t>
      </w:r>
      <w:proofErr w:type="gramStart"/>
      <w:r w:rsidRPr="00725AD7">
        <w:rPr>
          <w:rFonts w:ascii="Times New Roman" w:hAnsi="Times New Roman"/>
          <w:bCs/>
          <w:color w:val="000000" w:themeColor="text1"/>
          <w:sz w:val="24"/>
        </w:rPr>
        <w:t>as a way to</w:t>
      </w:r>
      <w:proofErr w:type="gramEnd"/>
      <w:r w:rsidRPr="00725AD7">
        <w:rPr>
          <w:rFonts w:ascii="Times New Roman" w:hAnsi="Times New Roman"/>
          <w:bCs/>
          <w:color w:val="000000" w:themeColor="text1"/>
          <w:sz w:val="24"/>
        </w:rPr>
        <w:t xml:space="preserve"> strengthen fiscal discipline</w:t>
      </w:r>
      <w:r w:rsidR="000C5978">
        <w:rPr>
          <w:rFonts w:ascii="Times New Roman" w:hAnsi="Times New Roman"/>
          <w:bCs/>
          <w:color w:val="000000" w:themeColor="text1"/>
          <w:sz w:val="24"/>
        </w:rPr>
        <w:t xml:space="preserve">. </w:t>
      </w:r>
      <w:r>
        <w:rPr>
          <w:rFonts w:ascii="Times New Roman" w:hAnsi="Times New Roman"/>
          <w:bCs/>
          <w:color w:val="000000" w:themeColor="text1"/>
          <w:sz w:val="24"/>
        </w:rPr>
        <w:t>F</w:t>
      </w:r>
      <w:r w:rsidRPr="00725AD7">
        <w:rPr>
          <w:rFonts w:ascii="Times New Roman" w:hAnsi="Times New Roman"/>
          <w:bCs/>
          <w:color w:val="000000" w:themeColor="text1"/>
          <w:sz w:val="24"/>
        </w:rPr>
        <w:t xml:space="preserve">or instance, there is no reference to a specific internal control environment or framework in the State Budget Law. There is no reference to a risk-based approach or risk assessment methodology in the Inspection departments’ description of scope of work. </w:t>
      </w:r>
    </w:p>
    <w:p w14:paraId="27A9A4B9" w14:textId="77777777" w:rsidR="007518E4" w:rsidRPr="001A7412" w:rsidRDefault="007518E4" w:rsidP="008037D9">
      <w:pPr>
        <w:pStyle w:val="ListParagraph"/>
        <w:widowControl w:val="0"/>
        <w:numPr>
          <w:ilvl w:val="0"/>
          <w:numId w:val="75"/>
        </w:numPr>
        <w:autoSpaceDE w:val="0"/>
        <w:autoSpaceDN w:val="0"/>
        <w:adjustRightInd w:val="0"/>
        <w:spacing w:after="240"/>
        <w:ind w:left="0"/>
        <w:contextualSpacing w:val="0"/>
        <w:rPr>
          <w:rFonts w:ascii="Times New Roman" w:eastAsia="Calibri" w:hAnsi="Times New Roman"/>
          <w:color w:val="000000" w:themeColor="text1"/>
          <w:sz w:val="24"/>
        </w:rPr>
      </w:pPr>
      <w:r w:rsidRPr="00DB50FA">
        <w:rPr>
          <w:rFonts w:ascii="Times New Roman" w:hAnsi="Times New Roman"/>
          <w:b/>
          <w:bCs/>
          <w:color w:val="000000" w:themeColor="text1"/>
          <w:sz w:val="24"/>
        </w:rPr>
        <w:t>Internal audit activities largely focus on compliance</w:t>
      </w:r>
      <w:r w:rsidRPr="00303823">
        <w:rPr>
          <w:rFonts w:ascii="Times New Roman" w:hAnsi="Times New Roman"/>
          <w:bCs/>
          <w:color w:val="000000" w:themeColor="text1"/>
          <w:sz w:val="24"/>
        </w:rPr>
        <w:t>.</w:t>
      </w:r>
      <w:r>
        <w:rPr>
          <w:rFonts w:ascii="Times New Roman" w:hAnsi="Times New Roman"/>
          <w:b/>
          <w:bCs/>
          <w:color w:val="000000" w:themeColor="text1"/>
          <w:sz w:val="24"/>
        </w:rPr>
        <w:t xml:space="preserve"> </w:t>
      </w:r>
      <w:r>
        <w:rPr>
          <w:rFonts w:ascii="Times New Roman" w:hAnsi="Times New Roman"/>
          <w:bCs/>
          <w:color w:val="000000" w:themeColor="text1"/>
          <w:sz w:val="24"/>
        </w:rPr>
        <w:t>T</w:t>
      </w:r>
      <w:r w:rsidRPr="001A7412">
        <w:rPr>
          <w:rFonts w:ascii="Times New Roman" w:hAnsi="Times New Roman"/>
          <w:bCs/>
          <w:color w:val="000000" w:themeColor="text1"/>
          <w:sz w:val="24"/>
        </w:rPr>
        <w:t>here is no quality assurance system in place as the Inspection departments to not operate on defined audit standards and report exclusively to the Head of their respective entity</w:t>
      </w:r>
      <w:r w:rsidRPr="001A7412">
        <w:rPr>
          <w:rFonts w:ascii="Times New Roman" w:eastAsia="Calibri" w:hAnsi="Times New Roman"/>
          <w:color w:val="000000" w:themeColor="text1"/>
          <w:sz w:val="24"/>
        </w:rPr>
        <w:t xml:space="preserve">: </w:t>
      </w:r>
      <w:r w:rsidRPr="001A7412">
        <w:rPr>
          <w:rFonts w:ascii="Times New Roman" w:hAnsi="Times New Roman"/>
          <w:bCs/>
          <w:color w:val="000000" w:themeColor="text1"/>
          <w:sz w:val="24"/>
        </w:rPr>
        <w:t xml:space="preserve">Score D </w:t>
      </w:r>
    </w:p>
    <w:p w14:paraId="32211643" w14:textId="77777777" w:rsidR="007518E4" w:rsidRPr="00131A41" w:rsidRDefault="007518E4" w:rsidP="00DB50FA">
      <w:pPr>
        <w:spacing w:after="240"/>
        <w:ind w:left="0"/>
        <w:rPr>
          <w:rFonts w:ascii="Times New Roman" w:hAnsi="Times New Roman"/>
          <w:color w:val="92D050"/>
          <w:sz w:val="24"/>
        </w:rPr>
      </w:pPr>
      <w:r w:rsidRPr="00131A41">
        <w:rPr>
          <w:rFonts w:ascii="Times New Roman" w:eastAsia="Calibri" w:hAnsi="Times New Roman"/>
          <w:b/>
          <w:bCs/>
          <w:color w:val="92D050"/>
          <w:spacing w:val="-1"/>
          <w:sz w:val="24"/>
        </w:rPr>
        <w:t xml:space="preserve">26.3. Implementation of </w:t>
      </w:r>
      <w:r>
        <w:rPr>
          <w:rFonts w:ascii="Times New Roman" w:eastAsia="Calibri" w:hAnsi="Times New Roman"/>
          <w:b/>
          <w:bCs/>
          <w:color w:val="92D050"/>
          <w:spacing w:val="-1"/>
          <w:sz w:val="24"/>
        </w:rPr>
        <w:t>i</w:t>
      </w:r>
      <w:r w:rsidRPr="00131A41">
        <w:rPr>
          <w:rFonts w:ascii="Times New Roman" w:eastAsia="Calibri" w:hAnsi="Times New Roman"/>
          <w:b/>
          <w:bCs/>
          <w:color w:val="92D050"/>
          <w:spacing w:val="-1"/>
          <w:sz w:val="24"/>
        </w:rPr>
        <w:t xml:space="preserve">nternal </w:t>
      </w:r>
      <w:r>
        <w:rPr>
          <w:rFonts w:ascii="Times New Roman" w:eastAsia="Calibri" w:hAnsi="Times New Roman"/>
          <w:b/>
          <w:bCs/>
          <w:color w:val="92D050"/>
          <w:spacing w:val="-1"/>
          <w:sz w:val="24"/>
        </w:rPr>
        <w:t>a</w:t>
      </w:r>
      <w:r w:rsidRPr="00131A41">
        <w:rPr>
          <w:rFonts w:ascii="Times New Roman" w:eastAsia="Calibri" w:hAnsi="Times New Roman"/>
          <w:b/>
          <w:bCs/>
          <w:color w:val="92D050"/>
          <w:spacing w:val="-1"/>
          <w:sz w:val="24"/>
        </w:rPr>
        <w:t xml:space="preserve">udit and </w:t>
      </w:r>
      <w:r>
        <w:rPr>
          <w:rFonts w:ascii="Times New Roman" w:eastAsia="Calibri" w:hAnsi="Times New Roman"/>
          <w:b/>
          <w:bCs/>
          <w:color w:val="92D050"/>
          <w:spacing w:val="-1"/>
          <w:sz w:val="24"/>
        </w:rPr>
        <w:t>r</w:t>
      </w:r>
      <w:r w:rsidRPr="00131A41">
        <w:rPr>
          <w:rFonts w:ascii="Times New Roman" w:eastAsia="Calibri" w:hAnsi="Times New Roman"/>
          <w:b/>
          <w:bCs/>
          <w:color w:val="92D050"/>
          <w:spacing w:val="-1"/>
          <w:sz w:val="24"/>
        </w:rPr>
        <w:t>eporting</w:t>
      </w:r>
    </w:p>
    <w:p w14:paraId="3A5FE600" w14:textId="77777777" w:rsidR="007518E4" w:rsidRPr="001A7412" w:rsidRDefault="007518E4" w:rsidP="008037D9">
      <w:pPr>
        <w:pStyle w:val="ListParagraph"/>
        <w:widowControl w:val="0"/>
        <w:numPr>
          <w:ilvl w:val="0"/>
          <w:numId w:val="79"/>
        </w:numPr>
        <w:autoSpaceDE w:val="0"/>
        <w:autoSpaceDN w:val="0"/>
        <w:adjustRightInd w:val="0"/>
        <w:spacing w:after="240"/>
        <w:ind w:left="0"/>
        <w:contextualSpacing w:val="0"/>
        <w:rPr>
          <w:rFonts w:ascii="Times New Roman" w:hAnsi="Times New Roman"/>
          <w:i/>
          <w:color w:val="000000"/>
          <w:sz w:val="24"/>
        </w:rPr>
      </w:pPr>
      <w:r w:rsidRPr="00DB50FA">
        <w:rPr>
          <w:rFonts w:ascii="Times New Roman" w:eastAsia="Calibri" w:hAnsi="Times New Roman"/>
          <w:b/>
          <w:sz w:val="24"/>
        </w:rPr>
        <w:t>Each Inspection department in line ministry prepares an annual work plan approved by the Minister or Head of agency which guides its work during the financial year.</w:t>
      </w:r>
      <w:r w:rsidRPr="00303823">
        <w:rPr>
          <w:rFonts w:ascii="Times New Roman" w:eastAsia="Calibri" w:hAnsi="Times New Roman"/>
          <w:sz w:val="24"/>
        </w:rPr>
        <w:t xml:space="preserve"> There are no internal a</w:t>
      </w:r>
      <w:r w:rsidR="000C5978">
        <w:rPr>
          <w:rFonts w:ascii="Times New Roman" w:eastAsia="Calibri" w:hAnsi="Times New Roman"/>
          <w:sz w:val="24"/>
        </w:rPr>
        <w:t xml:space="preserve">udit committees or equivalent. </w:t>
      </w:r>
      <w:r w:rsidRPr="00303823">
        <w:rPr>
          <w:rFonts w:ascii="Times New Roman" w:eastAsia="Calibri" w:hAnsi="Times New Roman"/>
          <w:sz w:val="24"/>
        </w:rPr>
        <w:t>The inspection reports produced f</w:t>
      </w:r>
      <w:r w:rsidRPr="001A7412">
        <w:rPr>
          <w:rFonts w:ascii="Times New Roman" w:eastAsia="Calibri" w:hAnsi="Times New Roman"/>
          <w:sz w:val="24"/>
        </w:rPr>
        <w:t>or each case or activity are submitted to the Minister or Head of the agency for review and decision. Additional activities are directly assigned by the Minister or Head of Agency during the financial year. The MoF Inspection department mentioned that actual implementation of the approved annual work plan is limited by the lack of</w:t>
      </w:r>
      <w:r w:rsidRPr="001A7412">
        <w:rPr>
          <w:rFonts w:ascii="Times New Roman" w:hAnsi="Times New Roman"/>
          <w:color w:val="000000"/>
          <w:sz w:val="24"/>
        </w:rPr>
        <w:t xml:space="preserve"> availability of resources and the insufficient staffing levels</w:t>
      </w:r>
      <w:r w:rsidR="000C5978">
        <w:rPr>
          <w:rFonts w:ascii="Times New Roman" w:hAnsi="Times New Roman"/>
          <w:color w:val="000000"/>
          <w:sz w:val="24"/>
        </w:rPr>
        <w:t xml:space="preserve">. </w:t>
      </w:r>
      <w:r>
        <w:rPr>
          <w:rFonts w:ascii="Times New Roman" w:hAnsi="Times New Roman"/>
          <w:color w:val="000000"/>
          <w:sz w:val="24"/>
        </w:rPr>
        <w:t>Th</w:t>
      </w:r>
      <w:r w:rsidRPr="001A7412">
        <w:rPr>
          <w:rFonts w:ascii="Times New Roman" w:hAnsi="Times New Roman"/>
          <w:color w:val="000000"/>
          <w:sz w:val="24"/>
        </w:rPr>
        <w:t xml:space="preserve">e MoF inspection department has 40 inspectors to cover 15 </w:t>
      </w:r>
      <w:r w:rsidRPr="001A7412">
        <w:rPr>
          <w:rFonts w:ascii="Times New Roman" w:hAnsi="Times New Roman"/>
          <w:color w:val="000000"/>
          <w:sz w:val="24"/>
        </w:rPr>
        <w:lastRenderedPageBreak/>
        <w:t xml:space="preserve">departments in MoF and all 18 provinces and capital. </w:t>
      </w:r>
      <w:r w:rsidRPr="001A7412">
        <w:rPr>
          <w:rFonts w:ascii="Times New Roman" w:eastAsia="Calibri" w:hAnsi="Times New Roman"/>
          <w:color w:val="000000"/>
          <w:sz w:val="24"/>
        </w:rPr>
        <w:t>Data was not available at the time of assessment on the work</w:t>
      </w:r>
      <w:r>
        <w:rPr>
          <w:rFonts w:ascii="Times New Roman" w:eastAsia="Calibri" w:hAnsi="Times New Roman"/>
          <w:color w:val="000000"/>
          <w:sz w:val="24"/>
        </w:rPr>
        <w:t xml:space="preserve"> </w:t>
      </w:r>
      <w:r w:rsidRPr="001A7412">
        <w:rPr>
          <w:rFonts w:ascii="Times New Roman" w:eastAsia="Calibri" w:hAnsi="Times New Roman"/>
          <w:color w:val="000000"/>
          <w:sz w:val="24"/>
        </w:rPr>
        <w:t>plan and planned assignments and actual activities undertaken. The departments themselves do not track systematically or report on the coverage of their respective annual plans.</w:t>
      </w:r>
    </w:p>
    <w:p w14:paraId="0C0769CA" w14:textId="77777777" w:rsidR="007518E4" w:rsidRPr="00303823" w:rsidRDefault="007518E4" w:rsidP="008037D9">
      <w:pPr>
        <w:pStyle w:val="ListParagraph"/>
        <w:numPr>
          <w:ilvl w:val="0"/>
          <w:numId w:val="79"/>
        </w:numPr>
        <w:spacing w:after="240"/>
        <w:ind w:left="0"/>
        <w:contextualSpacing w:val="0"/>
        <w:rPr>
          <w:rFonts w:ascii="Times New Roman" w:hAnsi="Times New Roman"/>
          <w:sz w:val="24"/>
        </w:rPr>
      </w:pPr>
      <w:r w:rsidRPr="00DB50FA">
        <w:rPr>
          <w:rFonts w:ascii="Times New Roman" w:hAnsi="Times New Roman"/>
          <w:b/>
          <w:sz w:val="24"/>
        </w:rPr>
        <w:t>Although inspection annual work plan</w:t>
      </w:r>
      <w:r w:rsidR="00C30762">
        <w:rPr>
          <w:rFonts w:ascii="Times New Roman" w:hAnsi="Times New Roman"/>
          <w:b/>
          <w:sz w:val="24"/>
        </w:rPr>
        <w:t>s</w:t>
      </w:r>
      <w:r w:rsidRPr="00DB50FA">
        <w:rPr>
          <w:rFonts w:ascii="Times New Roman" w:hAnsi="Times New Roman"/>
          <w:b/>
          <w:sz w:val="24"/>
        </w:rPr>
        <w:t xml:space="preserve"> are formally prepared and approved, no evidence was provided to confirm the actual implementation of the work plan in the line ministries selected for the assessment</w:t>
      </w:r>
      <w:r w:rsidRPr="00303823">
        <w:rPr>
          <w:rFonts w:ascii="Times New Roman" w:hAnsi="Times New Roman"/>
          <w:sz w:val="24"/>
        </w:rPr>
        <w:t>: Score D*</w:t>
      </w:r>
    </w:p>
    <w:p w14:paraId="1372316B" w14:textId="77777777" w:rsidR="007518E4" w:rsidRPr="00131A41" w:rsidRDefault="007518E4" w:rsidP="001114E6">
      <w:pPr>
        <w:spacing w:after="240"/>
        <w:ind w:left="0"/>
        <w:rPr>
          <w:rFonts w:ascii="Times New Roman" w:eastAsia="Calibri" w:hAnsi="Times New Roman"/>
          <w:b/>
          <w:bCs/>
          <w:color w:val="92D050"/>
          <w:spacing w:val="-1"/>
          <w:sz w:val="24"/>
        </w:rPr>
      </w:pPr>
      <w:r w:rsidRPr="00131A41">
        <w:rPr>
          <w:rFonts w:ascii="Times New Roman" w:eastAsia="Calibri" w:hAnsi="Times New Roman"/>
          <w:b/>
          <w:bCs/>
          <w:color w:val="92D050"/>
          <w:spacing w:val="-1"/>
          <w:sz w:val="24"/>
        </w:rPr>
        <w:t xml:space="preserve">26.4. Response to </w:t>
      </w:r>
      <w:r>
        <w:rPr>
          <w:rFonts w:ascii="Times New Roman" w:eastAsia="Calibri" w:hAnsi="Times New Roman"/>
          <w:b/>
          <w:bCs/>
          <w:color w:val="92D050"/>
          <w:spacing w:val="-1"/>
          <w:sz w:val="24"/>
        </w:rPr>
        <w:t>i</w:t>
      </w:r>
      <w:r w:rsidRPr="00131A41">
        <w:rPr>
          <w:rFonts w:ascii="Times New Roman" w:eastAsia="Calibri" w:hAnsi="Times New Roman"/>
          <w:b/>
          <w:bCs/>
          <w:color w:val="92D050"/>
          <w:spacing w:val="-1"/>
          <w:sz w:val="24"/>
        </w:rPr>
        <w:t xml:space="preserve">nternal </w:t>
      </w:r>
      <w:r>
        <w:rPr>
          <w:rFonts w:ascii="Times New Roman" w:eastAsia="Calibri" w:hAnsi="Times New Roman"/>
          <w:b/>
          <w:bCs/>
          <w:color w:val="92D050"/>
          <w:spacing w:val="-1"/>
          <w:sz w:val="24"/>
        </w:rPr>
        <w:t>a</w:t>
      </w:r>
      <w:r w:rsidRPr="00131A41">
        <w:rPr>
          <w:rFonts w:ascii="Times New Roman" w:eastAsia="Calibri" w:hAnsi="Times New Roman"/>
          <w:b/>
          <w:bCs/>
          <w:color w:val="92D050"/>
          <w:spacing w:val="-1"/>
          <w:sz w:val="24"/>
        </w:rPr>
        <w:t>udits</w:t>
      </w:r>
    </w:p>
    <w:p w14:paraId="1EDE90D8" w14:textId="77777777" w:rsidR="007518E4" w:rsidRPr="001A7412" w:rsidRDefault="007518E4" w:rsidP="008037D9">
      <w:pPr>
        <w:pStyle w:val="ListParagraph"/>
        <w:widowControl w:val="0"/>
        <w:numPr>
          <w:ilvl w:val="0"/>
          <w:numId w:val="79"/>
        </w:numPr>
        <w:autoSpaceDE w:val="0"/>
        <w:autoSpaceDN w:val="0"/>
        <w:adjustRightInd w:val="0"/>
        <w:spacing w:after="240"/>
        <w:ind w:left="0"/>
        <w:contextualSpacing w:val="0"/>
        <w:rPr>
          <w:rFonts w:ascii="Times New Roman" w:eastAsia="Calibri" w:hAnsi="Times New Roman"/>
          <w:color w:val="000000"/>
          <w:sz w:val="24"/>
        </w:rPr>
      </w:pPr>
      <w:r w:rsidRPr="001114E6">
        <w:rPr>
          <w:rFonts w:ascii="Times New Roman" w:eastAsia="Calibri" w:hAnsi="Times New Roman"/>
          <w:b/>
          <w:color w:val="000000"/>
          <w:sz w:val="24"/>
        </w:rPr>
        <w:t>The follow up on inspection reports and findings by the senior management generally involves the hearing of the auditee and presentation of the case to the Disciplinary Committee.</w:t>
      </w:r>
      <w:r w:rsidR="000C5978">
        <w:rPr>
          <w:rFonts w:ascii="Times New Roman" w:eastAsia="Calibri" w:hAnsi="Times New Roman"/>
          <w:color w:val="000000"/>
          <w:sz w:val="24"/>
        </w:rPr>
        <w:t xml:space="preserve"> </w:t>
      </w:r>
      <w:r>
        <w:rPr>
          <w:rFonts w:ascii="Times New Roman" w:eastAsia="Calibri" w:hAnsi="Times New Roman"/>
          <w:color w:val="000000"/>
          <w:sz w:val="24"/>
        </w:rPr>
        <w:t xml:space="preserve">This is </w:t>
      </w:r>
      <w:r w:rsidRPr="001A7412">
        <w:rPr>
          <w:rFonts w:ascii="Times New Roman" w:eastAsia="Calibri" w:hAnsi="Times New Roman"/>
          <w:color w:val="000000"/>
          <w:sz w:val="24"/>
        </w:rPr>
        <w:t xml:space="preserve">chaired by the Vice-Minister of Finance </w:t>
      </w:r>
      <w:r>
        <w:rPr>
          <w:rFonts w:ascii="Times New Roman" w:eastAsia="Calibri" w:hAnsi="Times New Roman"/>
          <w:color w:val="000000"/>
          <w:sz w:val="24"/>
        </w:rPr>
        <w:t xml:space="preserve">and </w:t>
      </w:r>
      <w:r w:rsidRPr="001A7412">
        <w:rPr>
          <w:rFonts w:ascii="Times New Roman" w:eastAsia="Calibri" w:hAnsi="Times New Roman"/>
          <w:color w:val="000000"/>
          <w:sz w:val="24"/>
        </w:rPr>
        <w:t>decide</w:t>
      </w:r>
      <w:r>
        <w:rPr>
          <w:rFonts w:ascii="Times New Roman" w:eastAsia="Calibri" w:hAnsi="Times New Roman"/>
          <w:color w:val="000000"/>
          <w:sz w:val="24"/>
        </w:rPr>
        <w:t>s</w:t>
      </w:r>
      <w:r w:rsidRPr="001A7412">
        <w:rPr>
          <w:rFonts w:ascii="Times New Roman" w:eastAsia="Calibri" w:hAnsi="Times New Roman"/>
          <w:color w:val="000000"/>
          <w:sz w:val="24"/>
        </w:rPr>
        <w:t xml:space="preserve"> on sanctions as required. Further data was not available at the time of assessment to report on the specific actions or sanctions decided based upon findings by the Inspection.</w:t>
      </w:r>
    </w:p>
    <w:p w14:paraId="5B676012" w14:textId="77777777" w:rsidR="007518E4" w:rsidRPr="00AC3DEB" w:rsidRDefault="007518E4" w:rsidP="008037D9">
      <w:pPr>
        <w:pStyle w:val="ListParagraph"/>
        <w:numPr>
          <w:ilvl w:val="0"/>
          <w:numId w:val="79"/>
        </w:numPr>
        <w:spacing w:after="240"/>
        <w:ind w:left="0"/>
        <w:contextualSpacing w:val="0"/>
        <w:rPr>
          <w:rFonts w:ascii="Times New Roman" w:hAnsi="Times New Roman"/>
          <w:bCs/>
          <w:sz w:val="24"/>
        </w:rPr>
      </w:pPr>
      <w:r w:rsidRPr="001114E6">
        <w:rPr>
          <w:rFonts w:ascii="Times New Roman" w:hAnsi="Times New Roman"/>
          <w:b/>
          <w:sz w:val="24"/>
        </w:rPr>
        <w:t>Follow up response to the Inspection recommendations is decided by the management and appropriate sanctions or decisions can involve a disciplinary committee hearing.</w:t>
      </w:r>
      <w:r w:rsidRPr="00303823">
        <w:rPr>
          <w:rFonts w:ascii="Times New Roman" w:hAnsi="Times New Roman"/>
          <w:sz w:val="24"/>
        </w:rPr>
        <w:t xml:space="preserve"> </w:t>
      </w:r>
      <w:r w:rsidRPr="001A7412">
        <w:rPr>
          <w:rFonts w:ascii="Times New Roman" w:hAnsi="Times New Roman"/>
          <w:sz w:val="24"/>
        </w:rPr>
        <w:t>There are no tracking records on the resolution of Inspection department’s findings</w:t>
      </w:r>
      <w:r w:rsidRPr="001A7412">
        <w:rPr>
          <w:rFonts w:ascii="Times New Roman" w:eastAsia="Calibri" w:hAnsi="Times New Roman"/>
          <w:b/>
          <w:color w:val="000000"/>
          <w:sz w:val="24"/>
        </w:rPr>
        <w:t xml:space="preserve">: </w:t>
      </w:r>
      <w:r w:rsidRPr="001A7412">
        <w:rPr>
          <w:rFonts w:ascii="Times New Roman" w:hAnsi="Times New Roman"/>
          <w:sz w:val="24"/>
        </w:rPr>
        <w:t>Score D*</w:t>
      </w:r>
    </w:p>
    <w:p w14:paraId="27DD75D2" w14:textId="77777777" w:rsidR="007518E4" w:rsidRDefault="007518E4" w:rsidP="007518E4">
      <w:pPr>
        <w:ind w:left="357"/>
        <w:jc w:val="left"/>
        <w:rPr>
          <w:rFonts w:ascii="Times New Roman" w:hAnsi="Times New Roman"/>
          <w:spacing w:val="-4"/>
          <w:sz w:val="24"/>
        </w:rPr>
      </w:pPr>
      <w:r>
        <w:rPr>
          <w:rFonts w:ascii="Times New Roman" w:hAnsi="Times New Roman"/>
          <w:sz w:val="24"/>
        </w:rPr>
        <w:br w:type="page"/>
      </w:r>
    </w:p>
    <w:p w14:paraId="75FDC69D" w14:textId="77777777" w:rsidR="007518E4" w:rsidRPr="00E12685" w:rsidRDefault="007518E4" w:rsidP="00E12685">
      <w:pPr>
        <w:pStyle w:val="Heading1"/>
        <w:ind w:left="0"/>
        <w:jc w:val="left"/>
        <w:rPr>
          <w:rFonts w:ascii="Times New Roman" w:hAnsi="Times New Roman"/>
          <w:b/>
          <w:color w:val="92D050"/>
        </w:rPr>
      </w:pPr>
      <w:bookmarkStart w:id="97" w:name="_Toc518901812"/>
      <w:bookmarkStart w:id="98" w:name="_Toc4149007"/>
      <w:r w:rsidRPr="00E12685">
        <w:rPr>
          <w:rFonts w:ascii="Times New Roman" w:hAnsi="Times New Roman"/>
          <w:b/>
          <w:color w:val="92D050"/>
        </w:rPr>
        <w:lastRenderedPageBreak/>
        <w:t>PILLAR SIX: Accounting and reporting</w:t>
      </w:r>
      <w:bookmarkEnd w:id="97"/>
      <w:bookmarkEnd w:id="98"/>
    </w:p>
    <w:p w14:paraId="23B96042" w14:textId="77777777" w:rsidR="007518E4" w:rsidRPr="003A47C8" w:rsidRDefault="007518E4" w:rsidP="001114E6">
      <w:pPr>
        <w:pStyle w:val="Heading3"/>
        <w:keepNext w:val="0"/>
        <w:widowControl w:val="0"/>
        <w:spacing w:after="240"/>
        <w:ind w:left="0"/>
        <w:rPr>
          <w:rFonts w:ascii="Times New Roman" w:eastAsia="Calibri" w:hAnsi="Times New Roman"/>
          <w:b w:val="0"/>
          <w:bCs w:val="0"/>
          <w:color w:val="92D050"/>
          <w:spacing w:val="-1"/>
          <w:szCs w:val="28"/>
        </w:rPr>
      </w:pPr>
      <w:bookmarkStart w:id="99" w:name="_Toc518901813"/>
      <w:bookmarkStart w:id="100" w:name="_Toc4149008"/>
      <w:r w:rsidRPr="003A47C8">
        <w:rPr>
          <w:rFonts w:ascii="Times New Roman" w:eastAsia="Calibri" w:hAnsi="Times New Roman"/>
          <w:color w:val="92D050"/>
          <w:spacing w:val="-1"/>
          <w:szCs w:val="28"/>
        </w:rPr>
        <w:t>PI-27. Financial data integrity</w:t>
      </w:r>
      <w:bookmarkEnd w:id="99"/>
      <w:bookmarkEnd w:id="100"/>
    </w:p>
    <w:p w14:paraId="19AE9B1F" w14:textId="77777777" w:rsidR="007518E4" w:rsidRDefault="007518E4" w:rsidP="008037D9">
      <w:pPr>
        <w:pStyle w:val="ListParagraph"/>
        <w:numPr>
          <w:ilvl w:val="0"/>
          <w:numId w:val="79"/>
        </w:numPr>
        <w:spacing w:after="240"/>
        <w:ind w:left="0"/>
        <w:contextualSpacing w:val="0"/>
        <w:rPr>
          <w:rFonts w:ascii="Times New Roman" w:hAnsi="Times New Roman"/>
          <w:sz w:val="24"/>
        </w:rPr>
      </w:pPr>
      <w:r w:rsidRPr="001114E6">
        <w:rPr>
          <w:rFonts w:ascii="Times New Roman" w:hAnsi="Times New Roman"/>
          <w:b/>
          <w:sz w:val="24"/>
        </w:rPr>
        <w:t>This indicator assesses the extent to which treasury bank accounts, suspense accounts, and advance accounts are regularly reconciled and how the processes in place support the integrity of financial data.</w:t>
      </w:r>
      <w:r w:rsidRPr="00257F97">
        <w:rPr>
          <w:rFonts w:ascii="Times New Roman" w:hAnsi="Times New Roman"/>
          <w:sz w:val="24"/>
        </w:rPr>
        <w:t xml:space="preserve"> It contains four dimensions and uses the M2 (AV) method for aggregating dimension scores.  The </w:t>
      </w:r>
      <w:proofErr w:type="gramStart"/>
      <w:r w:rsidRPr="00257F97">
        <w:rPr>
          <w:rFonts w:ascii="Times New Roman" w:hAnsi="Times New Roman"/>
          <w:sz w:val="24"/>
        </w:rPr>
        <w:t>time period</w:t>
      </w:r>
      <w:proofErr w:type="gramEnd"/>
      <w:r w:rsidRPr="00257F97">
        <w:rPr>
          <w:rFonts w:ascii="Times New Roman" w:hAnsi="Times New Roman"/>
          <w:sz w:val="24"/>
        </w:rPr>
        <w:t xml:space="preserve"> for dimensions 27.1, 27.2 and 27.3 is at time of assessment covering the preceding fiscal year and for 27.4 at time of assessment. Coverage for 27.1 is Central Government and Budgetary Central Government for 27.2, 27.3 and 27.4.</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1186"/>
        <w:gridCol w:w="5019"/>
      </w:tblGrid>
      <w:tr w:rsidR="007518E4" w:rsidRPr="00293D23" w14:paraId="2563F40B" w14:textId="77777777" w:rsidTr="000C5978">
        <w:trPr>
          <w:trHeight w:val="506"/>
          <w:jc w:val="center"/>
        </w:trPr>
        <w:tc>
          <w:tcPr>
            <w:tcW w:w="1484" w:type="pct"/>
            <w:shd w:val="clear" w:color="auto" w:fill="D9D9D9"/>
            <w:vAlign w:val="center"/>
          </w:tcPr>
          <w:p w14:paraId="5A81B141" w14:textId="77777777" w:rsidR="007518E4" w:rsidRPr="00257F97" w:rsidRDefault="007518E4" w:rsidP="000C5978">
            <w:pPr>
              <w:spacing w:before="0"/>
              <w:ind w:hanging="539"/>
              <w:jc w:val="center"/>
              <w:rPr>
                <w:rFonts w:ascii="Times New Roman" w:hAnsi="Times New Roman"/>
              </w:rPr>
            </w:pPr>
            <w:r w:rsidRPr="00257F97">
              <w:rPr>
                <w:rFonts w:ascii="Times New Roman" w:hAnsi="Times New Roman"/>
              </w:rPr>
              <w:t>Indicator/Dimension</w:t>
            </w:r>
          </w:p>
        </w:tc>
        <w:tc>
          <w:tcPr>
            <w:tcW w:w="672" w:type="pct"/>
            <w:shd w:val="clear" w:color="auto" w:fill="D9D9D9"/>
            <w:vAlign w:val="center"/>
          </w:tcPr>
          <w:p w14:paraId="3C79DEE8" w14:textId="77777777" w:rsidR="007518E4" w:rsidRPr="00257F97" w:rsidRDefault="007518E4" w:rsidP="001114E6">
            <w:pPr>
              <w:spacing w:before="0"/>
              <w:ind w:left="0"/>
              <w:jc w:val="center"/>
              <w:rPr>
                <w:rFonts w:ascii="Times New Roman" w:hAnsi="Times New Roman"/>
              </w:rPr>
            </w:pPr>
            <w:r w:rsidRPr="00257F97">
              <w:rPr>
                <w:rFonts w:ascii="Times New Roman" w:hAnsi="Times New Roman"/>
              </w:rPr>
              <w:t>Score</w:t>
            </w:r>
          </w:p>
        </w:tc>
        <w:tc>
          <w:tcPr>
            <w:tcW w:w="2844" w:type="pct"/>
            <w:shd w:val="clear" w:color="auto" w:fill="D9D9D9"/>
            <w:vAlign w:val="center"/>
          </w:tcPr>
          <w:p w14:paraId="2A695162" w14:textId="77777777" w:rsidR="007518E4" w:rsidRPr="00257F97" w:rsidRDefault="007518E4" w:rsidP="000C5978">
            <w:pPr>
              <w:spacing w:before="0"/>
              <w:ind w:hanging="539"/>
              <w:jc w:val="center"/>
              <w:rPr>
                <w:rFonts w:ascii="Times New Roman" w:hAnsi="Times New Roman"/>
              </w:rPr>
            </w:pPr>
            <w:r w:rsidRPr="00257F97">
              <w:rPr>
                <w:rFonts w:ascii="Times New Roman" w:hAnsi="Times New Roman"/>
              </w:rPr>
              <w:t>Brief Explanation</w:t>
            </w:r>
          </w:p>
        </w:tc>
      </w:tr>
      <w:tr w:rsidR="007518E4" w:rsidRPr="00293D23" w14:paraId="299D0C25" w14:textId="77777777" w:rsidTr="000C5978">
        <w:trPr>
          <w:trHeight w:val="474"/>
          <w:jc w:val="center"/>
        </w:trPr>
        <w:tc>
          <w:tcPr>
            <w:tcW w:w="1484" w:type="pct"/>
            <w:vAlign w:val="center"/>
          </w:tcPr>
          <w:p w14:paraId="069622DD" w14:textId="77777777" w:rsidR="007518E4" w:rsidRPr="00257F97" w:rsidRDefault="007518E4" w:rsidP="001114E6">
            <w:pPr>
              <w:spacing w:before="0"/>
              <w:ind w:left="0"/>
              <w:jc w:val="left"/>
              <w:rPr>
                <w:rFonts w:ascii="Times New Roman" w:hAnsi="Times New Roman"/>
              </w:rPr>
            </w:pPr>
            <w:r w:rsidRPr="00257F97">
              <w:rPr>
                <w:rFonts w:ascii="Times New Roman" w:hAnsi="Times New Roman"/>
                <w:bCs/>
              </w:rPr>
              <w:t xml:space="preserve">PI-27 Financial Data Integrity </w:t>
            </w:r>
          </w:p>
        </w:tc>
        <w:tc>
          <w:tcPr>
            <w:tcW w:w="672" w:type="pct"/>
            <w:vAlign w:val="center"/>
          </w:tcPr>
          <w:p w14:paraId="48C43C18" w14:textId="77777777" w:rsidR="007518E4" w:rsidRPr="00AC3DEB" w:rsidRDefault="007518E4" w:rsidP="001114E6">
            <w:pPr>
              <w:spacing w:before="0"/>
              <w:ind w:left="0"/>
              <w:jc w:val="center"/>
              <w:rPr>
                <w:rFonts w:ascii="Times New Roman" w:hAnsi="Times New Roman"/>
              </w:rPr>
            </w:pPr>
            <w:r w:rsidRPr="00AC3DEB">
              <w:rPr>
                <w:rFonts w:ascii="Times New Roman" w:hAnsi="Times New Roman"/>
              </w:rPr>
              <w:t>C+</w:t>
            </w:r>
          </w:p>
        </w:tc>
        <w:tc>
          <w:tcPr>
            <w:tcW w:w="2844" w:type="pct"/>
            <w:vAlign w:val="center"/>
          </w:tcPr>
          <w:p w14:paraId="2B424D52" w14:textId="77777777" w:rsidR="007518E4" w:rsidRPr="00257F97" w:rsidRDefault="007518E4" w:rsidP="001114E6">
            <w:pPr>
              <w:spacing w:before="0"/>
              <w:ind w:left="0"/>
              <w:rPr>
                <w:rFonts w:ascii="Times New Roman" w:hAnsi="Times New Roman"/>
              </w:rPr>
            </w:pPr>
            <w:r w:rsidRPr="00257F97">
              <w:rPr>
                <w:rFonts w:ascii="Times New Roman" w:hAnsi="Times New Roman"/>
              </w:rPr>
              <w:t>Dimension scores combined by Method M2 (average)</w:t>
            </w:r>
          </w:p>
        </w:tc>
      </w:tr>
      <w:tr w:rsidR="007518E4" w:rsidRPr="00293D23" w14:paraId="1A845FF6" w14:textId="77777777" w:rsidTr="000C5978">
        <w:trPr>
          <w:trHeight w:val="647"/>
          <w:jc w:val="center"/>
        </w:trPr>
        <w:tc>
          <w:tcPr>
            <w:tcW w:w="1484" w:type="pct"/>
            <w:vAlign w:val="center"/>
          </w:tcPr>
          <w:p w14:paraId="08E7BA9E" w14:textId="77777777" w:rsidR="007518E4" w:rsidRPr="00257F97" w:rsidRDefault="007518E4" w:rsidP="001114E6">
            <w:pPr>
              <w:autoSpaceDE w:val="0"/>
              <w:autoSpaceDN w:val="0"/>
              <w:adjustRightInd w:val="0"/>
              <w:spacing w:before="0"/>
              <w:ind w:left="0"/>
              <w:jc w:val="left"/>
              <w:rPr>
                <w:rFonts w:ascii="Times New Roman" w:hAnsi="Times New Roman"/>
                <w:color w:val="000000"/>
              </w:rPr>
            </w:pPr>
            <w:r w:rsidRPr="00257F97">
              <w:rPr>
                <w:rFonts w:ascii="Times New Roman" w:hAnsi="Times New Roman"/>
                <w:color w:val="000000"/>
              </w:rPr>
              <w:t>27.1 Bank account reconciliation</w:t>
            </w:r>
          </w:p>
        </w:tc>
        <w:tc>
          <w:tcPr>
            <w:tcW w:w="672" w:type="pct"/>
            <w:vAlign w:val="center"/>
          </w:tcPr>
          <w:p w14:paraId="3CEEE457" w14:textId="77777777" w:rsidR="007518E4" w:rsidRPr="00257F97" w:rsidRDefault="000173E7" w:rsidP="001114E6">
            <w:pPr>
              <w:spacing w:before="0"/>
              <w:ind w:left="0"/>
              <w:jc w:val="center"/>
              <w:rPr>
                <w:rFonts w:ascii="Times New Roman" w:hAnsi="Times New Roman"/>
              </w:rPr>
            </w:pPr>
            <w:r>
              <w:rPr>
                <w:rFonts w:ascii="Times New Roman" w:hAnsi="Times New Roman"/>
              </w:rPr>
              <w:t>D</w:t>
            </w:r>
          </w:p>
        </w:tc>
        <w:tc>
          <w:tcPr>
            <w:tcW w:w="2844" w:type="pct"/>
            <w:vAlign w:val="center"/>
          </w:tcPr>
          <w:p w14:paraId="33BAA623" w14:textId="77777777" w:rsidR="007518E4" w:rsidRPr="00257F97" w:rsidRDefault="007518E4" w:rsidP="001114E6">
            <w:pPr>
              <w:spacing w:before="0"/>
              <w:ind w:left="0"/>
              <w:rPr>
                <w:rFonts w:ascii="Times New Roman" w:hAnsi="Times New Roman"/>
                <w:lang w:eastAsia="en-IN"/>
              </w:rPr>
            </w:pPr>
            <w:r w:rsidRPr="00257F97">
              <w:rPr>
                <w:rFonts w:ascii="Times New Roman" w:hAnsi="Times New Roman"/>
                <w:lang w:eastAsia="en-IN"/>
              </w:rPr>
              <w:t>The Treasury department is progressively taking steps toward the TSA implementation, but for the moment, reconciliations are done based on available GFIS records supported by manual processes for all other transactions not captured by GFIS. Main Treasury accounts at central level are reconciled daily for expenditures transactions and weekly for revenue collection. Other transactions from technical revenue or bank receipts</w:t>
            </w:r>
            <w:r w:rsidR="000173E7">
              <w:rPr>
                <w:rFonts w:ascii="Times New Roman" w:hAnsi="Times New Roman"/>
                <w:lang w:eastAsia="en-IN"/>
              </w:rPr>
              <w:t xml:space="preserve"> </w:t>
            </w:r>
            <w:r w:rsidRPr="00257F97">
              <w:rPr>
                <w:rFonts w:ascii="Times New Roman" w:hAnsi="Times New Roman"/>
                <w:lang w:eastAsia="en-IN"/>
              </w:rPr>
              <w:t>can take up to one month.</w:t>
            </w:r>
            <w:r w:rsidR="000173E7">
              <w:rPr>
                <w:rFonts w:ascii="Times New Roman" w:hAnsi="Times New Roman"/>
                <w:lang w:eastAsia="en-IN"/>
              </w:rPr>
              <w:t xml:space="preserve">  ODA accounts are progressively integrated into the treasury consolidation but are still mostly reconciled annually.</w:t>
            </w:r>
          </w:p>
        </w:tc>
      </w:tr>
      <w:tr w:rsidR="007518E4" w:rsidRPr="00293D23" w14:paraId="2D252228" w14:textId="77777777" w:rsidTr="000C5978">
        <w:trPr>
          <w:trHeight w:val="548"/>
          <w:jc w:val="center"/>
        </w:trPr>
        <w:tc>
          <w:tcPr>
            <w:tcW w:w="1484" w:type="pct"/>
            <w:vAlign w:val="center"/>
          </w:tcPr>
          <w:p w14:paraId="636232A3" w14:textId="77777777" w:rsidR="007518E4" w:rsidRPr="00257F97" w:rsidRDefault="007518E4" w:rsidP="001114E6">
            <w:pPr>
              <w:autoSpaceDE w:val="0"/>
              <w:autoSpaceDN w:val="0"/>
              <w:adjustRightInd w:val="0"/>
              <w:spacing w:before="0"/>
              <w:ind w:left="0"/>
              <w:jc w:val="left"/>
              <w:rPr>
                <w:rFonts w:ascii="Times New Roman" w:hAnsi="Times New Roman"/>
                <w:color w:val="000000"/>
              </w:rPr>
            </w:pPr>
            <w:r w:rsidRPr="00257F97">
              <w:rPr>
                <w:rFonts w:ascii="Times New Roman" w:hAnsi="Times New Roman"/>
                <w:color w:val="000000"/>
              </w:rPr>
              <w:t xml:space="preserve">27.2 Suspense accounts </w:t>
            </w:r>
          </w:p>
        </w:tc>
        <w:tc>
          <w:tcPr>
            <w:tcW w:w="672" w:type="pct"/>
            <w:vAlign w:val="center"/>
          </w:tcPr>
          <w:p w14:paraId="493D81FD" w14:textId="77777777" w:rsidR="007518E4" w:rsidRPr="00257F97" w:rsidRDefault="007518E4" w:rsidP="001114E6">
            <w:pPr>
              <w:spacing w:before="0"/>
              <w:ind w:left="0"/>
              <w:jc w:val="center"/>
              <w:rPr>
                <w:rFonts w:ascii="Times New Roman" w:hAnsi="Times New Roman"/>
              </w:rPr>
            </w:pPr>
            <w:r w:rsidRPr="00257F97">
              <w:rPr>
                <w:rFonts w:ascii="Times New Roman" w:hAnsi="Times New Roman"/>
              </w:rPr>
              <w:t>B</w:t>
            </w:r>
          </w:p>
        </w:tc>
        <w:tc>
          <w:tcPr>
            <w:tcW w:w="2844" w:type="pct"/>
            <w:vAlign w:val="center"/>
          </w:tcPr>
          <w:p w14:paraId="57B09A87" w14:textId="72EDF17C" w:rsidR="007518E4" w:rsidRPr="00257F97" w:rsidRDefault="007518E4" w:rsidP="001114E6">
            <w:pPr>
              <w:spacing w:before="0"/>
              <w:ind w:left="0"/>
              <w:rPr>
                <w:rFonts w:ascii="Times New Roman" w:hAnsi="Times New Roman"/>
                <w:lang w:eastAsia="en-IN"/>
              </w:rPr>
            </w:pPr>
            <w:bookmarkStart w:id="101" w:name="_Hlk4415851"/>
            <w:r w:rsidRPr="00E0065F">
              <w:rPr>
                <w:rFonts w:ascii="Times New Roman" w:hAnsi="Times New Roman"/>
                <w:lang w:eastAsia="en-IN"/>
              </w:rPr>
              <w:t xml:space="preserve">Suspense accounts are reconciled </w:t>
            </w:r>
            <w:r w:rsidR="00337877" w:rsidRPr="00E0065F">
              <w:rPr>
                <w:rFonts w:ascii="Times New Roman" w:hAnsi="Times New Roman"/>
                <w:lang w:eastAsia="en-IN"/>
              </w:rPr>
              <w:t xml:space="preserve">regularly on a </w:t>
            </w:r>
            <w:proofErr w:type="gramStart"/>
            <w:r w:rsidR="00337877" w:rsidRPr="00E0065F">
              <w:rPr>
                <w:rFonts w:ascii="Times New Roman" w:hAnsi="Times New Roman"/>
                <w:lang w:eastAsia="en-IN"/>
              </w:rPr>
              <w:t xml:space="preserve">daily, </w:t>
            </w:r>
            <w:r w:rsidRPr="00E0065F">
              <w:rPr>
                <w:rFonts w:ascii="Times New Roman" w:hAnsi="Times New Roman"/>
                <w:lang w:eastAsia="en-IN"/>
              </w:rPr>
              <w:t xml:space="preserve"> weekly</w:t>
            </w:r>
            <w:proofErr w:type="gramEnd"/>
            <w:r w:rsidRPr="00E0065F">
              <w:rPr>
                <w:rFonts w:ascii="Times New Roman" w:hAnsi="Times New Roman"/>
                <w:lang w:eastAsia="en-IN"/>
              </w:rPr>
              <w:t xml:space="preserve"> and monthly</w:t>
            </w:r>
            <w:r w:rsidR="00337877" w:rsidRPr="00E0065F">
              <w:rPr>
                <w:rFonts w:ascii="Times New Roman" w:hAnsi="Times New Roman"/>
                <w:lang w:eastAsia="en-IN"/>
              </w:rPr>
              <w:t xml:space="preserve"> basis.</w:t>
            </w:r>
            <w:r w:rsidRPr="00E0065F">
              <w:rPr>
                <w:rFonts w:ascii="Times New Roman" w:hAnsi="Times New Roman"/>
                <w:lang w:eastAsia="en-IN"/>
              </w:rPr>
              <w:t xml:space="preserve"> </w:t>
            </w:r>
            <w:r w:rsidR="00337877" w:rsidRPr="00E0065F">
              <w:rPr>
                <w:rFonts w:ascii="Times New Roman" w:hAnsi="Times New Roman"/>
                <w:lang w:eastAsia="en-IN"/>
              </w:rPr>
              <w:t>R</w:t>
            </w:r>
            <w:r w:rsidRPr="00E0065F">
              <w:rPr>
                <w:rFonts w:ascii="Times New Roman" w:hAnsi="Times New Roman"/>
                <w:lang w:eastAsia="en-IN"/>
              </w:rPr>
              <w:t xml:space="preserve">econciliation processes </w:t>
            </w:r>
            <w:r w:rsidR="00337877" w:rsidRPr="00E0065F">
              <w:rPr>
                <w:rFonts w:ascii="Times New Roman" w:hAnsi="Times New Roman"/>
                <w:lang w:eastAsia="en-IN"/>
              </w:rPr>
              <w:t xml:space="preserve">including the provincial accounts are completed within 2 months after the end of each quarter </w:t>
            </w:r>
            <w:r w:rsidRPr="00E0065F">
              <w:rPr>
                <w:rFonts w:ascii="Times New Roman" w:hAnsi="Times New Roman"/>
                <w:lang w:eastAsia="en-IN"/>
              </w:rPr>
              <w:t>and are systematically cleared at the end of the fiscal year.</w:t>
            </w:r>
            <w:bookmarkEnd w:id="101"/>
          </w:p>
        </w:tc>
      </w:tr>
      <w:tr w:rsidR="007518E4" w:rsidRPr="00293D23" w14:paraId="4B461585" w14:textId="77777777" w:rsidTr="000C5978">
        <w:trPr>
          <w:trHeight w:val="908"/>
          <w:jc w:val="center"/>
        </w:trPr>
        <w:tc>
          <w:tcPr>
            <w:tcW w:w="1484" w:type="pct"/>
            <w:vAlign w:val="center"/>
          </w:tcPr>
          <w:p w14:paraId="049C2EB4" w14:textId="77777777" w:rsidR="007518E4" w:rsidRPr="00257F97" w:rsidRDefault="007518E4" w:rsidP="001114E6">
            <w:pPr>
              <w:autoSpaceDE w:val="0"/>
              <w:autoSpaceDN w:val="0"/>
              <w:adjustRightInd w:val="0"/>
              <w:spacing w:before="0"/>
              <w:ind w:left="0"/>
              <w:jc w:val="left"/>
              <w:rPr>
                <w:rFonts w:ascii="Times New Roman" w:hAnsi="Times New Roman"/>
                <w:color w:val="000000"/>
              </w:rPr>
            </w:pPr>
            <w:r w:rsidRPr="00257F97">
              <w:rPr>
                <w:rFonts w:ascii="Times New Roman" w:hAnsi="Times New Roman"/>
                <w:color w:val="000000"/>
              </w:rPr>
              <w:t>27.3 Advance accounts</w:t>
            </w:r>
          </w:p>
        </w:tc>
        <w:tc>
          <w:tcPr>
            <w:tcW w:w="672" w:type="pct"/>
            <w:vAlign w:val="center"/>
          </w:tcPr>
          <w:p w14:paraId="76B85E84" w14:textId="77777777" w:rsidR="007518E4" w:rsidRPr="00257F97" w:rsidRDefault="007518E4" w:rsidP="001114E6">
            <w:pPr>
              <w:spacing w:before="0"/>
              <w:ind w:left="0"/>
              <w:jc w:val="center"/>
              <w:rPr>
                <w:rFonts w:ascii="Times New Roman" w:hAnsi="Times New Roman"/>
              </w:rPr>
            </w:pPr>
            <w:r w:rsidRPr="00257F97">
              <w:rPr>
                <w:rFonts w:ascii="Times New Roman" w:hAnsi="Times New Roman"/>
              </w:rPr>
              <w:t>B</w:t>
            </w:r>
          </w:p>
        </w:tc>
        <w:tc>
          <w:tcPr>
            <w:tcW w:w="2844" w:type="pct"/>
            <w:vAlign w:val="center"/>
          </w:tcPr>
          <w:p w14:paraId="1A0EF7D3" w14:textId="77777777" w:rsidR="007518E4" w:rsidRPr="00257F97" w:rsidRDefault="007518E4" w:rsidP="001114E6">
            <w:pPr>
              <w:spacing w:before="0"/>
              <w:ind w:left="0"/>
              <w:rPr>
                <w:rFonts w:ascii="Times New Roman" w:hAnsi="Times New Roman"/>
                <w:lang w:eastAsia="en-IN"/>
              </w:rPr>
            </w:pPr>
            <w:r w:rsidRPr="00257F97">
              <w:rPr>
                <w:rFonts w:ascii="Times New Roman" w:hAnsi="Times New Roman"/>
                <w:lang w:eastAsia="en-IN"/>
              </w:rPr>
              <w:t>Advance accounts and records are correctly maintained, reconciliations take place at least quarterly and most advances are cleared in a timely manner.</w:t>
            </w:r>
          </w:p>
        </w:tc>
      </w:tr>
      <w:tr w:rsidR="007518E4" w:rsidRPr="00293D23" w14:paraId="76CB86F7" w14:textId="77777777" w:rsidTr="000C5978">
        <w:trPr>
          <w:trHeight w:val="530"/>
          <w:jc w:val="center"/>
        </w:trPr>
        <w:tc>
          <w:tcPr>
            <w:tcW w:w="1484" w:type="pct"/>
            <w:vAlign w:val="center"/>
          </w:tcPr>
          <w:p w14:paraId="5AB46E2D" w14:textId="77777777" w:rsidR="007518E4" w:rsidRPr="00257F97" w:rsidRDefault="007518E4" w:rsidP="001114E6">
            <w:pPr>
              <w:autoSpaceDE w:val="0"/>
              <w:autoSpaceDN w:val="0"/>
              <w:adjustRightInd w:val="0"/>
              <w:spacing w:before="0"/>
              <w:ind w:left="0"/>
              <w:jc w:val="left"/>
              <w:rPr>
                <w:rFonts w:ascii="Times New Roman" w:hAnsi="Times New Roman"/>
                <w:color w:val="000000"/>
              </w:rPr>
            </w:pPr>
            <w:r w:rsidRPr="00257F97">
              <w:rPr>
                <w:rFonts w:ascii="Times New Roman" w:hAnsi="Times New Roman"/>
                <w:color w:val="000000"/>
              </w:rPr>
              <w:t xml:space="preserve">27.4 Financial data integrity processes </w:t>
            </w:r>
          </w:p>
        </w:tc>
        <w:tc>
          <w:tcPr>
            <w:tcW w:w="672" w:type="pct"/>
            <w:vAlign w:val="center"/>
          </w:tcPr>
          <w:p w14:paraId="56F38C8A" w14:textId="77777777" w:rsidR="007518E4" w:rsidRPr="00257F97" w:rsidRDefault="007518E4" w:rsidP="001114E6">
            <w:pPr>
              <w:spacing w:before="0"/>
              <w:ind w:left="0"/>
              <w:jc w:val="center"/>
              <w:rPr>
                <w:rFonts w:ascii="Times New Roman" w:hAnsi="Times New Roman"/>
              </w:rPr>
            </w:pPr>
            <w:r w:rsidRPr="00257F97">
              <w:rPr>
                <w:rFonts w:ascii="Times New Roman" w:hAnsi="Times New Roman"/>
              </w:rPr>
              <w:t>C</w:t>
            </w:r>
          </w:p>
        </w:tc>
        <w:tc>
          <w:tcPr>
            <w:tcW w:w="2844" w:type="pct"/>
            <w:vAlign w:val="center"/>
          </w:tcPr>
          <w:p w14:paraId="58635BF4" w14:textId="77777777" w:rsidR="007518E4" w:rsidRPr="00257F97" w:rsidRDefault="007518E4" w:rsidP="001114E6">
            <w:pPr>
              <w:spacing w:before="0"/>
              <w:ind w:left="0"/>
              <w:rPr>
                <w:rFonts w:ascii="Times New Roman" w:hAnsi="Times New Roman"/>
                <w:lang w:eastAsia="en-IN"/>
              </w:rPr>
            </w:pPr>
            <w:r w:rsidRPr="00257F97">
              <w:rPr>
                <w:rFonts w:ascii="Times New Roman" w:hAnsi="Times New Roman"/>
                <w:lang w:eastAsia="en-IN"/>
              </w:rPr>
              <w:t xml:space="preserve">Financial data is kept in an electronic system in which access and changes to records and data is restricted and recorded through segregation of access in line with duties through controlled passwords. Issues with the system security that could affect the data integrity have yet to be addressed. </w:t>
            </w:r>
          </w:p>
        </w:tc>
      </w:tr>
    </w:tbl>
    <w:p w14:paraId="79059E13" w14:textId="77777777" w:rsidR="007518E4" w:rsidRPr="001114E6" w:rsidRDefault="007518E4" w:rsidP="001114E6">
      <w:pPr>
        <w:pStyle w:val="ListParagraph"/>
        <w:numPr>
          <w:ilvl w:val="0"/>
          <w:numId w:val="79"/>
        </w:numPr>
        <w:spacing w:after="240"/>
        <w:ind w:left="0"/>
        <w:contextualSpacing w:val="0"/>
        <w:rPr>
          <w:rFonts w:ascii="Times New Roman" w:hAnsi="Times New Roman"/>
          <w:sz w:val="24"/>
        </w:rPr>
      </w:pPr>
      <w:r w:rsidRPr="001114E6">
        <w:rPr>
          <w:rFonts w:ascii="Times New Roman" w:hAnsi="Times New Roman"/>
          <w:b/>
          <w:sz w:val="24"/>
        </w:rPr>
        <w:t>The Treasury department is moving progressively towards the introduction of a Treasury Single Account (TSA) and Zero Balance Account (ZBA) system of cash management.</w:t>
      </w:r>
      <w:r w:rsidRPr="001114E6">
        <w:rPr>
          <w:rFonts w:ascii="Times New Roman" w:hAnsi="Times New Roman"/>
          <w:sz w:val="24"/>
        </w:rPr>
        <w:t xml:space="preserve">  Under this structure, domestic funds would be consolidated into a single account at the BoL and used for all revenue deposits and payments by all ministries and agencies. All operational sub-accounts with commercial banks would be cleared through their headquarters </w:t>
      </w:r>
      <w:proofErr w:type="gramStart"/>
      <w:r w:rsidRPr="001114E6">
        <w:rPr>
          <w:rFonts w:ascii="Times New Roman" w:hAnsi="Times New Roman"/>
          <w:sz w:val="24"/>
        </w:rPr>
        <w:t>on a daily basis</w:t>
      </w:r>
      <w:proofErr w:type="gramEnd"/>
      <w:r w:rsidRPr="001114E6">
        <w:rPr>
          <w:rFonts w:ascii="Times New Roman" w:hAnsi="Times New Roman"/>
          <w:sz w:val="24"/>
        </w:rPr>
        <w:t xml:space="preserve"> to the treasury account with BoL (zero balance). </w:t>
      </w:r>
    </w:p>
    <w:p w14:paraId="678E31EA" w14:textId="77777777" w:rsidR="007518E4" w:rsidRPr="001114E6" w:rsidRDefault="007518E4" w:rsidP="001114E6">
      <w:pPr>
        <w:pStyle w:val="ListParagraph"/>
        <w:numPr>
          <w:ilvl w:val="0"/>
          <w:numId w:val="79"/>
        </w:numPr>
        <w:spacing w:after="240"/>
        <w:ind w:left="0"/>
        <w:contextualSpacing w:val="0"/>
        <w:rPr>
          <w:rFonts w:ascii="Times New Roman" w:hAnsi="Times New Roman"/>
          <w:sz w:val="24"/>
        </w:rPr>
      </w:pPr>
      <w:r w:rsidRPr="001114E6">
        <w:rPr>
          <w:rFonts w:ascii="Times New Roman" w:hAnsi="Times New Roman"/>
          <w:b/>
          <w:sz w:val="24"/>
        </w:rPr>
        <w:lastRenderedPageBreak/>
        <w:t>The main priorities to achieve this goal it to continue rationalizing the number of bank accounts still held at commercial banks</w:t>
      </w:r>
      <w:r w:rsidR="001114E6">
        <w:rPr>
          <w:rFonts w:ascii="Times New Roman" w:hAnsi="Times New Roman"/>
          <w:b/>
          <w:sz w:val="24"/>
        </w:rPr>
        <w:t xml:space="preserve">. </w:t>
      </w:r>
      <w:r w:rsidR="001114E6" w:rsidRPr="001114E6">
        <w:rPr>
          <w:rFonts w:ascii="Times New Roman" w:hAnsi="Times New Roman"/>
          <w:sz w:val="24"/>
        </w:rPr>
        <w:t>There are still banks accounts</w:t>
      </w:r>
      <w:r w:rsidRPr="001114E6">
        <w:rPr>
          <w:rFonts w:ascii="Times New Roman" w:hAnsi="Times New Roman"/>
          <w:sz w:val="24"/>
        </w:rPr>
        <w:t xml:space="preserve"> operated at the national, provincial and district levels, a total of 154 at the end of 2017.  Additionally, 129 project accounts (one account per project) are also operated under specific authorization pursuant MoF Decision 0734 dated April 2010. A list of all bank accounts is maintained by the Treasury department. </w:t>
      </w:r>
    </w:p>
    <w:p w14:paraId="551DD751" w14:textId="744A5E36" w:rsidR="007518E4" w:rsidRPr="001114E6" w:rsidRDefault="007518E4" w:rsidP="001114E6">
      <w:pPr>
        <w:pStyle w:val="ListParagraph"/>
        <w:numPr>
          <w:ilvl w:val="0"/>
          <w:numId w:val="79"/>
        </w:numPr>
        <w:spacing w:after="240"/>
        <w:ind w:left="0"/>
        <w:contextualSpacing w:val="0"/>
        <w:rPr>
          <w:rFonts w:ascii="Times New Roman" w:hAnsi="Times New Roman"/>
          <w:sz w:val="24"/>
          <w:lang w:val="en-MY"/>
        </w:rPr>
      </w:pPr>
      <w:r w:rsidRPr="001114E6">
        <w:rPr>
          <w:rFonts w:ascii="Times New Roman" w:hAnsi="Times New Roman"/>
          <w:b/>
          <w:sz w:val="24"/>
        </w:rPr>
        <w:t xml:space="preserve">As of 2017, the BoL still holds 44 accounts at the central level. </w:t>
      </w:r>
      <w:r w:rsidRPr="001114E6">
        <w:rPr>
          <w:rFonts w:ascii="Times New Roman" w:hAnsi="Times New Roman"/>
          <w:sz w:val="24"/>
        </w:rPr>
        <w:t xml:space="preserve">In addition, line ministries maintain bank accounts - these include, in </w:t>
      </w:r>
      <w:r w:rsidR="006C28B8">
        <w:rPr>
          <w:rFonts w:ascii="Times New Roman" w:hAnsi="Times New Roman"/>
          <w:sz w:val="24"/>
        </w:rPr>
        <w:t>K</w:t>
      </w:r>
      <w:r w:rsidR="00337877">
        <w:rPr>
          <w:rFonts w:ascii="Times New Roman" w:hAnsi="Times New Roman"/>
          <w:sz w:val="24"/>
        </w:rPr>
        <w:t>ip</w:t>
      </w:r>
      <w:r w:rsidRPr="001114E6">
        <w:rPr>
          <w:rFonts w:ascii="Times New Roman" w:hAnsi="Times New Roman"/>
          <w:sz w:val="24"/>
        </w:rPr>
        <w:t>, THB and USD a budget account and deposit account for technical revenue, for the current and previous years. The BoL only has 4 branches nationwide which justifies the need of commercial bank accounts. The Treasury department uses five commercial banks</w:t>
      </w:r>
      <w:r w:rsidRPr="001114E6">
        <w:rPr>
          <w:rStyle w:val="FootnoteReference"/>
          <w:rFonts w:ascii="Times New Roman" w:hAnsi="Times New Roman"/>
          <w:sz w:val="24"/>
        </w:rPr>
        <w:footnoteReference w:id="47"/>
      </w:r>
      <w:r w:rsidRPr="001114E6">
        <w:rPr>
          <w:rFonts w:ascii="Times New Roman" w:hAnsi="Times New Roman"/>
          <w:sz w:val="24"/>
        </w:rPr>
        <w:t>.   Budget accounts are held at each of the five main banks and are used for central tax receipts and subsequent creditor payments.  Each provincial Treasury office also maintains a budget account for crediting tax receipts. In addition, BCEL customs accounts are maintained at all the main customs checkpoints.</w:t>
      </w:r>
      <w:r w:rsidRPr="001114E6">
        <w:rPr>
          <w:rFonts w:ascii="Times New Roman" w:hAnsi="Times New Roman"/>
          <w:sz w:val="24"/>
          <w:lang w:val="en-MY"/>
        </w:rPr>
        <w:t xml:space="preserve"> </w:t>
      </w:r>
    </w:p>
    <w:p w14:paraId="74DA1B2F" w14:textId="77777777" w:rsidR="007518E4" w:rsidRPr="001114E6" w:rsidRDefault="007518E4" w:rsidP="001114E6">
      <w:pPr>
        <w:pStyle w:val="ListParagraph"/>
        <w:numPr>
          <w:ilvl w:val="0"/>
          <w:numId w:val="79"/>
        </w:numPr>
        <w:spacing w:after="240"/>
        <w:ind w:left="0"/>
        <w:contextualSpacing w:val="0"/>
        <w:rPr>
          <w:rFonts w:ascii="Times New Roman" w:hAnsi="Times New Roman"/>
          <w:sz w:val="24"/>
        </w:rPr>
      </w:pPr>
      <w:r w:rsidRPr="001114E6">
        <w:rPr>
          <w:rFonts w:ascii="Times New Roman" w:hAnsi="Times New Roman"/>
          <w:b/>
          <w:sz w:val="24"/>
        </w:rPr>
        <w:t>In terms of current cash and liquidity management, the summary balances of all bank accounts are emailed daily by the commercial banks to the Treasury department while hard copies are sent to the Treasury offices at provincial level.</w:t>
      </w:r>
      <w:r w:rsidR="000C5978">
        <w:rPr>
          <w:rFonts w:ascii="Times New Roman" w:hAnsi="Times New Roman"/>
          <w:sz w:val="24"/>
        </w:rPr>
        <w:t xml:space="preserve"> </w:t>
      </w:r>
      <w:r w:rsidRPr="001114E6">
        <w:rPr>
          <w:rFonts w:ascii="Times New Roman" w:hAnsi="Times New Roman"/>
          <w:sz w:val="24"/>
        </w:rPr>
        <w:t xml:space="preserve">The Planning and Cash Management division of the Treasury department uses these balances to compile a report of cash flow availability at the national and provincial level. This cash flow report, together with forecasts of tax, customs and other revenue from collecting agencies, are used in weekly expenditure and disbursement planning (ref. PI-21). </w:t>
      </w:r>
    </w:p>
    <w:p w14:paraId="6E51D554" w14:textId="640D4589" w:rsidR="007518E4" w:rsidRPr="001114E6" w:rsidRDefault="007518E4" w:rsidP="001114E6">
      <w:pPr>
        <w:pStyle w:val="ListParagraph"/>
        <w:numPr>
          <w:ilvl w:val="0"/>
          <w:numId w:val="79"/>
        </w:numPr>
        <w:spacing w:after="240"/>
        <w:ind w:left="0"/>
        <w:contextualSpacing w:val="0"/>
        <w:rPr>
          <w:rFonts w:ascii="Times New Roman" w:hAnsi="Times New Roman"/>
          <w:sz w:val="24"/>
        </w:rPr>
      </w:pPr>
      <w:r w:rsidRPr="001114E6">
        <w:rPr>
          <w:rFonts w:ascii="Times New Roman" w:hAnsi="Times New Roman"/>
          <w:b/>
          <w:sz w:val="24"/>
        </w:rPr>
        <w:t>External debt principle and interest payments are made from a central Treasury budget accoun</w:t>
      </w:r>
      <w:r w:rsidRPr="001114E6">
        <w:rPr>
          <w:rFonts w:ascii="Times New Roman" w:hAnsi="Times New Roman"/>
          <w:sz w:val="24"/>
        </w:rPr>
        <w:t>t</w:t>
      </w:r>
      <w:r w:rsidR="000C5978">
        <w:rPr>
          <w:rFonts w:ascii="Times New Roman" w:hAnsi="Times New Roman"/>
          <w:sz w:val="24"/>
        </w:rPr>
        <w:t xml:space="preserve">. </w:t>
      </w:r>
      <w:r w:rsidR="001114E6">
        <w:rPr>
          <w:rFonts w:ascii="Times New Roman" w:hAnsi="Times New Roman"/>
          <w:sz w:val="24"/>
        </w:rPr>
        <w:t>This account is</w:t>
      </w:r>
      <w:r w:rsidRPr="001114E6">
        <w:rPr>
          <w:rFonts w:ascii="Times New Roman" w:hAnsi="Times New Roman"/>
          <w:sz w:val="24"/>
        </w:rPr>
        <w:t xml:space="preserve"> managed by the External Finance Department based on the DMFAS application outside GFIS. Payment vouchers are raised in </w:t>
      </w:r>
      <w:r w:rsidR="006C28B8">
        <w:rPr>
          <w:rFonts w:ascii="Times New Roman" w:hAnsi="Times New Roman"/>
          <w:sz w:val="24"/>
        </w:rPr>
        <w:t>KIP</w:t>
      </w:r>
      <w:r w:rsidRPr="001114E6">
        <w:rPr>
          <w:rFonts w:ascii="Times New Roman" w:hAnsi="Times New Roman"/>
          <w:sz w:val="24"/>
        </w:rPr>
        <w:t xml:space="preserve"> and the BoL purchases forex to make payments. </w:t>
      </w:r>
    </w:p>
    <w:p w14:paraId="5471F013" w14:textId="77777777" w:rsidR="007518E4" w:rsidRPr="001114E6" w:rsidRDefault="007518E4" w:rsidP="001114E6">
      <w:pPr>
        <w:pStyle w:val="ListParagraph"/>
        <w:numPr>
          <w:ilvl w:val="0"/>
          <w:numId w:val="79"/>
        </w:numPr>
        <w:spacing w:after="240"/>
        <w:ind w:left="0"/>
        <w:contextualSpacing w:val="0"/>
        <w:rPr>
          <w:rFonts w:ascii="Times New Roman" w:hAnsi="Times New Roman"/>
          <w:sz w:val="24"/>
        </w:rPr>
      </w:pPr>
      <w:r w:rsidRPr="001114E6">
        <w:rPr>
          <w:rFonts w:ascii="Times New Roman" w:hAnsi="Times New Roman"/>
          <w:b/>
          <w:sz w:val="24"/>
        </w:rPr>
        <w:t>The Treasury department at central level also monitors provincial salary payments, which are made through specific provincial salary accounts.</w:t>
      </w:r>
      <w:r w:rsidR="000C5978">
        <w:rPr>
          <w:rFonts w:ascii="Times New Roman" w:hAnsi="Times New Roman"/>
          <w:sz w:val="24"/>
        </w:rPr>
        <w:t xml:space="preserve"> </w:t>
      </w:r>
      <w:r w:rsidRPr="001114E6">
        <w:rPr>
          <w:rFonts w:ascii="Times New Roman" w:hAnsi="Times New Roman"/>
          <w:sz w:val="24"/>
        </w:rPr>
        <w:t xml:space="preserve">Some salaries are paid in cash, drawn through the district treasury offices by the district sector departments (Education, health etc.). </w:t>
      </w:r>
    </w:p>
    <w:p w14:paraId="3213ECC8" w14:textId="77777777" w:rsidR="007518E4" w:rsidRPr="001114E6" w:rsidRDefault="007518E4" w:rsidP="001114E6">
      <w:pPr>
        <w:pStyle w:val="ListParagraph"/>
        <w:numPr>
          <w:ilvl w:val="0"/>
          <w:numId w:val="79"/>
        </w:numPr>
        <w:spacing w:after="240"/>
        <w:ind w:left="0"/>
        <w:contextualSpacing w:val="0"/>
        <w:rPr>
          <w:rFonts w:ascii="Times New Roman" w:hAnsi="Times New Roman"/>
          <w:sz w:val="24"/>
          <w:lang w:val="en-MY"/>
        </w:rPr>
      </w:pPr>
      <w:r w:rsidRPr="001114E6">
        <w:rPr>
          <w:rFonts w:ascii="Times New Roman" w:hAnsi="Times New Roman"/>
          <w:b/>
          <w:sz w:val="24"/>
        </w:rPr>
        <w:t xml:space="preserve">Provincial and district Treasury offices operate bank </w:t>
      </w:r>
      <w:proofErr w:type="gramStart"/>
      <w:r w:rsidRPr="001114E6">
        <w:rPr>
          <w:rFonts w:ascii="Times New Roman" w:hAnsi="Times New Roman"/>
          <w:b/>
          <w:sz w:val="24"/>
        </w:rPr>
        <w:t>accounts</w:t>
      </w:r>
      <w:proofErr w:type="gramEnd"/>
      <w:r w:rsidRPr="001114E6">
        <w:rPr>
          <w:rFonts w:ascii="Times New Roman" w:hAnsi="Times New Roman"/>
          <w:b/>
          <w:sz w:val="24"/>
        </w:rPr>
        <w:t xml:space="preserve"> but 38 districts have no access to the banking system as of end of 2017</w:t>
      </w:r>
      <w:r w:rsidRPr="001114E6">
        <w:rPr>
          <w:rFonts w:ascii="Times New Roman" w:hAnsi="Times New Roman"/>
          <w:sz w:val="24"/>
        </w:rPr>
        <w:t xml:space="preserve">. Implementing agencies are no longer authorized to hold bank accounts and must withdraw cash from the relevant Treasury office, and all technical revenue must be deposited in the local NT office account. </w:t>
      </w:r>
    </w:p>
    <w:p w14:paraId="416F935E" w14:textId="77777777" w:rsidR="007518E4" w:rsidRPr="004A6566" w:rsidRDefault="007518E4" w:rsidP="001114E6">
      <w:pPr>
        <w:spacing w:after="240"/>
        <w:ind w:left="0"/>
        <w:rPr>
          <w:rFonts w:ascii="Times New Roman" w:eastAsia="Calibri" w:hAnsi="Times New Roman"/>
          <w:b/>
          <w:bCs/>
          <w:color w:val="92D050"/>
          <w:spacing w:val="-1"/>
          <w:sz w:val="24"/>
        </w:rPr>
      </w:pPr>
      <w:r w:rsidRPr="004A6566">
        <w:rPr>
          <w:rFonts w:ascii="Times New Roman" w:eastAsia="Calibri" w:hAnsi="Times New Roman"/>
          <w:b/>
          <w:bCs/>
          <w:color w:val="92D050"/>
          <w:spacing w:val="-1"/>
          <w:sz w:val="24"/>
        </w:rPr>
        <w:t xml:space="preserve">27.1. </w:t>
      </w:r>
      <w:r w:rsidRPr="003A47C8">
        <w:rPr>
          <w:rFonts w:ascii="Times New Roman" w:eastAsia="Calibri" w:hAnsi="Times New Roman"/>
          <w:b/>
          <w:bCs/>
          <w:color w:val="92D050"/>
          <w:spacing w:val="-1"/>
          <w:sz w:val="24"/>
        </w:rPr>
        <w:t>Bank</w:t>
      </w:r>
      <w:r w:rsidRPr="004A6566">
        <w:rPr>
          <w:rFonts w:ascii="Times New Roman" w:eastAsia="Calibri" w:hAnsi="Times New Roman"/>
          <w:b/>
          <w:bCs/>
          <w:color w:val="92D050"/>
          <w:spacing w:val="-1"/>
          <w:sz w:val="24"/>
        </w:rPr>
        <w:t xml:space="preserve"> </w:t>
      </w:r>
      <w:r>
        <w:rPr>
          <w:rFonts w:ascii="Times New Roman" w:eastAsia="Calibri" w:hAnsi="Times New Roman"/>
          <w:b/>
          <w:bCs/>
          <w:color w:val="92D050"/>
          <w:spacing w:val="-1"/>
          <w:sz w:val="24"/>
        </w:rPr>
        <w:t>a</w:t>
      </w:r>
      <w:r w:rsidRPr="004A6566">
        <w:rPr>
          <w:rFonts w:ascii="Times New Roman" w:eastAsia="Calibri" w:hAnsi="Times New Roman"/>
          <w:b/>
          <w:bCs/>
          <w:color w:val="92D050"/>
          <w:spacing w:val="-1"/>
          <w:sz w:val="24"/>
        </w:rPr>
        <w:t xml:space="preserve">ccount </w:t>
      </w:r>
      <w:r>
        <w:rPr>
          <w:rFonts w:ascii="Times New Roman" w:eastAsia="Calibri" w:hAnsi="Times New Roman"/>
          <w:b/>
          <w:bCs/>
          <w:color w:val="92D050"/>
          <w:spacing w:val="-1"/>
          <w:sz w:val="24"/>
        </w:rPr>
        <w:t>r</w:t>
      </w:r>
      <w:r w:rsidRPr="004A6566">
        <w:rPr>
          <w:rFonts w:ascii="Times New Roman" w:eastAsia="Calibri" w:hAnsi="Times New Roman"/>
          <w:b/>
          <w:bCs/>
          <w:color w:val="92D050"/>
          <w:spacing w:val="-1"/>
          <w:sz w:val="24"/>
        </w:rPr>
        <w:t>econciliation</w:t>
      </w:r>
    </w:p>
    <w:p w14:paraId="70754766" w14:textId="77777777" w:rsidR="007518E4" w:rsidRPr="00E13719" w:rsidRDefault="007518E4" w:rsidP="008037D9">
      <w:pPr>
        <w:pStyle w:val="ListParagraph"/>
        <w:numPr>
          <w:ilvl w:val="0"/>
          <w:numId w:val="79"/>
        </w:numPr>
        <w:spacing w:after="240"/>
        <w:ind w:left="0"/>
        <w:contextualSpacing w:val="0"/>
        <w:rPr>
          <w:rFonts w:ascii="Times New Roman" w:hAnsi="Times New Roman"/>
          <w:iCs/>
          <w:sz w:val="24"/>
        </w:rPr>
      </w:pPr>
      <w:r w:rsidRPr="001114E6">
        <w:rPr>
          <w:rFonts w:ascii="Times New Roman" w:hAnsi="Times New Roman"/>
          <w:b/>
          <w:iCs/>
          <w:sz w:val="24"/>
        </w:rPr>
        <w:t>Under the MoF decision</w:t>
      </w:r>
      <w:r w:rsidR="001114E6">
        <w:rPr>
          <w:rStyle w:val="FootnoteReference"/>
          <w:rFonts w:ascii="Times New Roman" w:hAnsi="Times New Roman"/>
          <w:b/>
          <w:iCs/>
          <w:sz w:val="24"/>
        </w:rPr>
        <w:footnoteReference w:id="48"/>
      </w:r>
      <w:r w:rsidRPr="001114E6">
        <w:rPr>
          <w:rFonts w:ascii="Times New Roman" w:hAnsi="Times New Roman"/>
          <w:b/>
          <w:iCs/>
          <w:sz w:val="24"/>
        </w:rPr>
        <w:t xml:space="preserve"> on Treasury organization and operations</w:t>
      </w:r>
      <w:r w:rsidR="001114E6">
        <w:rPr>
          <w:rFonts w:ascii="Times New Roman" w:hAnsi="Times New Roman"/>
          <w:b/>
          <w:iCs/>
          <w:sz w:val="24"/>
        </w:rPr>
        <w:t>, the responsibility</w:t>
      </w:r>
      <w:r w:rsidRPr="001114E6">
        <w:rPr>
          <w:rFonts w:ascii="Times New Roman" w:hAnsi="Times New Roman"/>
          <w:b/>
          <w:iCs/>
          <w:sz w:val="24"/>
        </w:rPr>
        <w:t xml:space="preserve"> to reconcile all government bank accounts and closing balances </w:t>
      </w:r>
      <w:r w:rsidR="001114E6" w:rsidRPr="001114E6">
        <w:rPr>
          <w:rFonts w:ascii="Times New Roman" w:hAnsi="Times New Roman"/>
          <w:b/>
          <w:iCs/>
          <w:sz w:val="24"/>
        </w:rPr>
        <w:t>is assigned to the General Accounting Division</w:t>
      </w:r>
      <w:r w:rsidR="000C5978">
        <w:rPr>
          <w:rFonts w:ascii="Times New Roman" w:hAnsi="Times New Roman"/>
          <w:iCs/>
          <w:sz w:val="24"/>
        </w:rPr>
        <w:t xml:space="preserve">. </w:t>
      </w:r>
      <w:r w:rsidR="001114E6" w:rsidRPr="001114E6">
        <w:rPr>
          <w:rFonts w:ascii="Times New Roman" w:hAnsi="Times New Roman"/>
          <w:iCs/>
          <w:sz w:val="24"/>
        </w:rPr>
        <w:t xml:space="preserve">These are carried out </w:t>
      </w:r>
      <w:r w:rsidRPr="001114E6">
        <w:rPr>
          <w:rFonts w:ascii="Times New Roman" w:hAnsi="Times New Roman"/>
          <w:iCs/>
          <w:sz w:val="24"/>
        </w:rPr>
        <w:t>on a daily, weekly, monthly (as additional data become available) and annual basis.</w:t>
      </w:r>
      <w:r>
        <w:rPr>
          <w:rFonts w:ascii="Times New Roman" w:hAnsi="Times New Roman"/>
          <w:iCs/>
          <w:sz w:val="24"/>
        </w:rPr>
        <w:t xml:space="preserve">  T</w:t>
      </w:r>
      <w:r w:rsidRPr="00E13719">
        <w:rPr>
          <w:rFonts w:ascii="Times New Roman" w:hAnsi="Times New Roman"/>
          <w:iCs/>
          <w:sz w:val="24"/>
        </w:rPr>
        <w:t xml:space="preserve">he newly established Planning and Cash Management division prepares the consolidated reports. The Treasury department receives </w:t>
      </w:r>
      <w:r w:rsidRPr="00E13719">
        <w:rPr>
          <w:rFonts w:ascii="Times New Roman" w:hAnsi="Times New Roman"/>
          <w:iCs/>
          <w:sz w:val="24"/>
        </w:rPr>
        <w:lastRenderedPageBreak/>
        <w:t>daily consolidated bank statements from 5 main commercial banks operating the Treasury bank accounts and BoL, together with all</w:t>
      </w:r>
      <w:r>
        <w:rPr>
          <w:rFonts w:ascii="Times New Roman" w:hAnsi="Times New Roman"/>
          <w:iCs/>
          <w:sz w:val="24"/>
        </w:rPr>
        <w:t xml:space="preserve"> bank transfer advices, usually</w:t>
      </w:r>
      <w:r w:rsidRPr="00E13719">
        <w:rPr>
          <w:rFonts w:ascii="Times New Roman" w:hAnsi="Times New Roman"/>
          <w:iCs/>
          <w:sz w:val="24"/>
        </w:rPr>
        <w:t xml:space="preserve"> a few days</w:t>
      </w:r>
      <w:r>
        <w:rPr>
          <w:rFonts w:ascii="Times New Roman" w:hAnsi="Times New Roman"/>
          <w:iCs/>
          <w:sz w:val="24"/>
        </w:rPr>
        <w:t xml:space="preserve"> later</w:t>
      </w:r>
      <w:r w:rsidRPr="00E13719">
        <w:rPr>
          <w:rFonts w:ascii="Times New Roman" w:hAnsi="Times New Roman"/>
          <w:iCs/>
          <w:sz w:val="24"/>
        </w:rPr>
        <w:t xml:space="preserve">. The GFIS is used to record payments and receipts and bank statement data, but the reconciliation process is manual. Around seven staff work on bank reconciliations, and whilst bank reconciliations are increasingly </w:t>
      </w:r>
      <w:r>
        <w:rPr>
          <w:rFonts w:ascii="Times New Roman" w:hAnsi="Times New Roman"/>
          <w:iCs/>
          <w:sz w:val="24"/>
        </w:rPr>
        <w:t xml:space="preserve">becoming </w:t>
      </w:r>
      <w:r w:rsidRPr="00E13719">
        <w:rPr>
          <w:rFonts w:ascii="Times New Roman" w:hAnsi="Times New Roman"/>
          <w:iCs/>
          <w:sz w:val="24"/>
        </w:rPr>
        <w:t>automated and reconciled transactions are directly updated in GFIS, there is still significant manual intervention required to reconcile all receipts from over-the-counter bank deposits, mainly from revenue collection.</w:t>
      </w:r>
      <w:r>
        <w:rPr>
          <w:rFonts w:ascii="Times New Roman" w:hAnsi="Times New Roman"/>
          <w:iCs/>
          <w:sz w:val="24"/>
        </w:rPr>
        <w:t xml:space="preserve"> </w:t>
      </w:r>
      <w:r w:rsidRPr="00E13719">
        <w:rPr>
          <w:rFonts w:ascii="Times New Roman" w:hAnsi="Times New Roman"/>
          <w:iCs/>
          <w:sz w:val="24"/>
        </w:rPr>
        <w:t xml:space="preserve"> Deposit receipts and Smart Cash transactions are posted into GFIS manually. </w:t>
      </w:r>
      <w:r w:rsidR="006815FC">
        <w:rPr>
          <w:rFonts w:ascii="Times New Roman" w:hAnsi="Times New Roman"/>
          <w:iCs/>
          <w:sz w:val="24"/>
        </w:rPr>
        <w:t xml:space="preserve">  Payments that are still outside GFIS are all accounted for and reconciled manually.</w:t>
      </w:r>
    </w:p>
    <w:p w14:paraId="5E41147B" w14:textId="77777777" w:rsidR="007518E4" w:rsidRPr="00E13719" w:rsidRDefault="007518E4" w:rsidP="008037D9">
      <w:pPr>
        <w:pStyle w:val="ListParagraph"/>
        <w:numPr>
          <w:ilvl w:val="0"/>
          <w:numId w:val="79"/>
        </w:numPr>
        <w:spacing w:after="240"/>
        <w:ind w:left="0"/>
        <w:contextualSpacing w:val="0"/>
        <w:rPr>
          <w:rFonts w:ascii="Times New Roman" w:hAnsi="Times New Roman"/>
          <w:iCs/>
          <w:sz w:val="24"/>
        </w:rPr>
      </w:pPr>
      <w:r w:rsidRPr="001114E6">
        <w:rPr>
          <w:rFonts w:ascii="Times New Roman" w:hAnsi="Times New Roman"/>
          <w:b/>
          <w:iCs/>
          <w:sz w:val="24"/>
        </w:rPr>
        <w:t>Bank reconciliations are effectively carried out daily based on GFIS cash balances, on the expenditure side based on the ledger of PVs authorized by MoF</w:t>
      </w:r>
      <w:r w:rsidR="000C5978">
        <w:rPr>
          <w:rFonts w:ascii="Times New Roman" w:hAnsi="Times New Roman"/>
          <w:iCs/>
          <w:sz w:val="24"/>
        </w:rPr>
        <w:t>.</w:t>
      </w:r>
      <w:r>
        <w:rPr>
          <w:rFonts w:ascii="Times New Roman" w:hAnsi="Times New Roman"/>
          <w:iCs/>
          <w:sz w:val="24"/>
        </w:rPr>
        <w:t xml:space="preserve"> O</w:t>
      </w:r>
      <w:r w:rsidRPr="00E13719">
        <w:rPr>
          <w:rFonts w:ascii="Times New Roman" w:hAnsi="Times New Roman"/>
          <w:iCs/>
          <w:sz w:val="24"/>
        </w:rPr>
        <w:t xml:space="preserve">n the revenue side </w:t>
      </w:r>
      <w:r>
        <w:rPr>
          <w:rFonts w:ascii="Times New Roman" w:hAnsi="Times New Roman"/>
          <w:iCs/>
          <w:sz w:val="24"/>
        </w:rPr>
        <w:t xml:space="preserve">reconciliations are </w:t>
      </w:r>
      <w:r w:rsidRPr="00E13719">
        <w:rPr>
          <w:rFonts w:ascii="Times New Roman" w:hAnsi="Times New Roman"/>
          <w:iCs/>
          <w:sz w:val="24"/>
        </w:rPr>
        <w:t xml:space="preserve">based on </w:t>
      </w:r>
      <w:r>
        <w:rPr>
          <w:rFonts w:ascii="Times New Roman" w:hAnsi="Times New Roman"/>
          <w:iCs/>
          <w:sz w:val="24"/>
        </w:rPr>
        <w:t xml:space="preserve">collection </w:t>
      </w:r>
      <w:r w:rsidRPr="00E13719">
        <w:rPr>
          <w:rFonts w:ascii="Times New Roman" w:hAnsi="Times New Roman"/>
          <w:iCs/>
          <w:sz w:val="24"/>
        </w:rPr>
        <w:t xml:space="preserve">information </w:t>
      </w:r>
      <w:r>
        <w:rPr>
          <w:rFonts w:ascii="Times New Roman" w:hAnsi="Times New Roman"/>
          <w:iCs/>
          <w:sz w:val="24"/>
        </w:rPr>
        <w:t xml:space="preserve">received directly from the </w:t>
      </w:r>
      <w:r w:rsidRPr="00E13719">
        <w:rPr>
          <w:rFonts w:ascii="Times New Roman" w:hAnsi="Times New Roman"/>
          <w:iCs/>
          <w:sz w:val="24"/>
        </w:rPr>
        <w:t xml:space="preserve">bank accounts held by Treasury with commercial banks and BoL accounts and uploaded manually into GFIS on the following day.  </w:t>
      </w:r>
    </w:p>
    <w:p w14:paraId="01BB996A" w14:textId="77777777" w:rsidR="007518E4" w:rsidRPr="00E13719" w:rsidRDefault="007518E4" w:rsidP="008037D9">
      <w:pPr>
        <w:pStyle w:val="ListParagraph"/>
        <w:numPr>
          <w:ilvl w:val="0"/>
          <w:numId w:val="79"/>
        </w:numPr>
        <w:spacing w:after="240"/>
        <w:ind w:left="0"/>
        <w:contextualSpacing w:val="0"/>
        <w:rPr>
          <w:rFonts w:ascii="Times New Roman" w:hAnsi="Times New Roman"/>
          <w:iCs/>
          <w:sz w:val="24"/>
        </w:rPr>
      </w:pPr>
      <w:r w:rsidRPr="001114E6">
        <w:rPr>
          <w:rFonts w:ascii="Times New Roman" w:hAnsi="Times New Roman"/>
          <w:b/>
          <w:iCs/>
          <w:sz w:val="24"/>
        </w:rPr>
        <w:t xml:space="preserve">All other bank accounts held by line ministries used for budget implementation as well as the ODA-funded project accounts at the central level </w:t>
      </w:r>
      <w:proofErr w:type="gramStart"/>
      <w:r w:rsidRPr="001114E6">
        <w:rPr>
          <w:rFonts w:ascii="Times New Roman" w:hAnsi="Times New Roman"/>
          <w:b/>
          <w:iCs/>
          <w:sz w:val="24"/>
        </w:rPr>
        <w:t>have to</w:t>
      </w:r>
      <w:proofErr w:type="gramEnd"/>
      <w:r w:rsidRPr="001114E6">
        <w:rPr>
          <w:rFonts w:ascii="Times New Roman" w:hAnsi="Times New Roman"/>
          <w:b/>
          <w:iCs/>
          <w:sz w:val="24"/>
        </w:rPr>
        <w:t xml:space="preserve"> be authorized by the Treasury department and are subject to the same regulations. </w:t>
      </w:r>
      <w:r>
        <w:rPr>
          <w:rFonts w:ascii="Times New Roman" w:hAnsi="Times New Roman"/>
          <w:iCs/>
          <w:sz w:val="24"/>
        </w:rPr>
        <w:t>A</w:t>
      </w:r>
      <w:r w:rsidRPr="00E13719">
        <w:rPr>
          <w:rFonts w:ascii="Times New Roman" w:hAnsi="Times New Roman"/>
          <w:iCs/>
          <w:sz w:val="24"/>
        </w:rPr>
        <w:t xml:space="preserve">ll funds such as technical funds, fees collected from the line ministries and extra-budgetary funds in commercial banks </w:t>
      </w:r>
      <w:r>
        <w:rPr>
          <w:rFonts w:ascii="Times New Roman" w:hAnsi="Times New Roman"/>
          <w:iCs/>
          <w:sz w:val="24"/>
        </w:rPr>
        <w:t>are</w:t>
      </w:r>
      <w:r w:rsidRPr="00E13719">
        <w:rPr>
          <w:rFonts w:ascii="Times New Roman" w:hAnsi="Times New Roman"/>
          <w:iCs/>
          <w:sz w:val="24"/>
        </w:rPr>
        <w:t xml:space="preserve"> now channeled back to BoL and consolidated into GFIS so that expenditures can be authorized from these funds</w:t>
      </w:r>
      <w:r>
        <w:rPr>
          <w:rFonts w:ascii="Times New Roman" w:hAnsi="Times New Roman"/>
          <w:iCs/>
          <w:sz w:val="24"/>
        </w:rPr>
        <w:t xml:space="preserve"> (ref. PI-20)</w:t>
      </w:r>
      <w:r w:rsidRPr="00E13719">
        <w:rPr>
          <w:rFonts w:ascii="Times New Roman" w:hAnsi="Times New Roman"/>
          <w:iCs/>
          <w:sz w:val="24"/>
        </w:rPr>
        <w:t>. 129 ODA funded project accounts have also now been captured under BoL consolidated Fund. Bank reconciliations on the bank accounts held by line ministries for ODA projects</w:t>
      </w:r>
      <w:r>
        <w:rPr>
          <w:rFonts w:ascii="Times New Roman" w:hAnsi="Times New Roman"/>
          <w:iCs/>
          <w:sz w:val="24"/>
        </w:rPr>
        <w:t xml:space="preserve"> - </w:t>
      </w:r>
      <w:r w:rsidRPr="00E13719">
        <w:rPr>
          <w:rFonts w:ascii="Times New Roman" w:hAnsi="Times New Roman"/>
          <w:iCs/>
          <w:sz w:val="24"/>
        </w:rPr>
        <w:t>and service delivery units</w:t>
      </w:r>
      <w:r>
        <w:rPr>
          <w:rFonts w:ascii="Times New Roman" w:hAnsi="Times New Roman"/>
          <w:iCs/>
          <w:sz w:val="24"/>
        </w:rPr>
        <w:t>- outside the State Budget and representing more than 30% of the government spending</w:t>
      </w:r>
      <w:r w:rsidRPr="00E13719">
        <w:rPr>
          <w:rFonts w:ascii="Times New Roman" w:hAnsi="Times New Roman"/>
          <w:iCs/>
          <w:sz w:val="24"/>
        </w:rPr>
        <w:t xml:space="preserve"> </w:t>
      </w:r>
      <w:r>
        <w:rPr>
          <w:rFonts w:ascii="Times New Roman" w:hAnsi="Times New Roman"/>
          <w:iCs/>
          <w:sz w:val="24"/>
        </w:rPr>
        <w:t xml:space="preserve">- </w:t>
      </w:r>
      <w:r w:rsidRPr="00E13719">
        <w:rPr>
          <w:rFonts w:ascii="Times New Roman" w:hAnsi="Times New Roman"/>
          <w:iCs/>
          <w:sz w:val="24"/>
        </w:rPr>
        <w:t>are reconciled separately and at least annually as part of the account closing procedures.</w:t>
      </w:r>
    </w:p>
    <w:p w14:paraId="14F92C1C" w14:textId="77777777" w:rsidR="007518E4" w:rsidRPr="00E13719" w:rsidRDefault="007518E4" w:rsidP="008037D9">
      <w:pPr>
        <w:pStyle w:val="ListParagraph"/>
        <w:numPr>
          <w:ilvl w:val="0"/>
          <w:numId w:val="79"/>
        </w:numPr>
        <w:spacing w:after="240"/>
        <w:ind w:left="0"/>
        <w:contextualSpacing w:val="0"/>
        <w:rPr>
          <w:rFonts w:ascii="Times New Roman" w:hAnsi="Times New Roman"/>
          <w:iCs/>
          <w:sz w:val="24"/>
        </w:rPr>
      </w:pPr>
      <w:r w:rsidRPr="001114E6">
        <w:rPr>
          <w:rFonts w:ascii="Times New Roman" w:hAnsi="Times New Roman"/>
          <w:b/>
          <w:iCs/>
          <w:sz w:val="24"/>
        </w:rPr>
        <w:t xml:space="preserve">Revenue receipts from collecting departments are reconciled on a weekly basis. </w:t>
      </w:r>
      <w:r w:rsidRPr="00E13719">
        <w:rPr>
          <w:rFonts w:ascii="Times New Roman" w:hAnsi="Times New Roman"/>
          <w:iCs/>
          <w:sz w:val="24"/>
        </w:rPr>
        <w:t xml:space="preserve">Previously the information from GFIS relating to tax receipts was incomplete and created reconciliation issues but the situation is reported by the Treasury department to have been largely corrected. </w:t>
      </w:r>
      <w:r>
        <w:rPr>
          <w:rFonts w:ascii="Times New Roman" w:hAnsi="Times New Roman"/>
          <w:iCs/>
          <w:sz w:val="24"/>
        </w:rPr>
        <w:t xml:space="preserve"> </w:t>
      </w:r>
      <w:r w:rsidRPr="00E13719">
        <w:rPr>
          <w:rFonts w:ascii="Times New Roman" w:hAnsi="Times New Roman"/>
          <w:iCs/>
          <w:sz w:val="24"/>
        </w:rPr>
        <w:t xml:space="preserve">Systems have been put in place to record the receipt in GFIS simultaneously as it is paid into the Bank by the tax payer. </w:t>
      </w:r>
      <w:r>
        <w:rPr>
          <w:rFonts w:ascii="Times New Roman" w:hAnsi="Times New Roman"/>
          <w:iCs/>
          <w:sz w:val="24"/>
        </w:rPr>
        <w:t xml:space="preserve"> </w:t>
      </w:r>
      <w:r w:rsidRPr="00E13719">
        <w:rPr>
          <w:rFonts w:ascii="Times New Roman" w:hAnsi="Times New Roman"/>
          <w:iCs/>
          <w:sz w:val="24"/>
        </w:rPr>
        <w:t xml:space="preserve">Further, the transaction document used for receipts deposit has now incorporated all account and tax type codes that are necessary to ensure correct posting of the transaction. </w:t>
      </w:r>
    </w:p>
    <w:p w14:paraId="361DF548" w14:textId="77777777" w:rsidR="007518E4" w:rsidRPr="00E13719" w:rsidRDefault="007518E4" w:rsidP="008037D9">
      <w:pPr>
        <w:pStyle w:val="ListParagraph"/>
        <w:numPr>
          <w:ilvl w:val="0"/>
          <w:numId w:val="79"/>
        </w:numPr>
        <w:spacing w:after="240"/>
        <w:ind w:left="0"/>
        <w:contextualSpacing w:val="0"/>
        <w:rPr>
          <w:rFonts w:ascii="Times New Roman" w:hAnsi="Times New Roman"/>
          <w:iCs/>
          <w:sz w:val="24"/>
        </w:rPr>
      </w:pPr>
      <w:r w:rsidRPr="00C52F37">
        <w:rPr>
          <w:rFonts w:ascii="Times New Roman" w:hAnsi="Times New Roman"/>
          <w:b/>
          <w:iCs/>
          <w:sz w:val="24"/>
        </w:rPr>
        <w:t xml:space="preserve">Line ministries and agencies with GFIS access are supposed to carry out their own reconciliations at least </w:t>
      </w:r>
      <w:proofErr w:type="gramStart"/>
      <w:r w:rsidRPr="00C52F37">
        <w:rPr>
          <w:rFonts w:ascii="Times New Roman" w:hAnsi="Times New Roman"/>
          <w:b/>
          <w:iCs/>
          <w:sz w:val="24"/>
        </w:rPr>
        <w:t>on a monthly basis</w:t>
      </w:r>
      <w:proofErr w:type="gramEnd"/>
      <w:r w:rsidRPr="00C52F37">
        <w:rPr>
          <w:rFonts w:ascii="Times New Roman" w:hAnsi="Times New Roman"/>
          <w:b/>
          <w:iCs/>
          <w:sz w:val="24"/>
        </w:rPr>
        <w:t xml:space="preserve"> for their own technical revenues based on their own bank statements.</w:t>
      </w:r>
      <w:r w:rsidRPr="00E13719">
        <w:rPr>
          <w:rFonts w:ascii="Times New Roman" w:hAnsi="Times New Roman"/>
          <w:iCs/>
          <w:sz w:val="24"/>
        </w:rPr>
        <w:t xml:space="preserve"> At local level, around 8</w:t>
      </w:r>
      <w:r>
        <w:rPr>
          <w:rFonts w:ascii="Times New Roman" w:hAnsi="Times New Roman"/>
          <w:iCs/>
          <w:sz w:val="24"/>
        </w:rPr>
        <w:t>,</w:t>
      </w:r>
      <w:r w:rsidRPr="00E13719">
        <w:rPr>
          <w:rFonts w:ascii="Times New Roman" w:hAnsi="Times New Roman"/>
          <w:iCs/>
          <w:sz w:val="24"/>
        </w:rPr>
        <w:t>000 schools bank accounts operating on the School Block Grant</w:t>
      </w:r>
      <w:r>
        <w:rPr>
          <w:rFonts w:ascii="Times New Roman" w:hAnsi="Times New Roman"/>
          <w:iCs/>
          <w:sz w:val="24"/>
        </w:rPr>
        <w:t xml:space="preserve">, representing less than 1% of the government budget </w:t>
      </w:r>
      <w:r w:rsidRPr="00E13719">
        <w:rPr>
          <w:rFonts w:ascii="Times New Roman" w:hAnsi="Times New Roman"/>
          <w:iCs/>
          <w:sz w:val="24"/>
        </w:rPr>
        <w:t xml:space="preserve">are reconciled annually with the </w:t>
      </w:r>
      <w:proofErr w:type="spellStart"/>
      <w:r w:rsidRPr="00E13719">
        <w:rPr>
          <w:rFonts w:ascii="Times New Roman" w:hAnsi="Times New Roman"/>
          <w:iCs/>
          <w:sz w:val="24"/>
        </w:rPr>
        <w:t>MoE</w:t>
      </w:r>
      <w:proofErr w:type="spellEnd"/>
      <w:r w:rsidRPr="00E13719">
        <w:rPr>
          <w:rFonts w:ascii="Times New Roman" w:hAnsi="Times New Roman"/>
          <w:iCs/>
          <w:sz w:val="24"/>
        </w:rPr>
        <w:t xml:space="preserve"> central Finance department</w:t>
      </w:r>
      <w:r>
        <w:rPr>
          <w:rStyle w:val="FootnoteReference"/>
          <w:rFonts w:ascii="Times New Roman" w:hAnsi="Times New Roman"/>
          <w:iCs/>
          <w:sz w:val="24"/>
        </w:rPr>
        <w:footnoteReference w:id="49"/>
      </w:r>
      <w:r>
        <w:rPr>
          <w:rFonts w:ascii="Times New Roman" w:hAnsi="Times New Roman"/>
          <w:iCs/>
          <w:sz w:val="24"/>
        </w:rPr>
        <w:t>.</w:t>
      </w:r>
      <w:r w:rsidRPr="00E13719">
        <w:rPr>
          <w:rFonts w:ascii="Times New Roman" w:hAnsi="Times New Roman"/>
          <w:iCs/>
          <w:sz w:val="24"/>
        </w:rPr>
        <w:t xml:space="preserve"> </w:t>
      </w:r>
    </w:p>
    <w:p w14:paraId="3657A419" w14:textId="77777777" w:rsidR="007518E4" w:rsidRPr="00E13719" w:rsidRDefault="007518E4" w:rsidP="008037D9">
      <w:pPr>
        <w:pStyle w:val="ListParagraph"/>
        <w:numPr>
          <w:ilvl w:val="0"/>
          <w:numId w:val="79"/>
        </w:numPr>
        <w:spacing w:after="240"/>
        <w:ind w:left="0"/>
        <w:contextualSpacing w:val="0"/>
        <w:rPr>
          <w:rFonts w:ascii="Times New Roman" w:hAnsi="Times New Roman"/>
          <w:color w:val="000000"/>
          <w:sz w:val="24"/>
        </w:rPr>
      </w:pPr>
      <w:r w:rsidRPr="00C52F37">
        <w:rPr>
          <w:rFonts w:ascii="Times New Roman" w:hAnsi="Times New Roman"/>
          <w:b/>
          <w:iCs/>
          <w:sz w:val="24"/>
        </w:rPr>
        <w:t xml:space="preserve">At central level, items for reconciliation or additional information required </w:t>
      </w:r>
      <w:proofErr w:type="gramStart"/>
      <w:r w:rsidRPr="00C52F37">
        <w:rPr>
          <w:rFonts w:ascii="Times New Roman" w:hAnsi="Times New Roman"/>
          <w:b/>
          <w:iCs/>
          <w:sz w:val="24"/>
        </w:rPr>
        <w:t>in order to</w:t>
      </w:r>
      <w:proofErr w:type="gramEnd"/>
      <w:r w:rsidRPr="00C52F37">
        <w:rPr>
          <w:rFonts w:ascii="Times New Roman" w:hAnsi="Times New Roman"/>
          <w:b/>
          <w:iCs/>
          <w:sz w:val="24"/>
        </w:rPr>
        <w:t xml:space="preserve"> fully process the transactions into the Cash ledger in GFIS, is resolved directly between the relevant line ministries Finance department, the Treasury department and </w:t>
      </w:r>
      <w:r w:rsidRPr="00C52F37">
        <w:rPr>
          <w:rFonts w:ascii="Times New Roman" w:hAnsi="Times New Roman"/>
          <w:b/>
          <w:iCs/>
          <w:sz w:val="24"/>
        </w:rPr>
        <w:lastRenderedPageBreak/>
        <w:t>the bank</w:t>
      </w:r>
      <w:r w:rsidR="00C52F37" w:rsidRPr="00C52F37">
        <w:rPr>
          <w:rFonts w:ascii="Times New Roman" w:hAnsi="Times New Roman"/>
          <w:b/>
          <w:iCs/>
          <w:sz w:val="24"/>
        </w:rPr>
        <w:t>.</w:t>
      </w:r>
      <w:r w:rsidR="000C5978">
        <w:rPr>
          <w:rFonts w:ascii="Times New Roman" w:hAnsi="Times New Roman"/>
          <w:iCs/>
          <w:sz w:val="24"/>
        </w:rPr>
        <w:t xml:space="preserve"> </w:t>
      </w:r>
      <w:r w:rsidR="00C52F37">
        <w:rPr>
          <w:rFonts w:ascii="Times New Roman" w:hAnsi="Times New Roman"/>
          <w:iCs/>
          <w:sz w:val="24"/>
        </w:rPr>
        <w:t>T</w:t>
      </w:r>
      <w:r w:rsidRPr="00E13719">
        <w:rPr>
          <w:rFonts w:ascii="Times New Roman" w:hAnsi="Times New Roman"/>
          <w:iCs/>
          <w:sz w:val="24"/>
        </w:rPr>
        <w:t xml:space="preserve">he process is reported to take place </w:t>
      </w:r>
      <w:proofErr w:type="gramStart"/>
      <w:r w:rsidRPr="00E13719">
        <w:rPr>
          <w:rFonts w:ascii="Times New Roman" w:hAnsi="Times New Roman"/>
          <w:iCs/>
          <w:sz w:val="24"/>
        </w:rPr>
        <w:t>on a monthly basis</w:t>
      </w:r>
      <w:proofErr w:type="gramEnd"/>
      <w:r w:rsidRPr="00E13719">
        <w:rPr>
          <w:rFonts w:ascii="Times New Roman" w:hAnsi="Times New Roman"/>
          <w:iCs/>
          <w:sz w:val="24"/>
        </w:rPr>
        <w:t xml:space="preserve">. All transactions are reported as reconciled in the GFIS after the 3-month closing period. </w:t>
      </w:r>
    </w:p>
    <w:p w14:paraId="5B3F1DDC" w14:textId="77777777" w:rsidR="007518E4" w:rsidRPr="00757947" w:rsidRDefault="007518E4" w:rsidP="008037D9">
      <w:pPr>
        <w:pStyle w:val="ListParagraph"/>
        <w:numPr>
          <w:ilvl w:val="0"/>
          <w:numId w:val="79"/>
        </w:numPr>
        <w:spacing w:after="240"/>
        <w:ind w:left="0"/>
        <w:contextualSpacing w:val="0"/>
        <w:rPr>
          <w:rFonts w:ascii="Times New Roman" w:eastAsia="ヒラギノ角ゴ Pro W3" w:hAnsi="Times New Roman"/>
          <w:color w:val="000000"/>
          <w:sz w:val="24"/>
          <w:lang w:eastAsia="en-IN"/>
        </w:rPr>
      </w:pPr>
      <w:r w:rsidRPr="00C52F37">
        <w:rPr>
          <w:rFonts w:ascii="Times New Roman" w:eastAsia="ヒラギノ角ゴ Pro W3" w:hAnsi="Times New Roman"/>
          <w:b/>
          <w:color w:val="000000"/>
          <w:sz w:val="24"/>
          <w:lang w:eastAsia="en-IN"/>
        </w:rPr>
        <w:t>Bank accounts for key treasury expenditure and receipt accounts are reconciled on a daily and weekly basis at central government level</w:t>
      </w:r>
      <w:r w:rsidR="000C5978">
        <w:rPr>
          <w:rFonts w:ascii="Times New Roman" w:eastAsia="ヒラギノ角ゴ Pro W3" w:hAnsi="Times New Roman"/>
          <w:color w:val="000000"/>
          <w:sz w:val="24"/>
          <w:lang w:eastAsia="en-IN"/>
        </w:rPr>
        <w:t xml:space="preserve">. </w:t>
      </w:r>
      <w:r w:rsidRPr="00757947">
        <w:rPr>
          <w:rFonts w:ascii="Times New Roman" w:eastAsia="ヒラギノ角ゴ Pro W3" w:hAnsi="Times New Roman"/>
          <w:color w:val="000000"/>
          <w:sz w:val="24"/>
          <w:lang w:eastAsia="en-IN"/>
        </w:rPr>
        <w:t xml:space="preserve">For some tax receipts and technical revenue from line ministries the reconciliation process can be delayed but there are no longer major reconciliation issues reported at central level: Score C. </w:t>
      </w:r>
    </w:p>
    <w:p w14:paraId="1F696567" w14:textId="77777777" w:rsidR="007518E4" w:rsidRPr="004A6566" w:rsidRDefault="007518E4" w:rsidP="00C52F37">
      <w:pPr>
        <w:spacing w:after="240"/>
        <w:ind w:left="0"/>
        <w:rPr>
          <w:rFonts w:ascii="Times New Roman" w:eastAsia="Calibri" w:hAnsi="Times New Roman"/>
          <w:b/>
          <w:bCs/>
          <w:color w:val="92D050"/>
          <w:spacing w:val="-1"/>
          <w:sz w:val="24"/>
        </w:rPr>
      </w:pPr>
      <w:r w:rsidRPr="004A6566">
        <w:rPr>
          <w:rFonts w:ascii="Times New Roman" w:eastAsia="Calibri" w:hAnsi="Times New Roman"/>
          <w:b/>
          <w:bCs/>
          <w:color w:val="92D050"/>
          <w:spacing w:val="-1"/>
          <w:sz w:val="24"/>
        </w:rPr>
        <w:t xml:space="preserve">27.2 Suspense </w:t>
      </w:r>
      <w:r>
        <w:rPr>
          <w:rFonts w:ascii="Times New Roman" w:eastAsia="Calibri" w:hAnsi="Times New Roman"/>
          <w:b/>
          <w:bCs/>
          <w:color w:val="92D050"/>
          <w:spacing w:val="-1"/>
          <w:sz w:val="24"/>
        </w:rPr>
        <w:t>a</w:t>
      </w:r>
      <w:r w:rsidRPr="004A6566">
        <w:rPr>
          <w:rFonts w:ascii="Times New Roman" w:eastAsia="Calibri" w:hAnsi="Times New Roman"/>
          <w:b/>
          <w:bCs/>
          <w:color w:val="92D050"/>
          <w:spacing w:val="-1"/>
          <w:sz w:val="24"/>
        </w:rPr>
        <w:t>ccounts</w:t>
      </w:r>
    </w:p>
    <w:p w14:paraId="2963EA26" w14:textId="1F129985" w:rsidR="007518E4" w:rsidRPr="00E0065F" w:rsidRDefault="007518E4" w:rsidP="008037D9">
      <w:pPr>
        <w:pStyle w:val="ListParagraph"/>
        <w:numPr>
          <w:ilvl w:val="0"/>
          <w:numId w:val="83"/>
        </w:numPr>
        <w:spacing w:after="240"/>
        <w:ind w:left="0"/>
        <w:contextualSpacing w:val="0"/>
        <w:rPr>
          <w:rFonts w:ascii="Times New Roman" w:hAnsi="Times New Roman"/>
          <w:iCs/>
          <w:sz w:val="24"/>
        </w:rPr>
      </w:pPr>
      <w:r w:rsidRPr="00E0065F">
        <w:rPr>
          <w:rFonts w:ascii="Times New Roman" w:hAnsi="Times New Roman"/>
          <w:b/>
          <w:iCs/>
          <w:sz w:val="24"/>
        </w:rPr>
        <w:t xml:space="preserve">Suspense accounts with line ministries are cleared </w:t>
      </w:r>
      <w:r w:rsidR="00337877" w:rsidRPr="00E0065F">
        <w:rPr>
          <w:rFonts w:ascii="Times New Roman" w:hAnsi="Times New Roman"/>
          <w:b/>
          <w:iCs/>
          <w:sz w:val="24"/>
        </w:rPr>
        <w:t xml:space="preserve">regularly </w:t>
      </w:r>
      <w:r w:rsidRPr="00E0065F">
        <w:rPr>
          <w:rFonts w:ascii="Times New Roman" w:hAnsi="Times New Roman"/>
          <w:b/>
          <w:iCs/>
          <w:sz w:val="24"/>
        </w:rPr>
        <w:t>and systematically reconciled at the end of the fiscal year during the 3 months closing period</w:t>
      </w:r>
      <w:r w:rsidR="00337877" w:rsidRPr="00E0065F">
        <w:rPr>
          <w:rFonts w:ascii="Times New Roman" w:hAnsi="Times New Roman"/>
          <w:b/>
          <w:iCs/>
          <w:sz w:val="24"/>
        </w:rPr>
        <w:t xml:space="preserve"> after the end of the fiscal year</w:t>
      </w:r>
      <w:r w:rsidRPr="00E0065F">
        <w:rPr>
          <w:rFonts w:ascii="Times New Roman" w:hAnsi="Times New Roman"/>
          <w:b/>
          <w:iCs/>
          <w:sz w:val="24"/>
        </w:rPr>
        <w:t>.</w:t>
      </w:r>
      <w:r w:rsidRPr="00E0065F">
        <w:rPr>
          <w:rFonts w:ascii="Times New Roman" w:hAnsi="Times New Roman"/>
          <w:iCs/>
          <w:sz w:val="24"/>
        </w:rPr>
        <w:t xml:space="preserve"> Revenue suspense accounts had been more frequent and had been reported by the Tax department as problematic as amounts and references of taxpayers could not be tracked in the GFIS system.  However</w:t>
      </w:r>
      <w:r w:rsidR="000C5978" w:rsidRPr="00E0065F">
        <w:rPr>
          <w:rFonts w:ascii="Times New Roman" w:hAnsi="Times New Roman"/>
          <w:iCs/>
          <w:sz w:val="24"/>
        </w:rPr>
        <w:t>,</w:t>
      </w:r>
      <w:r w:rsidRPr="00E0065F">
        <w:rPr>
          <w:rFonts w:ascii="Times New Roman" w:hAnsi="Times New Roman"/>
          <w:iCs/>
          <w:sz w:val="24"/>
        </w:rPr>
        <w:t xml:space="preserve"> but the issue has been resolved by adjusting the GFIS features to identify receipts by revenue and taxpayer.  Suspense accounts are maintained in the temporary account after the daily reconciliation until they are </w:t>
      </w:r>
      <w:proofErr w:type="gramStart"/>
      <w:r w:rsidRPr="00E0065F">
        <w:rPr>
          <w:rFonts w:ascii="Times New Roman" w:hAnsi="Times New Roman"/>
          <w:iCs/>
          <w:sz w:val="24"/>
        </w:rPr>
        <w:t>cleared</w:t>
      </w:r>
      <w:proofErr w:type="gramEnd"/>
      <w:r w:rsidRPr="00E0065F">
        <w:rPr>
          <w:rFonts w:ascii="Times New Roman" w:hAnsi="Times New Roman"/>
          <w:iCs/>
          <w:sz w:val="24"/>
        </w:rPr>
        <w:t xml:space="preserve"> and the Tax Department sends the correcting tax invoice to the Treasury department to make the correction in the GFIS system. No formal or automatic procedure is in place but the improvement of Treasury processes since 2017 has made possible the clearing of these amounts in a more satisfactory manner since 2017. </w:t>
      </w:r>
    </w:p>
    <w:p w14:paraId="791A8373" w14:textId="77777777" w:rsidR="007518E4" w:rsidRPr="00E0065F" w:rsidRDefault="007518E4" w:rsidP="008037D9">
      <w:pPr>
        <w:pStyle w:val="ListParagraph"/>
        <w:numPr>
          <w:ilvl w:val="0"/>
          <w:numId w:val="83"/>
        </w:numPr>
        <w:spacing w:after="240"/>
        <w:ind w:left="0"/>
        <w:contextualSpacing w:val="0"/>
        <w:rPr>
          <w:rFonts w:ascii="Times New Roman" w:hAnsi="Times New Roman"/>
          <w:iCs/>
          <w:sz w:val="24"/>
        </w:rPr>
      </w:pPr>
      <w:r w:rsidRPr="00E0065F">
        <w:rPr>
          <w:rFonts w:ascii="Times New Roman" w:hAnsi="Times New Roman"/>
          <w:b/>
          <w:iCs/>
          <w:sz w:val="24"/>
        </w:rPr>
        <w:t>Unauthorized expenditures that cannot be matched with the budget plans and need a special authorization from the Budget department to be posted in GFIS are recorded either as an expenditure in the period or as an Accounts Payable.</w:t>
      </w:r>
      <w:r w:rsidR="000C5978" w:rsidRPr="00E0065F">
        <w:rPr>
          <w:rFonts w:ascii="Times New Roman" w:hAnsi="Times New Roman"/>
          <w:iCs/>
          <w:sz w:val="24"/>
        </w:rPr>
        <w:t xml:space="preserve"> </w:t>
      </w:r>
      <w:r w:rsidRPr="00E0065F">
        <w:rPr>
          <w:rFonts w:ascii="Times New Roman" w:hAnsi="Times New Roman"/>
          <w:iCs/>
          <w:sz w:val="24"/>
        </w:rPr>
        <w:t xml:space="preserve">Such expenditures are carried forward to the next fiscal year, and not kept as a suspense account. Additionally, these expenditures are systematically captured by the audit reports. </w:t>
      </w:r>
    </w:p>
    <w:p w14:paraId="0931D635" w14:textId="4E9AA757" w:rsidR="007518E4" w:rsidRPr="00E0065F" w:rsidRDefault="007518E4" w:rsidP="008037D9">
      <w:pPr>
        <w:pStyle w:val="ListParagraph"/>
        <w:numPr>
          <w:ilvl w:val="0"/>
          <w:numId w:val="83"/>
        </w:numPr>
        <w:spacing w:after="240"/>
        <w:ind w:left="0"/>
        <w:contextualSpacing w:val="0"/>
        <w:rPr>
          <w:rFonts w:ascii="Times New Roman" w:hAnsi="Times New Roman"/>
          <w:iCs/>
          <w:sz w:val="24"/>
        </w:rPr>
      </w:pPr>
      <w:r w:rsidRPr="00E0065F">
        <w:rPr>
          <w:rFonts w:ascii="Times New Roman" w:hAnsi="Times New Roman"/>
          <w:b/>
          <w:iCs/>
          <w:sz w:val="24"/>
        </w:rPr>
        <w:t>Suspense accounts are reconciled during the successive</w:t>
      </w:r>
      <w:r w:rsidR="00337877" w:rsidRPr="00E0065F">
        <w:rPr>
          <w:rFonts w:ascii="Times New Roman" w:hAnsi="Times New Roman"/>
          <w:b/>
          <w:iCs/>
          <w:sz w:val="24"/>
        </w:rPr>
        <w:t xml:space="preserve"> daily,</w:t>
      </w:r>
      <w:r w:rsidRPr="00E0065F">
        <w:rPr>
          <w:rFonts w:ascii="Times New Roman" w:hAnsi="Times New Roman"/>
          <w:b/>
          <w:iCs/>
          <w:sz w:val="24"/>
        </w:rPr>
        <w:t xml:space="preserve"> weekly and monthly bank and accounts reconciliation process</w:t>
      </w:r>
      <w:r w:rsidR="000C5978" w:rsidRPr="00E0065F">
        <w:rPr>
          <w:rFonts w:ascii="Times New Roman" w:hAnsi="Times New Roman"/>
          <w:iCs/>
          <w:sz w:val="24"/>
        </w:rPr>
        <w:t xml:space="preserve">. </w:t>
      </w:r>
      <w:r w:rsidR="00C52F37" w:rsidRPr="00E0065F">
        <w:rPr>
          <w:rFonts w:ascii="Times New Roman" w:hAnsi="Times New Roman"/>
          <w:iCs/>
          <w:sz w:val="24"/>
        </w:rPr>
        <w:t xml:space="preserve">They </w:t>
      </w:r>
      <w:r w:rsidRPr="00E0065F">
        <w:rPr>
          <w:rFonts w:ascii="Times New Roman" w:hAnsi="Times New Roman"/>
          <w:iCs/>
          <w:sz w:val="24"/>
        </w:rPr>
        <w:t xml:space="preserve">are </w:t>
      </w:r>
      <w:r w:rsidR="00337877" w:rsidRPr="00E0065F">
        <w:rPr>
          <w:rFonts w:ascii="Times New Roman" w:hAnsi="Times New Roman"/>
          <w:iCs/>
          <w:sz w:val="24"/>
        </w:rPr>
        <w:t xml:space="preserve">cleared on a timely manner within 2 months of the end of each quarter and </w:t>
      </w:r>
      <w:r w:rsidRPr="00E0065F">
        <w:rPr>
          <w:rFonts w:ascii="Times New Roman" w:hAnsi="Times New Roman"/>
          <w:iCs/>
          <w:sz w:val="24"/>
        </w:rPr>
        <w:t>systematically cleared at the end of the fiscal year: Score B.</w:t>
      </w:r>
    </w:p>
    <w:p w14:paraId="57F35371" w14:textId="77777777" w:rsidR="007518E4" w:rsidRPr="004A6566" w:rsidRDefault="007518E4" w:rsidP="00C52F37">
      <w:pPr>
        <w:spacing w:after="240"/>
        <w:ind w:left="0"/>
        <w:rPr>
          <w:rFonts w:ascii="Times New Roman" w:eastAsia="Calibri" w:hAnsi="Times New Roman"/>
          <w:b/>
          <w:bCs/>
          <w:color w:val="92D050"/>
          <w:spacing w:val="-1"/>
          <w:sz w:val="24"/>
        </w:rPr>
      </w:pPr>
      <w:r w:rsidRPr="004A6566">
        <w:rPr>
          <w:rFonts w:ascii="Times New Roman" w:eastAsia="Calibri" w:hAnsi="Times New Roman"/>
          <w:b/>
          <w:bCs/>
          <w:color w:val="92D050"/>
          <w:spacing w:val="-1"/>
          <w:sz w:val="24"/>
        </w:rPr>
        <w:t xml:space="preserve">27.3. Advance </w:t>
      </w:r>
      <w:r>
        <w:rPr>
          <w:rFonts w:ascii="Times New Roman" w:eastAsia="Calibri" w:hAnsi="Times New Roman"/>
          <w:b/>
          <w:bCs/>
          <w:color w:val="92D050"/>
          <w:spacing w:val="-1"/>
          <w:sz w:val="24"/>
        </w:rPr>
        <w:t>a</w:t>
      </w:r>
      <w:r w:rsidRPr="004A6566">
        <w:rPr>
          <w:rFonts w:ascii="Times New Roman" w:eastAsia="Calibri" w:hAnsi="Times New Roman"/>
          <w:b/>
          <w:bCs/>
          <w:color w:val="92D050"/>
          <w:spacing w:val="-1"/>
          <w:sz w:val="24"/>
        </w:rPr>
        <w:t>ccounts</w:t>
      </w:r>
    </w:p>
    <w:p w14:paraId="2CD50BFD" w14:textId="77777777" w:rsidR="007518E4" w:rsidRPr="007D619A" w:rsidRDefault="007518E4" w:rsidP="008037D9">
      <w:pPr>
        <w:pStyle w:val="ListParagraph"/>
        <w:numPr>
          <w:ilvl w:val="0"/>
          <w:numId w:val="89"/>
        </w:numPr>
        <w:spacing w:after="240"/>
        <w:ind w:left="0"/>
        <w:contextualSpacing w:val="0"/>
        <w:rPr>
          <w:rFonts w:ascii="Times New Roman" w:hAnsi="Times New Roman"/>
          <w:iCs/>
          <w:sz w:val="24"/>
        </w:rPr>
      </w:pPr>
      <w:r w:rsidRPr="00C52F37">
        <w:rPr>
          <w:rFonts w:ascii="Times New Roman" w:hAnsi="Times New Roman"/>
          <w:b/>
          <w:iCs/>
          <w:sz w:val="24"/>
        </w:rPr>
        <w:t>Advance accounts can arise from payroll advances or from business travel activities.</w:t>
      </w:r>
      <w:r w:rsidRPr="007D619A">
        <w:rPr>
          <w:rFonts w:ascii="Times New Roman" w:hAnsi="Times New Roman"/>
          <w:iCs/>
          <w:sz w:val="24"/>
        </w:rPr>
        <w:t xml:space="preserve"> </w:t>
      </w:r>
      <w:r>
        <w:rPr>
          <w:rFonts w:ascii="Times New Roman" w:hAnsi="Times New Roman"/>
          <w:iCs/>
          <w:sz w:val="24"/>
        </w:rPr>
        <w:t xml:space="preserve"> There are n</w:t>
      </w:r>
      <w:r w:rsidRPr="007D619A">
        <w:rPr>
          <w:rFonts w:ascii="Times New Roman" w:hAnsi="Times New Roman"/>
          <w:iCs/>
          <w:sz w:val="24"/>
        </w:rPr>
        <w:t>o advance</w:t>
      </w:r>
      <w:r>
        <w:rPr>
          <w:rFonts w:ascii="Times New Roman" w:hAnsi="Times New Roman"/>
          <w:iCs/>
          <w:sz w:val="24"/>
        </w:rPr>
        <w:t>s</w:t>
      </w:r>
      <w:r w:rsidRPr="007D619A">
        <w:rPr>
          <w:rFonts w:ascii="Times New Roman" w:hAnsi="Times New Roman"/>
          <w:iCs/>
          <w:sz w:val="24"/>
        </w:rPr>
        <w:t xml:space="preserve"> on contract payments as payments are authorized and processed upon progress. </w:t>
      </w:r>
      <w:r>
        <w:rPr>
          <w:rFonts w:ascii="Times New Roman" w:hAnsi="Times New Roman"/>
          <w:iCs/>
          <w:sz w:val="24"/>
        </w:rPr>
        <w:t>Advances to suppliers on</w:t>
      </w:r>
      <w:r w:rsidRPr="007D619A">
        <w:rPr>
          <w:rFonts w:ascii="Times New Roman" w:hAnsi="Times New Roman"/>
          <w:iCs/>
          <w:sz w:val="24"/>
        </w:rPr>
        <w:t xml:space="preserve"> goods and services delivery contracts are re</w:t>
      </w:r>
      <w:r>
        <w:rPr>
          <w:rFonts w:ascii="Times New Roman" w:hAnsi="Times New Roman"/>
          <w:iCs/>
          <w:sz w:val="24"/>
        </w:rPr>
        <w:t>corded</w:t>
      </w:r>
      <w:r w:rsidRPr="007D619A">
        <w:rPr>
          <w:rFonts w:ascii="Times New Roman" w:hAnsi="Times New Roman"/>
          <w:iCs/>
          <w:sz w:val="24"/>
        </w:rPr>
        <w:t xml:space="preserve"> as expenditure on the cash accounting basis.</w:t>
      </w:r>
    </w:p>
    <w:p w14:paraId="0439BF02" w14:textId="77777777" w:rsidR="007518E4" w:rsidRPr="007D619A" w:rsidRDefault="007518E4" w:rsidP="008037D9">
      <w:pPr>
        <w:pStyle w:val="ListParagraph"/>
        <w:numPr>
          <w:ilvl w:val="0"/>
          <w:numId w:val="89"/>
        </w:numPr>
        <w:spacing w:after="240"/>
        <w:ind w:left="0"/>
        <w:contextualSpacing w:val="0"/>
        <w:rPr>
          <w:rFonts w:ascii="Times New Roman" w:hAnsi="Times New Roman"/>
          <w:iCs/>
          <w:sz w:val="24"/>
        </w:rPr>
      </w:pPr>
      <w:r w:rsidRPr="00C52F37">
        <w:rPr>
          <w:rFonts w:ascii="Times New Roman" w:hAnsi="Times New Roman"/>
          <w:b/>
          <w:iCs/>
          <w:sz w:val="24"/>
        </w:rPr>
        <w:t>Guidelines on budget expenditures regulate that advance payments should be cleared within 30 days (MoF decree 206).</w:t>
      </w:r>
      <w:r w:rsidRPr="007D619A">
        <w:rPr>
          <w:rFonts w:ascii="Times New Roman" w:hAnsi="Times New Roman"/>
          <w:iCs/>
          <w:sz w:val="24"/>
        </w:rPr>
        <w:t xml:space="preserve"> </w:t>
      </w:r>
      <w:r>
        <w:rPr>
          <w:rFonts w:ascii="Times New Roman" w:hAnsi="Times New Roman"/>
          <w:iCs/>
          <w:sz w:val="24"/>
        </w:rPr>
        <w:t>A</w:t>
      </w:r>
      <w:r w:rsidRPr="007D619A">
        <w:rPr>
          <w:rFonts w:ascii="Times New Roman" w:hAnsi="Times New Roman"/>
          <w:iCs/>
          <w:sz w:val="24"/>
        </w:rPr>
        <w:t xml:space="preserve">dvances for business travel and salary advances are managed by their respective employing agency and </w:t>
      </w:r>
      <w:r>
        <w:rPr>
          <w:rFonts w:ascii="Times New Roman" w:hAnsi="Times New Roman"/>
          <w:iCs/>
          <w:sz w:val="24"/>
        </w:rPr>
        <w:t xml:space="preserve">are </w:t>
      </w:r>
      <w:r w:rsidRPr="007D619A">
        <w:rPr>
          <w:rFonts w:ascii="Times New Roman" w:hAnsi="Times New Roman"/>
          <w:iCs/>
          <w:sz w:val="24"/>
        </w:rPr>
        <w:t xml:space="preserve">either cleared upon submission of receipts or repaid by staff through deductions to their payroll payments, usually </w:t>
      </w:r>
      <w:proofErr w:type="gramStart"/>
      <w:r w:rsidRPr="007D619A">
        <w:rPr>
          <w:rFonts w:ascii="Times New Roman" w:hAnsi="Times New Roman"/>
          <w:iCs/>
          <w:sz w:val="24"/>
        </w:rPr>
        <w:t>on a monthly basis</w:t>
      </w:r>
      <w:proofErr w:type="gramEnd"/>
      <w:r w:rsidRPr="007D619A">
        <w:rPr>
          <w:rFonts w:ascii="Times New Roman" w:hAnsi="Times New Roman"/>
          <w:iCs/>
          <w:sz w:val="24"/>
        </w:rPr>
        <w:t>.</w:t>
      </w:r>
    </w:p>
    <w:p w14:paraId="366157E4" w14:textId="77777777" w:rsidR="007518E4" w:rsidRPr="007D619A" w:rsidRDefault="007518E4" w:rsidP="008037D9">
      <w:pPr>
        <w:pStyle w:val="ListParagraph"/>
        <w:numPr>
          <w:ilvl w:val="0"/>
          <w:numId w:val="89"/>
        </w:numPr>
        <w:spacing w:after="240"/>
        <w:ind w:left="0"/>
        <w:contextualSpacing w:val="0"/>
        <w:rPr>
          <w:rFonts w:ascii="Times New Roman" w:hAnsi="Times New Roman"/>
          <w:iCs/>
          <w:sz w:val="24"/>
        </w:rPr>
      </w:pPr>
      <w:r w:rsidRPr="00C52F37">
        <w:rPr>
          <w:rFonts w:ascii="Times New Roman" w:hAnsi="Times New Roman"/>
          <w:b/>
          <w:iCs/>
          <w:sz w:val="24"/>
        </w:rPr>
        <w:t>Advance accounts and records are correctly maintained, reconciliations take place at least quarterly and most advances are</w:t>
      </w:r>
      <w:r w:rsidR="00C52F37">
        <w:rPr>
          <w:rFonts w:ascii="Times New Roman" w:hAnsi="Times New Roman"/>
          <w:b/>
          <w:iCs/>
          <w:sz w:val="24"/>
        </w:rPr>
        <w:t xml:space="preserve"> timely</w:t>
      </w:r>
      <w:r w:rsidRPr="00C52F37">
        <w:rPr>
          <w:rFonts w:ascii="Times New Roman" w:hAnsi="Times New Roman"/>
          <w:b/>
          <w:iCs/>
          <w:sz w:val="24"/>
        </w:rPr>
        <w:t xml:space="preserve"> cleared</w:t>
      </w:r>
      <w:r w:rsidRPr="007D619A">
        <w:rPr>
          <w:rFonts w:ascii="Times New Roman" w:hAnsi="Times New Roman"/>
          <w:iCs/>
          <w:sz w:val="24"/>
        </w:rPr>
        <w:t>: Score B.</w:t>
      </w:r>
    </w:p>
    <w:p w14:paraId="4F758717" w14:textId="77777777" w:rsidR="007518E4" w:rsidRPr="004A6566" w:rsidRDefault="007518E4" w:rsidP="00C52F37">
      <w:pPr>
        <w:spacing w:after="240"/>
        <w:ind w:left="0"/>
        <w:rPr>
          <w:rFonts w:ascii="Times New Roman" w:eastAsia="Calibri" w:hAnsi="Times New Roman"/>
          <w:b/>
          <w:bCs/>
          <w:color w:val="92D050"/>
          <w:spacing w:val="-1"/>
          <w:sz w:val="24"/>
        </w:rPr>
      </w:pPr>
      <w:r w:rsidRPr="004A6566">
        <w:rPr>
          <w:rFonts w:ascii="Times New Roman" w:eastAsia="Calibri" w:hAnsi="Times New Roman"/>
          <w:b/>
          <w:bCs/>
          <w:color w:val="92D050"/>
          <w:spacing w:val="-1"/>
          <w:sz w:val="24"/>
        </w:rPr>
        <w:t xml:space="preserve">27.4. Financial </w:t>
      </w:r>
      <w:r>
        <w:rPr>
          <w:rFonts w:ascii="Times New Roman" w:eastAsia="Calibri" w:hAnsi="Times New Roman"/>
          <w:b/>
          <w:bCs/>
          <w:color w:val="92D050"/>
          <w:spacing w:val="-1"/>
          <w:sz w:val="24"/>
        </w:rPr>
        <w:t>d</w:t>
      </w:r>
      <w:r w:rsidRPr="004A6566">
        <w:rPr>
          <w:rFonts w:ascii="Times New Roman" w:eastAsia="Calibri" w:hAnsi="Times New Roman"/>
          <w:b/>
          <w:bCs/>
          <w:color w:val="92D050"/>
          <w:spacing w:val="-1"/>
          <w:sz w:val="24"/>
        </w:rPr>
        <w:t xml:space="preserve">ata </w:t>
      </w:r>
      <w:r>
        <w:rPr>
          <w:rFonts w:ascii="Times New Roman" w:eastAsia="Calibri" w:hAnsi="Times New Roman"/>
          <w:b/>
          <w:bCs/>
          <w:color w:val="92D050"/>
          <w:spacing w:val="-1"/>
          <w:sz w:val="24"/>
        </w:rPr>
        <w:t>i</w:t>
      </w:r>
      <w:r w:rsidRPr="004A6566">
        <w:rPr>
          <w:rFonts w:ascii="Times New Roman" w:eastAsia="Calibri" w:hAnsi="Times New Roman"/>
          <w:b/>
          <w:bCs/>
          <w:color w:val="92D050"/>
          <w:spacing w:val="-1"/>
          <w:sz w:val="24"/>
        </w:rPr>
        <w:t xml:space="preserve">ntegrity </w:t>
      </w:r>
      <w:r>
        <w:rPr>
          <w:rFonts w:ascii="Times New Roman" w:eastAsia="Calibri" w:hAnsi="Times New Roman"/>
          <w:b/>
          <w:bCs/>
          <w:color w:val="92D050"/>
          <w:spacing w:val="-1"/>
          <w:sz w:val="24"/>
        </w:rPr>
        <w:t>p</w:t>
      </w:r>
      <w:r w:rsidRPr="004A6566">
        <w:rPr>
          <w:rFonts w:ascii="Times New Roman" w:eastAsia="Calibri" w:hAnsi="Times New Roman"/>
          <w:b/>
          <w:bCs/>
          <w:color w:val="92D050"/>
          <w:spacing w:val="-1"/>
          <w:sz w:val="24"/>
        </w:rPr>
        <w:t>rocess</w:t>
      </w:r>
    </w:p>
    <w:p w14:paraId="6ACC5F36" w14:textId="77777777" w:rsidR="007518E4" w:rsidRPr="007D619A" w:rsidRDefault="007518E4" w:rsidP="008037D9">
      <w:pPr>
        <w:pStyle w:val="ListParagraph"/>
        <w:numPr>
          <w:ilvl w:val="0"/>
          <w:numId w:val="84"/>
        </w:numPr>
        <w:spacing w:after="240"/>
        <w:ind w:left="0"/>
        <w:contextualSpacing w:val="0"/>
        <w:rPr>
          <w:rFonts w:ascii="Times New Roman" w:eastAsia="ヒラギノ角ゴ Pro W3" w:hAnsi="Times New Roman"/>
          <w:color w:val="000000"/>
          <w:sz w:val="24"/>
          <w:lang w:eastAsia="en-IN"/>
        </w:rPr>
      </w:pPr>
      <w:r w:rsidRPr="00C52F37">
        <w:rPr>
          <w:rFonts w:ascii="Times New Roman" w:hAnsi="Times New Roman"/>
          <w:b/>
          <w:iCs/>
          <w:sz w:val="24"/>
        </w:rPr>
        <w:lastRenderedPageBreak/>
        <w:t xml:space="preserve">There is currently no overall risk management framework or policy in place to assess and manage risk in government financial operations and in </w:t>
      </w:r>
      <w:r w:rsidRPr="00C52F37">
        <w:rPr>
          <w:rFonts w:ascii="Times New Roman" w:eastAsia="ヒラギノ角ゴ Pro W3" w:hAnsi="Times New Roman"/>
          <w:b/>
          <w:color w:val="000000"/>
          <w:sz w:val="24"/>
          <w:lang w:eastAsia="en-IN"/>
        </w:rPr>
        <w:t>the security of government financial information relating to the budget, treasury and accounting information.</w:t>
      </w:r>
      <w:r w:rsidRPr="007D619A">
        <w:rPr>
          <w:rFonts w:ascii="Times New Roman" w:eastAsia="ヒラギノ角ゴ Pro W3" w:hAnsi="Times New Roman"/>
          <w:color w:val="000000"/>
          <w:sz w:val="24"/>
          <w:lang w:eastAsia="en-IN"/>
        </w:rPr>
        <w:t xml:space="preserve"> The MoF ICT department was recently restructured </w:t>
      </w:r>
      <w:r>
        <w:rPr>
          <w:rFonts w:ascii="Times New Roman" w:eastAsia="ヒラギノ角ゴ Pro W3" w:hAnsi="Times New Roman"/>
          <w:color w:val="000000"/>
          <w:sz w:val="24"/>
          <w:lang w:eastAsia="en-IN"/>
        </w:rPr>
        <w:t xml:space="preserve">in </w:t>
      </w:r>
      <w:r w:rsidRPr="007D619A">
        <w:rPr>
          <w:rFonts w:ascii="Times New Roman" w:eastAsia="ヒラギノ角ゴ Pro W3" w:hAnsi="Times New Roman"/>
          <w:color w:val="000000"/>
          <w:sz w:val="24"/>
          <w:lang w:eastAsia="en-IN"/>
        </w:rPr>
        <w:t>early 2018 and ICT procedures for MoF depar</w:t>
      </w:r>
      <w:r w:rsidR="000C5978">
        <w:rPr>
          <w:rFonts w:ascii="Times New Roman" w:eastAsia="ヒラギノ角ゴ Pro W3" w:hAnsi="Times New Roman"/>
          <w:color w:val="000000"/>
          <w:sz w:val="24"/>
          <w:lang w:eastAsia="en-IN"/>
        </w:rPr>
        <w:t xml:space="preserve">tments have yet to be drafted. Since March 2018, </w:t>
      </w:r>
      <w:r>
        <w:rPr>
          <w:rFonts w:ascii="Times New Roman" w:eastAsia="ヒラギノ角ゴ Pro W3" w:hAnsi="Times New Roman"/>
          <w:color w:val="000000"/>
          <w:sz w:val="24"/>
          <w:lang w:eastAsia="en-IN"/>
        </w:rPr>
        <w:t xml:space="preserve">the </w:t>
      </w:r>
      <w:r w:rsidRPr="007D619A">
        <w:rPr>
          <w:rFonts w:ascii="Times New Roman" w:eastAsia="ヒラギノ角ゴ Pro W3" w:hAnsi="Times New Roman"/>
          <w:color w:val="000000"/>
          <w:sz w:val="24"/>
          <w:lang w:eastAsia="en-IN"/>
        </w:rPr>
        <w:t xml:space="preserve">SAO </w:t>
      </w:r>
      <w:proofErr w:type="gramStart"/>
      <w:r>
        <w:rPr>
          <w:rFonts w:ascii="Times New Roman" w:eastAsia="ヒラギノ角ゴ Pro W3" w:hAnsi="Times New Roman"/>
          <w:color w:val="000000"/>
          <w:sz w:val="24"/>
          <w:lang w:eastAsia="en-IN"/>
        </w:rPr>
        <w:t>is able to</w:t>
      </w:r>
      <w:proofErr w:type="gramEnd"/>
      <w:r w:rsidRPr="007D619A">
        <w:rPr>
          <w:rFonts w:ascii="Times New Roman" w:eastAsia="ヒラギノ角ゴ Pro W3" w:hAnsi="Times New Roman"/>
          <w:color w:val="000000"/>
          <w:sz w:val="24"/>
          <w:lang w:eastAsia="en-IN"/>
        </w:rPr>
        <w:t xml:space="preserve"> access the GFIS system </w:t>
      </w:r>
    </w:p>
    <w:p w14:paraId="3D6D7D00" w14:textId="77777777" w:rsidR="007518E4" w:rsidRPr="00E24708" w:rsidRDefault="007518E4" w:rsidP="008037D9">
      <w:pPr>
        <w:pStyle w:val="Default"/>
        <w:numPr>
          <w:ilvl w:val="0"/>
          <w:numId w:val="84"/>
        </w:numPr>
        <w:spacing w:after="240"/>
        <w:ind w:left="0"/>
        <w:rPr>
          <w:rFonts w:ascii="Times New Roman" w:eastAsia="ヒラギノ角ゴ Pro W3" w:hAnsi="Times New Roman" w:cs="Times New Roman"/>
          <w:lang w:eastAsia="en-IN"/>
        </w:rPr>
      </w:pPr>
      <w:r w:rsidRPr="00C52F37">
        <w:rPr>
          <w:rFonts w:ascii="Times New Roman" w:eastAsia="ヒラギノ角ゴ Pro W3" w:hAnsi="Times New Roman" w:cs="Times New Roman"/>
          <w:b/>
          <w:lang w:eastAsia="en-IN"/>
        </w:rPr>
        <w:t>The GFIS is a basic locally developed application to assist it in the processing of government payment and receipt transactions.</w:t>
      </w:r>
      <w:r w:rsidRPr="00E24708">
        <w:rPr>
          <w:rFonts w:ascii="Times New Roman" w:eastAsia="ヒラギノ角ゴ Pro W3" w:hAnsi="Times New Roman" w:cs="Times New Roman"/>
          <w:lang w:eastAsia="en-IN"/>
        </w:rPr>
        <w:t xml:space="preserve"> The system operates under a centralized architecture on a central server operating under Linux (Redhat-5) at Vientiane. The enhanced application software operates on an Oracle 10 g data base management system and is built with Power Builder (11). The system uses a client-server architecture</w:t>
      </w:r>
      <w:r w:rsidRPr="00E24708">
        <w:rPr>
          <w:rFonts w:ascii="Times New Roman" w:eastAsia="ヒラギノ角ゴ Pro W3" w:hAnsi="Times New Roman" w:cs="Times New Roman"/>
          <w:vertAlign w:val="superscript"/>
        </w:rPr>
        <w:footnoteReference w:id="50"/>
      </w:r>
      <w:r w:rsidRPr="00E24708">
        <w:rPr>
          <w:rFonts w:ascii="Times New Roman" w:eastAsia="ヒラギノ角ゴ Pro W3" w:hAnsi="Times New Roman" w:cs="Times New Roman"/>
          <w:lang w:eastAsia="en-IN"/>
        </w:rPr>
        <w:t xml:space="preserve">. </w:t>
      </w:r>
    </w:p>
    <w:p w14:paraId="2C612F82" w14:textId="77777777" w:rsidR="007518E4" w:rsidRPr="00E24708" w:rsidRDefault="007518E4" w:rsidP="008037D9">
      <w:pPr>
        <w:pStyle w:val="Default"/>
        <w:numPr>
          <w:ilvl w:val="0"/>
          <w:numId w:val="84"/>
        </w:numPr>
        <w:spacing w:after="240"/>
        <w:ind w:left="0"/>
        <w:rPr>
          <w:rFonts w:ascii="Times New Roman" w:eastAsia="ヒラギノ角ゴ Pro W3" w:hAnsi="Times New Roman" w:cs="Times New Roman"/>
          <w:lang w:eastAsia="en-IN"/>
        </w:rPr>
      </w:pPr>
      <w:r w:rsidRPr="00C52F37">
        <w:rPr>
          <w:rFonts w:ascii="Times New Roman" w:eastAsia="ヒラギノ角ゴ Pro W3" w:hAnsi="Times New Roman" w:cs="Times New Roman"/>
          <w:b/>
          <w:lang w:eastAsia="en-IN"/>
        </w:rPr>
        <w:t>At present the total number of users connected to the system across the network is about 850-900.</w:t>
      </w:r>
      <w:r w:rsidRPr="00E24708">
        <w:rPr>
          <w:rFonts w:ascii="Times New Roman" w:eastAsia="ヒラギノ角ゴ Pro W3" w:hAnsi="Times New Roman" w:cs="Times New Roman"/>
          <w:lang w:eastAsia="en-IN"/>
        </w:rPr>
        <w:t xml:space="preserve"> All line ministries at the </w:t>
      </w:r>
      <w:r w:rsidR="000C5978" w:rsidRPr="00E24708">
        <w:rPr>
          <w:rFonts w:ascii="Times New Roman" w:eastAsia="ヒラギノ角ゴ Pro W3" w:hAnsi="Times New Roman" w:cs="Times New Roman"/>
          <w:lang w:eastAsia="en-IN"/>
        </w:rPr>
        <w:t>center</w:t>
      </w:r>
      <w:r w:rsidRPr="00E24708">
        <w:rPr>
          <w:rFonts w:ascii="Times New Roman" w:eastAsia="ヒラギノ角ゴ Pro W3" w:hAnsi="Times New Roman" w:cs="Times New Roman"/>
          <w:lang w:eastAsia="en-IN"/>
        </w:rPr>
        <w:t xml:space="preserve"> and the provinces have access to G</w:t>
      </w:r>
      <w:r w:rsidR="000C5978">
        <w:rPr>
          <w:rFonts w:ascii="Times New Roman" w:eastAsia="ヒラギノ角ゴ Pro W3" w:hAnsi="Times New Roman" w:cs="Times New Roman"/>
          <w:lang w:eastAsia="en-IN"/>
        </w:rPr>
        <w:t>FIS for transaction processing.</w:t>
      </w:r>
      <w:r w:rsidRPr="00E24708">
        <w:rPr>
          <w:rFonts w:ascii="Times New Roman" w:eastAsia="ヒラギノ角ゴ Pro W3" w:hAnsi="Times New Roman" w:cs="Times New Roman"/>
          <w:lang w:eastAsia="en-IN"/>
        </w:rPr>
        <w:t xml:space="preserve"> A total of about </w:t>
      </w:r>
      <w:proofErr w:type="gramStart"/>
      <w:r w:rsidR="000C5978">
        <w:rPr>
          <w:rFonts w:ascii="Times New Roman" w:eastAsia="ヒラギノ角ゴ Pro W3" w:hAnsi="Times New Roman" w:cs="Times New Roman"/>
          <w:lang w:eastAsia="en-IN"/>
        </w:rPr>
        <w:t>60</w:t>
      </w:r>
      <w:r w:rsidRPr="00E24708">
        <w:rPr>
          <w:rFonts w:ascii="Times New Roman" w:eastAsia="ヒラギノ角ゴ Pro W3" w:hAnsi="Times New Roman" w:cs="Times New Roman"/>
          <w:lang w:eastAsia="en-IN"/>
        </w:rPr>
        <w:t xml:space="preserve"> line</w:t>
      </w:r>
      <w:proofErr w:type="gramEnd"/>
      <w:r w:rsidRPr="00E24708">
        <w:rPr>
          <w:rFonts w:ascii="Times New Roman" w:eastAsia="ヒラギノ角ゴ Pro W3" w:hAnsi="Times New Roman" w:cs="Times New Roman"/>
          <w:lang w:eastAsia="en-IN"/>
        </w:rPr>
        <w:t xml:space="preserve"> ministries and central agencies are directly connected to the system at the central level and all 17 provinces including Vientiane City and all 9 districts of the Vientiane province.  The Treasury and Budget departments and end-users in line ministries and provinces carry out financial transactions on the GFIS on a day-to-day basis. Connectivity issues at the provincial level have been reported as reduced after the setting up of a backup access </w:t>
      </w:r>
      <w:r w:rsidR="000C5978">
        <w:rPr>
          <w:rFonts w:ascii="Times New Roman" w:eastAsia="ヒラギノ角ゴ Pro W3" w:hAnsi="Times New Roman" w:cs="Times New Roman"/>
          <w:lang w:eastAsia="en-IN"/>
        </w:rPr>
        <w:t xml:space="preserve">based on telecom connectivity. </w:t>
      </w:r>
      <w:r w:rsidRPr="00E24708">
        <w:rPr>
          <w:rFonts w:ascii="Times New Roman" w:eastAsia="ヒラギノ角ゴ Pro W3" w:hAnsi="Times New Roman" w:cs="Times New Roman"/>
          <w:lang w:eastAsia="en-IN"/>
        </w:rPr>
        <w:t xml:space="preserve">Staff of the ICT department who have developed the system and are responsible for its operation and maintenance are also more closely engaged with the end users in the Treasury and Budget departments. </w:t>
      </w:r>
    </w:p>
    <w:p w14:paraId="27686525" w14:textId="77777777" w:rsidR="007518E4" w:rsidRPr="00E24708" w:rsidRDefault="007518E4" w:rsidP="008037D9">
      <w:pPr>
        <w:pStyle w:val="Default"/>
        <w:numPr>
          <w:ilvl w:val="0"/>
          <w:numId w:val="84"/>
        </w:numPr>
        <w:spacing w:after="240"/>
        <w:ind w:left="0"/>
        <w:rPr>
          <w:rFonts w:ascii="Times New Roman" w:eastAsia="ヒラギノ角ゴ Pro W3" w:hAnsi="Times New Roman" w:cs="Times New Roman"/>
          <w:lang w:eastAsia="en-IN"/>
        </w:rPr>
      </w:pPr>
      <w:r w:rsidRPr="00C52F37">
        <w:rPr>
          <w:rFonts w:ascii="Times New Roman" w:eastAsia="ヒラギノ角ゴ Pro W3" w:hAnsi="Times New Roman" w:cs="Times New Roman"/>
          <w:b/>
          <w:lang w:eastAsia="en-IN"/>
        </w:rPr>
        <w:t>GFIS has automated controls which help to ensure that there is multi-level access and changes to records are restricted.</w:t>
      </w:r>
      <w:r w:rsidR="000C5978">
        <w:rPr>
          <w:rFonts w:ascii="Times New Roman" w:eastAsia="ヒラギノ角ゴ Pro W3" w:hAnsi="Times New Roman" w:cs="Times New Roman"/>
          <w:lang w:eastAsia="en-IN"/>
        </w:rPr>
        <w:t xml:space="preserve"> </w:t>
      </w:r>
      <w:r w:rsidRPr="00E24708">
        <w:rPr>
          <w:rFonts w:ascii="Times New Roman" w:eastAsia="ヒラギノ角ゴ Pro W3" w:hAnsi="Times New Roman" w:cs="Times New Roman"/>
          <w:lang w:eastAsia="en-IN"/>
        </w:rPr>
        <w:t xml:space="preserve">Appropriate user access levels are given.  Upon setting up of users in the GFIS system platform the authorization forms clearly define the user roles which are to be given and the functions which the user is to perform in the accounting system. For decentralized processing at line ministry or provincial and district level, specific responsibilities and rights are defined with limited rights and access to modifications in the system.  This enables them only to capture certain information. A user authorization template has been created which captures the user bio-data </w:t>
      </w:r>
      <w:proofErr w:type="gramStart"/>
      <w:r w:rsidRPr="00E24708">
        <w:rPr>
          <w:rFonts w:ascii="Times New Roman" w:eastAsia="ヒラギノ角ゴ Pro W3" w:hAnsi="Times New Roman" w:cs="Times New Roman"/>
          <w:lang w:eastAsia="en-IN"/>
        </w:rPr>
        <w:t>and also</w:t>
      </w:r>
      <w:proofErr w:type="gramEnd"/>
      <w:r w:rsidRPr="00E24708">
        <w:rPr>
          <w:rFonts w:ascii="Times New Roman" w:eastAsia="ヒラギノ角ゴ Pro W3" w:hAnsi="Times New Roman" w:cs="Times New Roman"/>
          <w:lang w:eastAsia="en-IN"/>
        </w:rPr>
        <w:t xml:space="preserve"> the specific roles to be assigned. The form is authorized at the appropriate level in the user department before it is sent to the ICT department to create the user profile with the specifications requested from the user department.  Certain restricted entries in the system can only be carried out by authorized personnel in departments such a Treasury and Budget.</w:t>
      </w:r>
    </w:p>
    <w:p w14:paraId="6AFD0AE4" w14:textId="77777777" w:rsidR="007518E4" w:rsidRPr="00E24708" w:rsidRDefault="007518E4" w:rsidP="008037D9">
      <w:pPr>
        <w:pStyle w:val="Default"/>
        <w:numPr>
          <w:ilvl w:val="0"/>
          <w:numId w:val="84"/>
        </w:numPr>
        <w:spacing w:after="240"/>
        <w:ind w:left="0"/>
        <w:rPr>
          <w:rFonts w:ascii="Times New Roman" w:eastAsia="ヒラギノ角ゴ Pro W3" w:hAnsi="Times New Roman" w:cs="Times New Roman"/>
          <w:lang w:eastAsia="en-IN"/>
        </w:rPr>
      </w:pPr>
      <w:r w:rsidRPr="00C52F37">
        <w:rPr>
          <w:rFonts w:ascii="Times New Roman" w:eastAsia="ヒラギノ角ゴ Pro W3" w:hAnsi="Times New Roman" w:cs="Times New Roman"/>
          <w:b/>
          <w:lang w:eastAsia="en-IN"/>
        </w:rPr>
        <w:t>A review performed by the WB on the GFIS system in October 2016 reported the following issues</w:t>
      </w:r>
      <w:r w:rsidRPr="00E24708">
        <w:rPr>
          <w:rFonts w:ascii="Times New Roman" w:eastAsia="ヒラギノ角ゴ Pro W3" w:hAnsi="Times New Roman" w:cs="Times New Roman"/>
          <w:lang w:eastAsia="en-IN"/>
        </w:rPr>
        <w:t>:</w:t>
      </w:r>
    </w:p>
    <w:p w14:paraId="0897AD7D"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 xml:space="preserve">System administration functions: staff performing the system administration functions such as opening new users’ accounts has total control of the application software GFIS and all the security and access rights.  This situation does not meet the normal test of separation of duties required by audit, internal control, and international good practice. </w:t>
      </w:r>
    </w:p>
    <w:p w14:paraId="3DE7542D" w14:textId="77777777" w:rsidR="007518E4" w:rsidRPr="00E24708" w:rsidRDefault="007518E4" w:rsidP="000C5978">
      <w:pPr>
        <w:pStyle w:val="ListParagraph"/>
        <w:widowControl w:val="0"/>
        <w:numPr>
          <w:ilvl w:val="0"/>
          <w:numId w:val="76"/>
        </w:numPr>
        <w:autoSpaceDE w:val="0"/>
        <w:autoSpaceDN w:val="0"/>
        <w:adjustRightInd w:val="0"/>
        <w:spacing w:before="0" w:after="120"/>
        <w:contextualSpacing w:val="0"/>
        <w:rPr>
          <w:rFonts w:ascii="Times New Roman" w:eastAsia="ヒラギノ角ゴ Pro W3" w:hAnsi="Times New Roman"/>
          <w:lang w:eastAsia="en-IN"/>
        </w:rPr>
      </w:pPr>
      <w:r w:rsidRPr="000C5978">
        <w:rPr>
          <w:rFonts w:ascii="Times New Roman" w:hAnsi="Times New Roman"/>
          <w:color w:val="000000" w:themeColor="text1"/>
          <w:sz w:val="24"/>
        </w:rPr>
        <w:t xml:space="preserve">System documentation: documentation for the GFIS system user manual is not available and as the system knowledge is vested with a small group of people, key </w:t>
      </w:r>
      <w:r w:rsidRPr="000C5978">
        <w:rPr>
          <w:rFonts w:ascii="Times New Roman" w:hAnsi="Times New Roman"/>
          <w:color w:val="000000" w:themeColor="text1"/>
          <w:sz w:val="24"/>
        </w:rPr>
        <w:lastRenderedPageBreak/>
        <w:t>personnel risk is high</w:t>
      </w:r>
      <w:r w:rsidRPr="00E24708">
        <w:rPr>
          <w:rFonts w:ascii="Times New Roman" w:eastAsia="ヒラギノ角ゴ Pro W3" w:hAnsi="Times New Roman"/>
          <w:lang w:eastAsia="en-IN"/>
        </w:rPr>
        <w:t xml:space="preserve">. </w:t>
      </w:r>
    </w:p>
    <w:p w14:paraId="6E950BED"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Network reliability: this was a major problem earlier</w:t>
      </w:r>
      <w:r w:rsidR="000C5978">
        <w:rPr>
          <w:rFonts w:ascii="Times New Roman" w:hAnsi="Times New Roman"/>
          <w:color w:val="000000" w:themeColor="text1"/>
          <w:sz w:val="24"/>
        </w:rPr>
        <w:t>,</w:t>
      </w:r>
      <w:r w:rsidRPr="000C5978">
        <w:rPr>
          <w:rFonts w:ascii="Times New Roman" w:hAnsi="Times New Roman"/>
          <w:color w:val="000000" w:themeColor="text1"/>
          <w:sz w:val="24"/>
        </w:rPr>
        <w:t xml:space="preserve"> but the situation is stated to have improved due to the development of backup connectivity through leased lines.</w:t>
      </w:r>
    </w:p>
    <w:p w14:paraId="66F76B2C"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eastAsia="ヒラギノ角ゴ Pro W3" w:hAnsi="Times New Roman"/>
          <w:sz w:val="24"/>
          <w:lang w:eastAsia="en-IN"/>
        </w:rPr>
      </w:pPr>
      <w:r w:rsidRPr="000C5978">
        <w:rPr>
          <w:rFonts w:ascii="Times New Roman" w:hAnsi="Times New Roman"/>
          <w:color w:val="000000" w:themeColor="text1"/>
          <w:sz w:val="24"/>
        </w:rPr>
        <w:t>ICT security: it had been reported earlier that the ICT environment did not protect the ICT network from hacking from its weak point beyond the point-to-point VPN security</w:t>
      </w:r>
      <w:r w:rsidR="000C5978">
        <w:rPr>
          <w:rFonts w:ascii="Times New Roman" w:eastAsia="ヒラギノ角ゴ Pro W3" w:hAnsi="Times New Roman"/>
          <w:sz w:val="24"/>
          <w:lang w:eastAsia="en-IN"/>
        </w:rPr>
        <w:t xml:space="preserve"> provided by NAST. </w:t>
      </w:r>
      <w:r w:rsidRPr="000C5978">
        <w:rPr>
          <w:rFonts w:ascii="Times New Roman" w:eastAsia="ヒラギノ角ゴ Pro W3" w:hAnsi="Times New Roman"/>
          <w:sz w:val="24"/>
          <w:lang w:eastAsia="en-IN"/>
        </w:rPr>
        <w:t xml:space="preserve">It is not clear </w:t>
      </w:r>
      <w:proofErr w:type="gramStart"/>
      <w:r w:rsidRPr="000C5978">
        <w:rPr>
          <w:rFonts w:ascii="Times New Roman" w:eastAsia="ヒラギノ角ゴ Pro W3" w:hAnsi="Times New Roman"/>
          <w:sz w:val="24"/>
          <w:lang w:eastAsia="en-IN"/>
        </w:rPr>
        <w:t>whether or not</w:t>
      </w:r>
      <w:proofErr w:type="gramEnd"/>
      <w:r w:rsidRPr="000C5978">
        <w:rPr>
          <w:rFonts w:ascii="Times New Roman" w:eastAsia="ヒラギノ角ゴ Pro W3" w:hAnsi="Times New Roman"/>
          <w:sz w:val="24"/>
          <w:lang w:eastAsia="en-IN"/>
        </w:rPr>
        <w:t xml:space="preserve"> </w:t>
      </w:r>
      <w:r w:rsidR="000C5978">
        <w:rPr>
          <w:rFonts w:ascii="Times New Roman" w:eastAsia="ヒラギノ角ゴ Pro W3" w:hAnsi="Times New Roman"/>
          <w:sz w:val="24"/>
          <w:lang w:eastAsia="en-IN"/>
        </w:rPr>
        <w:t xml:space="preserve">this issue has been addressed. </w:t>
      </w:r>
      <w:r w:rsidRPr="000C5978">
        <w:rPr>
          <w:rFonts w:ascii="Times New Roman" w:eastAsia="ヒラギノ角ゴ Pro W3" w:hAnsi="Times New Roman"/>
          <w:sz w:val="24"/>
          <w:lang w:eastAsia="en-IN"/>
        </w:rPr>
        <w:t>The MoF mentioned the existence of a Disaster recovery center and daily backups made by MoF ICT department.</w:t>
      </w:r>
    </w:p>
    <w:p w14:paraId="3CD75C5D" w14:textId="77777777" w:rsidR="007518E4" w:rsidRPr="00E24708" w:rsidRDefault="007518E4" w:rsidP="008037D9">
      <w:pPr>
        <w:pStyle w:val="ListParagraph"/>
        <w:numPr>
          <w:ilvl w:val="0"/>
          <w:numId w:val="84"/>
        </w:numPr>
        <w:spacing w:after="240"/>
        <w:ind w:left="0"/>
        <w:contextualSpacing w:val="0"/>
        <w:rPr>
          <w:rFonts w:ascii="Times New Roman" w:hAnsi="Times New Roman"/>
          <w:iCs/>
          <w:sz w:val="24"/>
        </w:rPr>
      </w:pPr>
      <w:r w:rsidRPr="00C52F37">
        <w:rPr>
          <w:rFonts w:ascii="Times New Roman" w:hAnsi="Times New Roman"/>
          <w:b/>
          <w:iCs/>
          <w:sz w:val="24"/>
        </w:rPr>
        <w:t>Financial data is kept in an electronic system in which access and changes to records and data is restricted and recorded through segregation of access in line with duties through controlled passwords</w:t>
      </w:r>
      <w:r w:rsidRPr="00E24708">
        <w:rPr>
          <w:rFonts w:ascii="Times New Roman" w:hAnsi="Times New Roman"/>
          <w:iCs/>
          <w:sz w:val="24"/>
        </w:rPr>
        <w:t>: Score C.</w:t>
      </w:r>
    </w:p>
    <w:p w14:paraId="2CFF2C69" w14:textId="77777777" w:rsidR="007518E4" w:rsidRPr="00E24708" w:rsidRDefault="007518E4" w:rsidP="008037D9">
      <w:pPr>
        <w:pStyle w:val="ListParagraph"/>
        <w:numPr>
          <w:ilvl w:val="0"/>
          <w:numId w:val="84"/>
        </w:numPr>
        <w:spacing w:after="240"/>
        <w:ind w:left="0"/>
        <w:contextualSpacing w:val="0"/>
        <w:rPr>
          <w:rFonts w:ascii="Times New Roman" w:eastAsia="Calibri" w:hAnsi="Times New Roman"/>
          <w:iCs/>
          <w:sz w:val="24"/>
        </w:rPr>
      </w:pPr>
      <w:r w:rsidRPr="00C52F37">
        <w:rPr>
          <w:rFonts w:ascii="Times New Roman" w:eastAsia="Calibri" w:hAnsi="Times New Roman"/>
          <w:b/>
          <w:iCs/>
          <w:sz w:val="24"/>
        </w:rPr>
        <w:t>Plans are underway to acquire an FMIS platform that should – in the medium term - integrate all the government entities with comprehensive treasury functions</w:t>
      </w:r>
      <w:r w:rsidRPr="00E24708">
        <w:rPr>
          <w:rFonts w:ascii="Times New Roman" w:eastAsia="Calibri" w:hAnsi="Times New Roman"/>
          <w:iCs/>
          <w:sz w:val="24"/>
        </w:rPr>
        <w:t xml:space="preserve">. The government is moving towards the introduction of electronic payment systems and expanding the use of </w:t>
      </w:r>
      <w:proofErr w:type="spellStart"/>
      <w:r w:rsidRPr="00E24708">
        <w:rPr>
          <w:rFonts w:ascii="Times New Roman" w:eastAsia="Calibri" w:hAnsi="Times New Roman"/>
          <w:iCs/>
          <w:sz w:val="24"/>
        </w:rPr>
        <w:t>S</w:t>
      </w:r>
      <w:r>
        <w:rPr>
          <w:rFonts w:ascii="Times New Roman" w:eastAsia="Calibri" w:hAnsi="Times New Roman"/>
          <w:iCs/>
          <w:sz w:val="24"/>
        </w:rPr>
        <w:t>martC</w:t>
      </w:r>
      <w:r w:rsidRPr="00E24708">
        <w:rPr>
          <w:rFonts w:ascii="Times New Roman" w:eastAsia="Calibri" w:hAnsi="Times New Roman"/>
          <w:iCs/>
          <w:sz w:val="24"/>
        </w:rPr>
        <w:t>ards</w:t>
      </w:r>
      <w:proofErr w:type="spellEnd"/>
      <w:r w:rsidRPr="00E24708">
        <w:rPr>
          <w:rFonts w:ascii="Times New Roman" w:eastAsia="Calibri" w:hAnsi="Times New Roman"/>
          <w:iCs/>
          <w:sz w:val="24"/>
        </w:rPr>
        <w:t>, which will simplify bank reconciliation processes.</w:t>
      </w:r>
    </w:p>
    <w:p w14:paraId="54577CB4" w14:textId="77777777" w:rsidR="007518E4" w:rsidRDefault="007518E4" w:rsidP="00C52F37">
      <w:pPr>
        <w:pStyle w:val="Heading3"/>
        <w:spacing w:after="240"/>
        <w:ind w:left="0"/>
        <w:rPr>
          <w:rFonts w:ascii="Times New Roman" w:eastAsia="Calibri" w:hAnsi="Times New Roman"/>
          <w:b w:val="0"/>
          <w:bCs w:val="0"/>
          <w:color w:val="C2D740"/>
          <w:spacing w:val="-1"/>
          <w:szCs w:val="28"/>
        </w:rPr>
      </w:pPr>
      <w:bookmarkStart w:id="102" w:name="_Toc518901814"/>
      <w:bookmarkStart w:id="103" w:name="_Toc4149009"/>
      <w:r w:rsidRPr="00FE6ED4">
        <w:rPr>
          <w:rFonts w:ascii="Times New Roman" w:eastAsia="Calibri" w:hAnsi="Times New Roman"/>
          <w:color w:val="C2D740"/>
          <w:spacing w:val="-1"/>
          <w:szCs w:val="28"/>
        </w:rPr>
        <w:t>PI-28. In-</w:t>
      </w:r>
      <w:r>
        <w:rPr>
          <w:rFonts w:ascii="Times New Roman" w:eastAsia="Calibri" w:hAnsi="Times New Roman"/>
          <w:color w:val="C2D740"/>
          <w:spacing w:val="-1"/>
          <w:szCs w:val="28"/>
        </w:rPr>
        <w:t>y</w:t>
      </w:r>
      <w:r w:rsidRPr="00FE6ED4">
        <w:rPr>
          <w:rFonts w:ascii="Times New Roman" w:eastAsia="Calibri" w:hAnsi="Times New Roman"/>
          <w:color w:val="C2D740"/>
          <w:spacing w:val="-1"/>
          <w:szCs w:val="28"/>
        </w:rPr>
        <w:t xml:space="preserve">ear </w:t>
      </w:r>
      <w:r>
        <w:rPr>
          <w:rFonts w:ascii="Times New Roman" w:eastAsia="Calibri" w:hAnsi="Times New Roman"/>
          <w:color w:val="C2D740"/>
          <w:spacing w:val="-1"/>
          <w:szCs w:val="28"/>
        </w:rPr>
        <w:t>b</w:t>
      </w:r>
      <w:r w:rsidRPr="00FE6ED4">
        <w:rPr>
          <w:rFonts w:ascii="Times New Roman" w:eastAsia="Calibri" w:hAnsi="Times New Roman"/>
          <w:color w:val="C2D740"/>
          <w:spacing w:val="-1"/>
          <w:szCs w:val="28"/>
        </w:rPr>
        <w:t xml:space="preserve">udget </w:t>
      </w:r>
      <w:r>
        <w:rPr>
          <w:rFonts w:ascii="Times New Roman" w:eastAsia="Calibri" w:hAnsi="Times New Roman"/>
          <w:color w:val="C2D740"/>
          <w:spacing w:val="-1"/>
          <w:szCs w:val="28"/>
        </w:rPr>
        <w:t>r</w:t>
      </w:r>
      <w:r w:rsidRPr="00FE6ED4">
        <w:rPr>
          <w:rFonts w:ascii="Times New Roman" w:eastAsia="Calibri" w:hAnsi="Times New Roman"/>
          <w:color w:val="C2D740"/>
          <w:spacing w:val="-1"/>
          <w:szCs w:val="28"/>
        </w:rPr>
        <w:t>eports</w:t>
      </w:r>
      <w:bookmarkEnd w:id="102"/>
      <w:bookmarkEnd w:id="103"/>
    </w:p>
    <w:p w14:paraId="3B57E6F3" w14:textId="77777777" w:rsidR="007518E4" w:rsidRDefault="007518E4" w:rsidP="008037D9">
      <w:pPr>
        <w:pStyle w:val="ListParagraph"/>
        <w:numPr>
          <w:ilvl w:val="0"/>
          <w:numId w:val="84"/>
        </w:numPr>
        <w:spacing w:after="240"/>
        <w:ind w:left="0"/>
        <w:contextualSpacing w:val="0"/>
        <w:rPr>
          <w:rFonts w:ascii="Times New Roman" w:hAnsi="Times New Roman"/>
          <w:sz w:val="24"/>
        </w:rPr>
      </w:pPr>
      <w:r w:rsidRPr="00C52F37">
        <w:rPr>
          <w:rFonts w:ascii="Times New Roman" w:hAnsi="Times New Roman"/>
          <w:b/>
          <w:sz w:val="24"/>
        </w:rPr>
        <w:t>This indicator assesses the comprehensiveness, accuracy and timeliness of information on budget execution</w:t>
      </w:r>
      <w:r w:rsidR="000C5978">
        <w:rPr>
          <w:rFonts w:ascii="Times New Roman" w:hAnsi="Times New Roman"/>
          <w:sz w:val="24"/>
        </w:rPr>
        <w:t xml:space="preserve">. </w:t>
      </w:r>
      <w:r w:rsidRPr="00CF1206">
        <w:rPr>
          <w:rFonts w:ascii="Times New Roman" w:hAnsi="Times New Roman"/>
          <w:sz w:val="24"/>
        </w:rPr>
        <w:t xml:space="preserve">The </w:t>
      </w:r>
      <w:proofErr w:type="gramStart"/>
      <w:r w:rsidRPr="00CF1206">
        <w:rPr>
          <w:rFonts w:ascii="Times New Roman" w:hAnsi="Times New Roman"/>
          <w:sz w:val="24"/>
        </w:rPr>
        <w:t>time period</w:t>
      </w:r>
      <w:proofErr w:type="gramEnd"/>
      <w:r w:rsidRPr="00CF1206">
        <w:rPr>
          <w:rFonts w:ascii="Times New Roman" w:hAnsi="Times New Roman"/>
          <w:sz w:val="24"/>
        </w:rPr>
        <w:t xml:space="preserve"> is last completed fiscal year. Coverage is Budgetary Central Government.</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1187"/>
        <w:gridCol w:w="5015"/>
      </w:tblGrid>
      <w:tr w:rsidR="007518E4" w:rsidRPr="0070019D" w14:paraId="2578F1E0" w14:textId="77777777" w:rsidTr="000C5978">
        <w:trPr>
          <w:trHeight w:val="397"/>
          <w:jc w:val="center"/>
        </w:trPr>
        <w:tc>
          <w:tcPr>
            <w:tcW w:w="1520" w:type="pct"/>
            <w:shd w:val="clear" w:color="auto" w:fill="D9D9D9"/>
            <w:vAlign w:val="center"/>
          </w:tcPr>
          <w:p w14:paraId="3643BEC9" w14:textId="77777777" w:rsidR="007518E4" w:rsidRPr="005A32AA" w:rsidRDefault="007518E4" w:rsidP="000C5978">
            <w:pPr>
              <w:spacing w:before="0"/>
              <w:ind w:hanging="539"/>
              <w:jc w:val="center"/>
              <w:rPr>
                <w:rFonts w:ascii="Times New Roman" w:hAnsi="Times New Roman"/>
              </w:rPr>
            </w:pPr>
            <w:r w:rsidRPr="005A32AA">
              <w:rPr>
                <w:rFonts w:ascii="Times New Roman" w:hAnsi="Times New Roman"/>
              </w:rPr>
              <w:t>Indicator/Dimension</w:t>
            </w:r>
          </w:p>
        </w:tc>
        <w:tc>
          <w:tcPr>
            <w:tcW w:w="666" w:type="pct"/>
            <w:shd w:val="clear" w:color="auto" w:fill="D9D9D9"/>
            <w:vAlign w:val="center"/>
          </w:tcPr>
          <w:p w14:paraId="5FFAFBEF" w14:textId="77777777" w:rsidR="007518E4" w:rsidRPr="005A32AA" w:rsidRDefault="007518E4" w:rsidP="00C52F37">
            <w:pPr>
              <w:spacing w:before="0"/>
              <w:ind w:left="0"/>
              <w:jc w:val="center"/>
              <w:rPr>
                <w:rFonts w:ascii="Times New Roman" w:hAnsi="Times New Roman"/>
              </w:rPr>
            </w:pPr>
            <w:r w:rsidRPr="005A32AA">
              <w:rPr>
                <w:rFonts w:ascii="Times New Roman" w:hAnsi="Times New Roman"/>
              </w:rPr>
              <w:t>Score</w:t>
            </w:r>
          </w:p>
        </w:tc>
        <w:tc>
          <w:tcPr>
            <w:tcW w:w="2815" w:type="pct"/>
            <w:shd w:val="clear" w:color="auto" w:fill="D9D9D9"/>
            <w:vAlign w:val="center"/>
          </w:tcPr>
          <w:p w14:paraId="3A9FF4A3" w14:textId="77777777" w:rsidR="007518E4" w:rsidRPr="005A32AA" w:rsidRDefault="007518E4" w:rsidP="000C5978">
            <w:pPr>
              <w:spacing w:before="0"/>
              <w:ind w:hanging="503"/>
              <w:jc w:val="center"/>
              <w:rPr>
                <w:rFonts w:ascii="Times New Roman" w:hAnsi="Times New Roman"/>
              </w:rPr>
            </w:pPr>
            <w:r w:rsidRPr="005A32AA">
              <w:rPr>
                <w:rFonts w:ascii="Times New Roman" w:hAnsi="Times New Roman"/>
              </w:rPr>
              <w:t>Brief Explanation</w:t>
            </w:r>
          </w:p>
        </w:tc>
      </w:tr>
      <w:tr w:rsidR="007518E4" w:rsidRPr="0070019D" w14:paraId="728B65B4" w14:textId="77777777" w:rsidTr="000C5978">
        <w:trPr>
          <w:trHeight w:val="647"/>
          <w:jc w:val="center"/>
        </w:trPr>
        <w:tc>
          <w:tcPr>
            <w:tcW w:w="1520" w:type="pct"/>
            <w:vAlign w:val="center"/>
          </w:tcPr>
          <w:p w14:paraId="2BE3DDFE" w14:textId="77777777" w:rsidR="007518E4" w:rsidRPr="005A32AA" w:rsidRDefault="007518E4" w:rsidP="00C52F37">
            <w:pPr>
              <w:spacing w:before="0"/>
              <w:ind w:left="0"/>
              <w:rPr>
                <w:rFonts w:ascii="Times New Roman" w:hAnsi="Times New Roman"/>
              </w:rPr>
            </w:pPr>
            <w:r w:rsidRPr="005A32AA">
              <w:rPr>
                <w:rFonts w:ascii="Times New Roman" w:hAnsi="Times New Roman"/>
                <w:bCs/>
              </w:rPr>
              <w:t xml:space="preserve">PI-28 In-year budget reports  </w:t>
            </w:r>
          </w:p>
        </w:tc>
        <w:tc>
          <w:tcPr>
            <w:tcW w:w="666" w:type="pct"/>
            <w:vAlign w:val="center"/>
          </w:tcPr>
          <w:p w14:paraId="5FC814EA" w14:textId="77777777" w:rsidR="007518E4" w:rsidRPr="005A32AA" w:rsidRDefault="007518E4" w:rsidP="00C52F37">
            <w:pPr>
              <w:spacing w:before="0"/>
              <w:ind w:left="0"/>
              <w:jc w:val="center"/>
              <w:rPr>
                <w:rFonts w:ascii="Times New Roman" w:hAnsi="Times New Roman"/>
              </w:rPr>
            </w:pPr>
            <w:r>
              <w:rPr>
                <w:rFonts w:ascii="Times New Roman" w:hAnsi="Times New Roman"/>
              </w:rPr>
              <w:t>D</w:t>
            </w:r>
            <w:r w:rsidR="008721BD">
              <w:rPr>
                <w:rFonts w:ascii="Times New Roman" w:hAnsi="Times New Roman"/>
              </w:rPr>
              <w:t>+</w:t>
            </w:r>
          </w:p>
        </w:tc>
        <w:tc>
          <w:tcPr>
            <w:tcW w:w="2815" w:type="pct"/>
            <w:vAlign w:val="center"/>
          </w:tcPr>
          <w:p w14:paraId="19D74554" w14:textId="77777777" w:rsidR="007518E4" w:rsidRPr="005A32AA" w:rsidRDefault="007518E4" w:rsidP="00C52F37">
            <w:pPr>
              <w:spacing w:before="0"/>
              <w:ind w:left="0"/>
              <w:rPr>
                <w:rFonts w:ascii="Times New Roman" w:hAnsi="Times New Roman"/>
              </w:rPr>
            </w:pPr>
            <w:r w:rsidRPr="005A32AA">
              <w:rPr>
                <w:rFonts w:ascii="Times New Roman" w:hAnsi="Times New Roman"/>
              </w:rPr>
              <w:t>Dimension scores combined by Method M1 (weakest link)</w:t>
            </w:r>
          </w:p>
        </w:tc>
      </w:tr>
      <w:tr w:rsidR="007518E4" w:rsidRPr="0070019D" w14:paraId="069481BA" w14:textId="77777777" w:rsidTr="000C5978">
        <w:trPr>
          <w:trHeight w:val="647"/>
          <w:jc w:val="center"/>
        </w:trPr>
        <w:tc>
          <w:tcPr>
            <w:tcW w:w="1520" w:type="pct"/>
            <w:vAlign w:val="center"/>
          </w:tcPr>
          <w:p w14:paraId="68C9A173" w14:textId="77777777" w:rsidR="007518E4" w:rsidRPr="005A32AA" w:rsidRDefault="007518E4" w:rsidP="000C5978">
            <w:pPr>
              <w:spacing w:before="0"/>
              <w:ind w:left="0"/>
              <w:jc w:val="left"/>
              <w:rPr>
                <w:rFonts w:ascii="Times New Roman" w:hAnsi="Times New Roman"/>
                <w:color w:val="000000"/>
              </w:rPr>
            </w:pPr>
            <w:r w:rsidRPr="005A32AA">
              <w:rPr>
                <w:rFonts w:ascii="Times New Roman" w:hAnsi="Times New Roman"/>
                <w:color w:val="000000"/>
              </w:rPr>
              <w:t>28.1 Coverage and comparability of reports</w:t>
            </w:r>
          </w:p>
        </w:tc>
        <w:tc>
          <w:tcPr>
            <w:tcW w:w="666" w:type="pct"/>
            <w:vAlign w:val="center"/>
          </w:tcPr>
          <w:p w14:paraId="1A43AABF" w14:textId="77777777" w:rsidR="007518E4" w:rsidRPr="005A32AA" w:rsidRDefault="007518E4" w:rsidP="00C52F37">
            <w:pPr>
              <w:spacing w:before="0"/>
              <w:ind w:left="0"/>
              <w:jc w:val="center"/>
              <w:rPr>
                <w:rFonts w:ascii="Times New Roman" w:hAnsi="Times New Roman"/>
              </w:rPr>
            </w:pPr>
            <w:r>
              <w:rPr>
                <w:rFonts w:ascii="Times New Roman" w:hAnsi="Times New Roman"/>
              </w:rPr>
              <w:t>D</w:t>
            </w:r>
          </w:p>
        </w:tc>
        <w:tc>
          <w:tcPr>
            <w:tcW w:w="2815" w:type="pct"/>
            <w:vAlign w:val="center"/>
          </w:tcPr>
          <w:p w14:paraId="30FA1F6E" w14:textId="77777777" w:rsidR="007518E4" w:rsidRPr="005A32AA" w:rsidRDefault="007518E4" w:rsidP="00C52F37">
            <w:pPr>
              <w:spacing w:before="0"/>
              <w:ind w:left="0"/>
              <w:rPr>
                <w:rFonts w:ascii="Times New Roman" w:hAnsi="Times New Roman"/>
                <w:lang w:eastAsia="en-IN"/>
              </w:rPr>
            </w:pPr>
            <w:r w:rsidRPr="005A32AA">
              <w:rPr>
                <w:rFonts w:ascii="Times New Roman" w:hAnsi="Times New Roman"/>
                <w:lang w:eastAsia="en-IN"/>
              </w:rPr>
              <w:t>In-year budget execution reports are produced monthly for budgetary central government and data classification allows comparison to the original budget</w:t>
            </w:r>
            <w:r>
              <w:rPr>
                <w:rFonts w:ascii="Times New Roman" w:hAnsi="Times New Roman"/>
                <w:lang w:eastAsia="en-IN"/>
              </w:rPr>
              <w:t xml:space="preserve"> at aggregate economic classification level but no breakdown at the administrative level is available</w:t>
            </w:r>
            <w:r w:rsidRPr="005A32AA">
              <w:rPr>
                <w:rFonts w:ascii="Times New Roman" w:hAnsi="Times New Roman"/>
                <w:lang w:eastAsia="en-IN"/>
              </w:rPr>
              <w:t>.</w:t>
            </w:r>
          </w:p>
        </w:tc>
      </w:tr>
      <w:tr w:rsidR="007518E4" w:rsidRPr="0070019D" w14:paraId="07BC6B6A" w14:textId="77777777" w:rsidTr="000C5978">
        <w:trPr>
          <w:trHeight w:val="548"/>
          <w:jc w:val="center"/>
        </w:trPr>
        <w:tc>
          <w:tcPr>
            <w:tcW w:w="1520" w:type="pct"/>
            <w:vAlign w:val="center"/>
          </w:tcPr>
          <w:p w14:paraId="0A4169FB" w14:textId="77777777" w:rsidR="007518E4" w:rsidRPr="005A32AA" w:rsidRDefault="007518E4" w:rsidP="000C5978">
            <w:pPr>
              <w:spacing w:before="0"/>
              <w:ind w:left="0"/>
              <w:jc w:val="left"/>
              <w:rPr>
                <w:rFonts w:ascii="Times New Roman" w:hAnsi="Times New Roman"/>
                <w:color w:val="000000"/>
              </w:rPr>
            </w:pPr>
            <w:r w:rsidRPr="005A32AA">
              <w:rPr>
                <w:rFonts w:ascii="Times New Roman" w:hAnsi="Times New Roman"/>
                <w:color w:val="000000"/>
              </w:rPr>
              <w:t xml:space="preserve">28.2 Timing of in-year budget reports </w:t>
            </w:r>
          </w:p>
        </w:tc>
        <w:tc>
          <w:tcPr>
            <w:tcW w:w="666" w:type="pct"/>
            <w:vAlign w:val="center"/>
          </w:tcPr>
          <w:p w14:paraId="0A8B7883" w14:textId="27984C4C" w:rsidR="007518E4" w:rsidRPr="005A32AA" w:rsidRDefault="008721BD" w:rsidP="00C52F37">
            <w:pPr>
              <w:spacing w:before="0"/>
              <w:ind w:left="0"/>
              <w:jc w:val="center"/>
              <w:rPr>
                <w:rFonts w:ascii="Times New Roman" w:hAnsi="Times New Roman"/>
              </w:rPr>
            </w:pPr>
            <w:r>
              <w:rPr>
                <w:rFonts w:ascii="Times New Roman" w:hAnsi="Times New Roman"/>
              </w:rPr>
              <w:t>B</w:t>
            </w:r>
          </w:p>
        </w:tc>
        <w:tc>
          <w:tcPr>
            <w:tcW w:w="2815" w:type="pct"/>
            <w:vAlign w:val="center"/>
          </w:tcPr>
          <w:p w14:paraId="239AE127" w14:textId="77777777" w:rsidR="007518E4" w:rsidRPr="005A32AA" w:rsidRDefault="007518E4" w:rsidP="00C52F37">
            <w:pPr>
              <w:spacing w:before="0"/>
              <w:ind w:left="0"/>
              <w:rPr>
                <w:rFonts w:ascii="Times New Roman" w:hAnsi="Times New Roman"/>
                <w:lang w:eastAsia="en-IN"/>
              </w:rPr>
            </w:pPr>
            <w:r w:rsidRPr="005A32AA">
              <w:rPr>
                <w:rFonts w:ascii="Times New Roman" w:hAnsi="Times New Roman"/>
                <w:lang w:eastAsia="en-IN"/>
              </w:rPr>
              <w:t>In year-budget execution reports are produced monthly and issued internally within (in average) a period of one month after the end of the monthly reporting period.</w:t>
            </w:r>
            <w:r w:rsidRPr="005A32AA">
              <w:rPr>
                <w:rFonts w:ascii="Times New Roman" w:eastAsia="ヒラギノ角ゴ Pro W3" w:hAnsi="Times New Roman"/>
                <w:color w:val="000000"/>
                <w:lang w:eastAsia="en-IN"/>
              </w:rPr>
              <w:t xml:space="preserve"> An overall narrative statement on budget execution at </w:t>
            </w:r>
            <w:r>
              <w:rPr>
                <w:rFonts w:ascii="Times New Roman" w:eastAsia="ヒラギノ角ゴ Pro W3" w:hAnsi="Times New Roman"/>
                <w:color w:val="000000"/>
                <w:lang w:eastAsia="en-IN"/>
              </w:rPr>
              <w:t xml:space="preserve">very </w:t>
            </w:r>
            <w:r w:rsidRPr="005A32AA">
              <w:rPr>
                <w:rFonts w:ascii="Times New Roman" w:eastAsia="ヒラギノ角ゴ Pro W3" w:hAnsi="Times New Roman"/>
                <w:color w:val="000000"/>
                <w:lang w:eastAsia="en-IN"/>
              </w:rPr>
              <w:t>aggregate levels is provided only for mid-year and annual state budget execution reports presented to the NA.</w:t>
            </w:r>
          </w:p>
        </w:tc>
      </w:tr>
      <w:tr w:rsidR="007518E4" w:rsidRPr="0070019D" w14:paraId="14EC5B9F" w14:textId="77777777" w:rsidTr="000C5978">
        <w:trPr>
          <w:trHeight w:val="530"/>
          <w:jc w:val="center"/>
        </w:trPr>
        <w:tc>
          <w:tcPr>
            <w:tcW w:w="1520" w:type="pct"/>
            <w:vAlign w:val="center"/>
          </w:tcPr>
          <w:p w14:paraId="6271779B" w14:textId="77777777" w:rsidR="007518E4" w:rsidRPr="005A32AA" w:rsidRDefault="007518E4" w:rsidP="000C5978">
            <w:pPr>
              <w:spacing w:before="0"/>
              <w:ind w:left="0"/>
              <w:jc w:val="left"/>
              <w:rPr>
                <w:rFonts w:ascii="Times New Roman" w:hAnsi="Times New Roman"/>
                <w:color w:val="000000"/>
              </w:rPr>
            </w:pPr>
            <w:r w:rsidRPr="005A32AA">
              <w:rPr>
                <w:rFonts w:ascii="Times New Roman" w:hAnsi="Times New Roman"/>
                <w:color w:val="000000"/>
              </w:rPr>
              <w:t>28.3 Accuracy of in-year budget reports</w:t>
            </w:r>
          </w:p>
        </w:tc>
        <w:tc>
          <w:tcPr>
            <w:tcW w:w="666" w:type="pct"/>
            <w:vAlign w:val="center"/>
          </w:tcPr>
          <w:p w14:paraId="360654B1" w14:textId="77777777" w:rsidR="007518E4" w:rsidRPr="005A32AA" w:rsidRDefault="007518E4" w:rsidP="00C52F37">
            <w:pPr>
              <w:spacing w:before="0"/>
              <w:ind w:left="0"/>
              <w:jc w:val="center"/>
              <w:rPr>
                <w:rFonts w:ascii="Times New Roman" w:hAnsi="Times New Roman"/>
              </w:rPr>
            </w:pPr>
            <w:r>
              <w:rPr>
                <w:rFonts w:ascii="Times New Roman" w:hAnsi="Times New Roman"/>
              </w:rPr>
              <w:t>D</w:t>
            </w:r>
          </w:p>
        </w:tc>
        <w:tc>
          <w:tcPr>
            <w:tcW w:w="2815" w:type="pct"/>
            <w:vAlign w:val="center"/>
          </w:tcPr>
          <w:p w14:paraId="2BEBECE8" w14:textId="77777777" w:rsidR="007518E4" w:rsidRPr="005A32AA" w:rsidRDefault="007518E4" w:rsidP="00C52F37">
            <w:pPr>
              <w:spacing w:before="0"/>
              <w:ind w:left="0"/>
              <w:rPr>
                <w:rFonts w:ascii="Times New Roman" w:eastAsia="ヒラギノ角ゴ Pro W3" w:hAnsi="Times New Roman"/>
                <w:color w:val="000000"/>
                <w:lang w:eastAsia="en-IN"/>
              </w:rPr>
            </w:pPr>
            <w:r w:rsidRPr="005A32AA">
              <w:rPr>
                <w:rFonts w:ascii="Times New Roman" w:eastAsia="ヒラギノ角ゴ Pro W3" w:hAnsi="Times New Roman"/>
                <w:color w:val="000000"/>
                <w:lang w:eastAsia="en-IN"/>
              </w:rPr>
              <w:t>Monthly budget execution reports include expenditure at the payment stage with some concern regarding comprehensiveness</w:t>
            </w:r>
            <w:r>
              <w:rPr>
                <w:rFonts w:ascii="Times New Roman" w:eastAsia="ヒラギノ角ゴ Pro W3" w:hAnsi="Times New Roman"/>
                <w:color w:val="000000"/>
                <w:lang w:eastAsia="en-IN"/>
              </w:rPr>
              <w:t xml:space="preserve"> due to the number of “</w:t>
            </w:r>
            <w:r w:rsidRPr="005A32AA">
              <w:rPr>
                <w:rFonts w:ascii="Times New Roman" w:eastAsia="ヒラギノ角ゴ Pro W3" w:hAnsi="Times New Roman"/>
                <w:color w:val="000000"/>
                <w:lang w:eastAsia="en-IN"/>
              </w:rPr>
              <w:t xml:space="preserve">system transactions” recorded manually at provincial level. </w:t>
            </w:r>
            <w:r>
              <w:rPr>
                <w:rFonts w:ascii="Times New Roman" w:eastAsia="ヒラギノ角ゴ Pro W3" w:hAnsi="Times New Roman"/>
                <w:color w:val="000000"/>
                <w:lang w:eastAsia="en-IN"/>
              </w:rPr>
              <w:t>The data provided is too aggregate to allow for a basic budget execution analysis.</w:t>
            </w:r>
          </w:p>
        </w:tc>
      </w:tr>
    </w:tbl>
    <w:p w14:paraId="4A83A659" w14:textId="77777777" w:rsidR="007518E4" w:rsidRPr="00287AAA" w:rsidRDefault="007518E4" w:rsidP="008037D9">
      <w:pPr>
        <w:pStyle w:val="ListParagraph"/>
        <w:numPr>
          <w:ilvl w:val="0"/>
          <w:numId w:val="84"/>
        </w:numPr>
        <w:autoSpaceDE w:val="0"/>
        <w:autoSpaceDN w:val="0"/>
        <w:adjustRightInd w:val="0"/>
        <w:ind w:left="0"/>
        <w:contextualSpacing w:val="0"/>
        <w:rPr>
          <w:rFonts w:ascii="Times New Roman" w:eastAsia="ヒラギノ角ゴ Pro W3" w:hAnsi="Times New Roman"/>
          <w:color w:val="000000"/>
          <w:sz w:val="24"/>
          <w:lang w:val="en-GB" w:eastAsia="en-IN"/>
        </w:rPr>
      </w:pPr>
      <w:r w:rsidRPr="00C52F37">
        <w:rPr>
          <w:rFonts w:ascii="Times New Roman" w:eastAsia="ヒラギノ角ゴ Pro W3" w:hAnsi="Times New Roman"/>
          <w:b/>
          <w:color w:val="000000"/>
          <w:sz w:val="24"/>
          <w:lang w:val="en-GB" w:eastAsia="en-IN"/>
        </w:rPr>
        <w:t>The SBL Article 82, para.10 stipulates the budget execution reporting obligations for the Ministry of Finance</w:t>
      </w:r>
      <w:r w:rsidR="00C52F37">
        <w:rPr>
          <w:rFonts w:ascii="Times New Roman" w:eastAsia="ヒラギノ角ゴ Pro W3" w:hAnsi="Times New Roman"/>
          <w:color w:val="000000"/>
          <w:sz w:val="24"/>
          <w:lang w:val="en-GB" w:eastAsia="en-IN"/>
        </w:rPr>
        <w:t xml:space="preserve">.  </w:t>
      </w:r>
      <w:r w:rsidRPr="00287AAA">
        <w:rPr>
          <w:rFonts w:ascii="Times New Roman" w:eastAsia="ヒラギノ角ゴ Pro W3" w:hAnsi="Times New Roman"/>
          <w:color w:val="000000"/>
          <w:sz w:val="24"/>
          <w:lang w:val="en-GB" w:eastAsia="en-IN"/>
        </w:rPr>
        <w:t xml:space="preserve"> </w:t>
      </w:r>
      <w:r w:rsidR="00C52F37">
        <w:rPr>
          <w:rFonts w:ascii="Times New Roman" w:eastAsia="ヒラギノ角ゴ Pro W3" w:hAnsi="Times New Roman"/>
          <w:color w:val="000000"/>
          <w:sz w:val="24"/>
          <w:lang w:val="en-GB" w:eastAsia="en-IN"/>
        </w:rPr>
        <w:t xml:space="preserve">These are </w:t>
      </w:r>
      <w:r w:rsidRPr="00287AAA">
        <w:rPr>
          <w:rFonts w:ascii="Times New Roman" w:eastAsia="ヒラギノ角ゴ Pro W3" w:hAnsi="Times New Roman"/>
          <w:color w:val="000000"/>
          <w:sz w:val="24"/>
          <w:lang w:val="en-GB" w:eastAsia="en-IN"/>
        </w:rPr>
        <w:t>as follows: “To summarize and report the execution of the State budget to the Governme</w:t>
      </w:r>
      <w:r>
        <w:rPr>
          <w:rFonts w:ascii="Times New Roman" w:eastAsia="ヒラギノ角ゴ Pro W3" w:hAnsi="Times New Roman"/>
          <w:color w:val="000000"/>
          <w:sz w:val="24"/>
          <w:lang w:val="en-GB" w:eastAsia="en-IN"/>
        </w:rPr>
        <w:t>nt on a regular basis”; and Article</w:t>
      </w:r>
      <w:r w:rsidRPr="00287AAA">
        <w:rPr>
          <w:rFonts w:ascii="Times New Roman" w:eastAsia="ヒラギノ角ゴ Pro W3" w:hAnsi="Times New Roman"/>
          <w:color w:val="000000"/>
          <w:sz w:val="24"/>
          <w:lang w:val="en-GB" w:eastAsia="en-IN"/>
        </w:rPr>
        <w:t xml:space="preserve"> 36 for all </w:t>
      </w:r>
      <w:r w:rsidRPr="00287AAA">
        <w:rPr>
          <w:rFonts w:ascii="Times New Roman" w:eastAsia="ヒラギノ角ゴ Pro W3" w:hAnsi="Times New Roman"/>
          <w:color w:val="000000"/>
          <w:sz w:val="24"/>
          <w:lang w:val="en-GB" w:eastAsia="en-IN"/>
        </w:rPr>
        <w:lastRenderedPageBreak/>
        <w:t xml:space="preserve">budgetary units: “To collaborate with the National Treasury in reconciling the revenue and expenditure execution data and reporting on the budget execution in a complete, proper and timely manner.” </w:t>
      </w:r>
    </w:p>
    <w:p w14:paraId="37917807" w14:textId="77777777" w:rsidR="007518E4" w:rsidRPr="003A47C8" w:rsidRDefault="007518E4" w:rsidP="00C52F37">
      <w:pPr>
        <w:spacing w:after="240"/>
        <w:ind w:left="0"/>
        <w:rPr>
          <w:rFonts w:ascii="Times New Roman" w:eastAsia="Calibri" w:hAnsi="Times New Roman"/>
          <w:b/>
          <w:bCs/>
          <w:color w:val="92D050"/>
          <w:spacing w:val="-1"/>
          <w:sz w:val="24"/>
        </w:rPr>
      </w:pPr>
      <w:r w:rsidRPr="003A47C8">
        <w:rPr>
          <w:rFonts w:ascii="Times New Roman" w:eastAsia="Calibri" w:hAnsi="Times New Roman"/>
          <w:b/>
          <w:bCs/>
          <w:color w:val="92D050"/>
          <w:spacing w:val="-1"/>
          <w:sz w:val="24"/>
        </w:rPr>
        <w:t xml:space="preserve">28.1. Coverage and comparability of reports </w:t>
      </w:r>
    </w:p>
    <w:p w14:paraId="62B67A42" w14:textId="77777777" w:rsidR="007518E4" w:rsidRPr="0011290C" w:rsidRDefault="007518E4" w:rsidP="008037D9">
      <w:pPr>
        <w:pStyle w:val="ListParagraph"/>
        <w:numPr>
          <w:ilvl w:val="0"/>
          <w:numId w:val="84"/>
        </w:numPr>
        <w:autoSpaceDE w:val="0"/>
        <w:autoSpaceDN w:val="0"/>
        <w:adjustRightInd w:val="0"/>
        <w:spacing w:after="240"/>
        <w:ind w:left="0"/>
        <w:contextualSpacing w:val="0"/>
        <w:rPr>
          <w:rFonts w:ascii="Times New Roman" w:eastAsia="ヒラギノ角ゴ Pro W3" w:hAnsi="Times New Roman"/>
          <w:color w:val="000000"/>
          <w:sz w:val="24"/>
          <w:lang w:val="en-GB" w:eastAsia="en-IN"/>
        </w:rPr>
      </w:pPr>
      <w:r w:rsidRPr="00C52F37">
        <w:rPr>
          <w:rFonts w:ascii="Times New Roman" w:eastAsia="ヒラギノ角ゴ Pro W3" w:hAnsi="Times New Roman"/>
          <w:b/>
          <w:color w:val="000000"/>
          <w:sz w:val="24"/>
          <w:lang w:val="en-GB" w:eastAsia="en-IN"/>
        </w:rPr>
        <w:t xml:space="preserve">MoF </w:t>
      </w:r>
      <w:r w:rsidRPr="00C52F37">
        <w:rPr>
          <w:rFonts w:ascii="Times New Roman" w:eastAsia="ヒラギノ角ゴ Pro W3" w:hAnsi="Times New Roman"/>
          <w:b/>
          <w:color w:val="000000"/>
          <w:sz w:val="24"/>
          <w:lang w:eastAsia="en-IN"/>
        </w:rPr>
        <w:t>in</w:t>
      </w:r>
      <w:r w:rsidRPr="00C52F37">
        <w:rPr>
          <w:rFonts w:ascii="Times New Roman" w:eastAsia="ヒラギノ角ゴ Pro W3" w:hAnsi="Times New Roman"/>
          <w:b/>
          <w:color w:val="000000"/>
          <w:sz w:val="24"/>
          <w:lang w:val="en-GB" w:eastAsia="en-IN"/>
        </w:rPr>
        <w:t>-year budget reports are produced jointly by the Treasury and Budget departments</w:t>
      </w:r>
      <w:r w:rsidR="00C52F37">
        <w:rPr>
          <w:rFonts w:ascii="Times New Roman" w:eastAsia="ヒラギノ角ゴ Pro W3" w:hAnsi="Times New Roman"/>
          <w:b/>
          <w:color w:val="000000"/>
          <w:sz w:val="24"/>
          <w:lang w:val="en-GB" w:eastAsia="en-IN"/>
        </w:rPr>
        <w:t xml:space="preserve">.  </w:t>
      </w:r>
      <w:r w:rsidR="00C52F37" w:rsidRPr="00C52F37">
        <w:rPr>
          <w:rFonts w:ascii="Times New Roman" w:eastAsia="ヒラギノ角ゴ Pro W3" w:hAnsi="Times New Roman"/>
          <w:color w:val="000000"/>
          <w:sz w:val="24"/>
          <w:lang w:val="en-GB" w:eastAsia="en-IN"/>
        </w:rPr>
        <w:t>They are</w:t>
      </w:r>
      <w:r w:rsidR="00C52F37">
        <w:rPr>
          <w:rFonts w:ascii="Times New Roman" w:eastAsia="ヒラギノ角ゴ Pro W3" w:hAnsi="Times New Roman"/>
          <w:b/>
          <w:color w:val="000000"/>
          <w:sz w:val="24"/>
          <w:lang w:val="en-GB" w:eastAsia="en-IN"/>
        </w:rPr>
        <w:t xml:space="preserve"> </w:t>
      </w:r>
      <w:r w:rsidRPr="0011290C">
        <w:rPr>
          <w:rFonts w:ascii="Times New Roman" w:eastAsia="ヒラギノ角ゴ Pro W3" w:hAnsi="Times New Roman"/>
          <w:color w:val="000000"/>
          <w:sz w:val="24"/>
          <w:lang w:val="en-GB" w:eastAsia="en-IN"/>
        </w:rPr>
        <w:t>circulated as follows:</w:t>
      </w:r>
    </w:p>
    <w:p w14:paraId="0D7D2E64"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Weekly reports prepared jointly by the two departments have been produced since 2017 based on the GFIS data and manual consolidation of the revenue collection from all revenue collecting agencies. This weekly reporting started in 2017 and is produced internally for MoF and Prime Minister.</w:t>
      </w:r>
    </w:p>
    <w:p w14:paraId="166961D6"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Monthly reports prepared with the manual consolidation of district execution data through the provincial Treasury offices. These reports are produced within one month of the end of the reporting date and submitted to the Minister of Finance and Prime Minister with restricted circulation within MoF. The in-year monthly reports are prepared in Excel format and compare actual expenditure for the month (and cumulative) to the original and revised budget estimates for all revenue by type and expenditure by economic categories (</w:t>
      </w:r>
      <w:proofErr w:type="gramStart"/>
      <w:r w:rsidRPr="000C5978">
        <w:rPr>
          <w:rFonts w:ascii="Times New Roman" w:hAnsi="Times New Roman"/>
          <w:color w:val="000000" w:themeColor="text1"/>
          <w:sz w:val="24"/>
        </w:rPr>
        <w:t>two digit</w:t>
      </w:r>
      <w:proofErr w:type="gramEnd"/>
      <w:r w:rsidRPr="000C5978">
        <w:rPr>
          <w:rFonts w:ascii="Times New Roman" w:hAnsi="Times New Roman"/>
          <w:color w:val="000000" w:themeColor="text1"/>
          <w:sz w:val="24"/>
        </w:rPr>
        <w:t xml:space="preserve"> level) and no breakdown at administrative level. The report for the 4th quarter is the basis for the Annual Financial Statements submitted for audit to the SAO. None of these reports are published.</w:t>
      </w:r>
    </w:p>
    <w:p w14:paraId="63DB085C"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A mid-year budget execution report based on 4-month execution is submitted to the NA at the time of the presentation of annual state budget execution report for the previous fiscal year during the June session</w:t>
      </w:r>
      <w:r w:rsidR="000C5978">
        <w:rPr>
          <w:rFonts w:ascii="Times New Roman" w:hAnsi="Times New Roman"/>
          <w:color w:val="000000" w:themeColor="text1"/>
          <w:sz w:val="24"/>
        </w:rPr>
        <w:t xml:space="preserve">. </w:t>
      </w:r>
      <w:r w:rsidRPr="000C5978">
        <w:rPr>
          <w:rFonts w:ascii="Times New Roman" w:hAnsi="Times New Roman"/>
          <w:color w:val="000000" w:themeColor="text1"/>
          <w:sz w:val="24"/>
        </w:rPr>
        <w:t>It shows the outturns for the first 4 months by main economic categories compared to the original approved budget but not at the administrative level. The report for 2017 included projections for the second half of the fiscal year and proposed reallocations for a revised budget.</w:t>
      </w:r>
    </w:p>
    <w:p w14:paraId="64DCA569" w14:textId="77777777" w:rsidR="007518E4" w:rsidRPr="0011290C"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iCs/>
          <w:sz w:val="24"/>
        </w:rPr>
      </w:pPr>
      <w:r w:rsidRPr="000C5978">
        <w:rPr>
          <w:rFonts w:ascii="Times New Roman" w:hAnsi="Times New Roman"/>
          <w:color w:val="000000" w:themeColor="text1"/>
          <w:sz w:val="24"/>
        </w:rPr>
        <w:t>Finally, the MoF has developed the Annual Government Financial Statistics Report.  This report consolidates the state budget revenue and expenditures since 2014/2015 and is prepared by the FPD.  It is published and posted online and gives an overview of the full annual outturns of revenue and expenditure by economic classification and detailed tables by revenue types with a comprehensive narrative on fiscal aggregates and budgetary execution and trends. The report does not directly compare to the original or revised budget estimates, which may be extracted from the previous year’s report for comparison. The</w:t>
      </w:r>
      <w:r w:rsidRPr="0011290C">
        <w:rPr>
          <w:rFonts w:ascii="Times New Roman" w:hAnsi="Times New Roman"/>
          <w:iCs/>
          <w:sz w:val="24"/>
        </w:rPr>
        <w:t xml:space="preserve"> report is issued in Lao and English about 24 months after the end of the fiscal year and the 2015/2016 report published in November 2018 has yet to be made available online. </w:t>
      </w:r>
    </w:p>
    <w:p w14:paraId="7FC28DE0" w14:textId="77777777" w:rsidR="007518E4" w:rsidRPr="0011290C" w:rsidRDefault="007518E4" w:rsidP="008037D9">
      <w:pPr>
        <w:pStyle w:val="ListParagraph"/>
        <w:numPr>
          <w:ilvl w:val="0"/>
          <w:numId w:val="84"/>
        </w:numPr>
        <w:spacing w:after="240"/>
        <w:ind w:left="0"/>
        <w:contextualSpacing w:val="0"/>
        <w:rPr>
          <w:rFonts w:ascii="Times New Roman" w:hAnsi="Times New Roman"/>
          <w:iCs/>
          <w:sz w:val="24"/>
        </w:rPr>
      </w:pPr>
      <w:r w:rsidRPr="00A82BB7">
        <w:rPr>
          <w:rFonts w:ascii="Times New Roman" w:hAnsi="Times New Roman"/>
          <w:b/>
          <w:iCs/>
          <w:sz w:val="24"/>
        </w:rPr>
        <w:t xml:space="preserve">In-year budget execution reports are produced </w:t>
      </w:r>
      <w:proofErr w:type="gramStart"/>
      <w:r w:rsidRPr="00A82BB7">
        <w:rPr>
          <w:rFonts w:ascii="Times New Roman" w:hAnsi="Times New Roman"/>
          <w:b/>
          <w:iCs/>
          <w:sz w:val="24"/>
        </w:rPr>
        <w:t>on a monthly basis</w:t>
      </w:r>
      <w:proofErr w:type="gramEnd"/>
      <w:r w:rsidRPr="00A82BB7">
        <w:rPr>
          <w:rFonts w:ascii="Times New Roman" w:hAnsi="Times New Roman"/>
          <w:b/>
          <w:iCs/>
          <w:sz w:val="24"/>
        </w:rPr>
        <w:t xml:space="preserve"> based on the consolidation of records from all budgetary units at central government level</w:t>
      </w:r>
      <w:r w:rsidR="00A82BB7">
        <w:rPr>
          <w:rFonts w:ascii="Times New Roman" w:hAnsi="Times New Roman"/>
          <w:b/>
          <w:iCs/>
          <w:sz w:val="24"/>
        </w:rPr>
        <w:t xml:space="preserve">.  </w:t>
      </w:r>
      <w:r w:rsidR="00A82BB7" w:rsidRPr="00A82BB7">
        <w:rPr>
          <w:rFonts w:ascii="Times New Roman" w:hAnsi="Times New Roman"/>
          <w:iCs/>
          <w:sz w:val="24"/>
        </w:rPr>
        <w:t xml:space="preserve">They </w:t>
      </w:r>
      <w:r w:rsidR="00A82BB7">
        <w:rPr>
          <w:rFonts w:ascii="Times New Roman" w:hAnsi="Times New Roman"/>
          <w:iCs/>
          <w:sz w:val="24"/>
        </w:rPr>
        <w:t>show</w:t>
      </w:r>
      <w:r w:rsidRPr="0011290C">
        <w:rPr>
          <w:rFonts w:ascii="Times New Roman" w:hAnsi="Times New Roman"/>
          <w:iCs/>
          <w:sz w:val="24"/>
        </w:rPr>
        <w:t xml:space="preserve"> comparison to the original budget at an aggregated level: Score </w:t>
      </w:r>
      <w:r>
        <w:rPr>
          <w:rFonts w:ascii="Times New Roman" w:hAnsi="Times New Roman"/>
          <w:iCs/>
          <w:sz w:val="24"/>
        </w:rPr>
        <w:t>D</w:t>
      </w:r>
      <w:r w:rsidRPr="0011290C">
        <w:rPr>
          <w:rFonts w:ascii="Times New Roman" w:hAnsi="Times New Roman"/>
          <w:iCs/>
          <w:sz w:val="24"/>
        </w:rPr>
        <w:t>.</w:t>
      </w:r>
    </w:p>
    <w:p w14:paraId="65C9B752" w14:textId="77777777" w:rsidR="007518E4" w:rsidRPr="003A47C8" w:rsidRDefault="007518E4" w:rsidP="00A82BB7">
      <w:pPr>
        <w:spacing w:after="240"/>
        <w:ind w:left="0"/>
        <w:rPr>
          <w:rFonts w:ascii="Times New Roman" w:eastAsia="Calibri" w:hAnsi="Times New Roman"/>
          <w:b/>
          <w:bCs/>
          <w:color w:val="92D050"/>
          <w:spacing w:val="-1"/>
          <w:sz w:val="24"/>
        </w:rPr>
      </w:pPr>
      <w:r w:rsidRPr="003A47C8">
        <w:rPr>
          <w:rFonts w:ascii="Times New Roman" w:eastAsia="Calibri" w:hAnsi="Times New Roman"/>
          <w:b/>
          <w:bCs/>
          <w:color w:val="92D050"/>
          <w:spacing w:val="-1"/>
          <w:sz w:val="24"/>
        </w:rPr>
        <w:t xml:space="preserve">28.2. Timing of in-year budget reports </w:t>
      </w:r>
    </w:p>
    <w:p w14:paraId="068AA2D4" w14:textId="77777777" w:rsidR="007518E4" w:rsidRPr="002444CC" w:rsidRDefault="007518E4" w:rsidP="008037D9">
      <w:pPr>
        <w:pStyle w:val="ListParagraph"/>
        <w:numPr>
          <w:ilvl w:val="0"/>
          <w:numId w:val="84"/>
        </w:numPr>
        <w:spacing w:after="240"/>
        <w:ind w:left="0"/>
        <w:contextualSpacing w:val="0"/>
        <w:rPr>
          <w:rFonts w:ascii="Times New Roman" w:hAnsi="Times New Roman"/>
          <w:sz w:val="24"/>
        </w:rPr>
      </w:pPr>
      <w:r w:rsidRPr="00A82BB7">
        <w:rPr>
          <w:rFonts w:ascii="Times New Roman" w:hAnsi="Times New Roman"/>
          <w:b/>
          <w:iCs/>
          <w:sz w:val="24"/>
        </w:rPr>
        <w:t xml:space="preserve">The monthly </w:t>
      </w:r>
      <w:r w:rsidR="00A82BB7">
        <w:rPr>
          <w:rFonts w:ascii="Times New Roman" w:hAnsi="Times New Roman"/>
          <w:b/>
          <w:iCs/>
          <w:sz w:val="24"/>
        </w:rPr>
        <w:t xml:space="preserve">budget </w:t>
      </w:r>
      <w:r w:rsidRPr="00A82BB7">
        <w:rPr>
          <w:rFonts w:ascii="Times New Roman" w:hAnsi="Times New Roman"/>
          <w:b/>
          <w:iCs/>
          <w:sz w:val="24"/>
        </w:rPr>
        <w:t>reports are produced in the month following the month under review</w:t>
      </w:r>
      <w:r w:rsidR="00A82BB7">
        <w:rPr>
          <w:rFonts w:ascii="Times New Roman" w:hAnsi="Times New Roman"/>
          <w:b/>
          <w:iCs/>
          <w:sz w:val="24"/>
        </w:rPr>
        <w:t xml:space="preserve">. </w:t>
      </w:r>
      <w:r w:rsidR="00A82BB7" w:rsidRPr="00A82BB7">
        <w:rPr>
          <w:rFonts w:ascii="Times New Roman" w:hAnsi="Times New Roman"/>
          <w:iCs/>
          <w:sz w:val="24"/>
        </w:rPr>
        <w:t>T</w:t>
      </w:r>
      <w:r w:rsidRPr="002444CC">
        <w:rPr>
          <w:rFonts w:ascii="Times New Roman" w:hAnsi="Times New Roman"/>
          <w:iCs/>
          <w:sz w:val="24"/>
        </w:rPr>
        <w:t xml:space="preserve">he mid-year state budget execution report </w:t>
      </w:r>
      <w:proofErr w:type="gramStart"/>
      <w:r w:rsidRPr="002444CC">
        <w:rPr>
          <w:rFonts w:ascii="Times New Roman" w:hAnsi="Times New Roman"/>
          <w:iCs/>
          <w:sz w:val="24"/>
        </w:rPr>
        <w:t>has to</w:t>
      </w:r>
      <w:proofErr w:type="gramEnd"/>
      <w:r w:rsidRPr="002444CC">
        <w:rPr>
          <w:rFonts w:ascii="Times New Roman" w:hAnsi="Times New Roman"/>
          <w:iCs/>
          <w:sz w:val="24"/>
        </w:rPr>
        <w:t xml:space="preserve"> be submitted to the NA at least 15 days</w:t>
      </w:r>
      <w:r w:rsidR="000C5978">
        <w:rPr>
          <w:rFonts w:ascii="Times New Roman" w:hAnsi="Times New Roman"/>
          <w:iCs/>
          <w:sz w:val="24"/>
        </w:rPr>
        <w:t xml:space="preserve"> before the June-July session. </w:t>
      </w:r>
      <w:r w:rsidRPr="002444CC">
        <w:rPr>
          <w:rFonts w:ascii="Times New Roman" w:hAnsi="Times New Roman"/>
          <w:iCs/>
          <w:sz w:val="24"/>
        </w:rPr>
        <w:t xml:space="preserve">This timetable has been followed in 2017 and 2018. </w:t>
      </w:r>
      <w:r w:rsidRPr="002444CC">
        <w:rPr>
          <w:rFonts w:ascii="Times New Roman" w:hAnsi="Times New Roman"/>
          <w:iCs/>
          <w:sz w:val="24"/>
        </w:rPr>
        <w:lastRenderedPageBreak/>
        <w:t>The annual state budget execution report is not available for submission to the NA until 10 months after the end of the year. In the meantime, the draft annual Financial Statements are submitted for audit (ref. PI-29).</w:t>
      </w:r>
      <w:r w:rsidRPr="00165351">
        <w:rPr>
          <w:rFonts w:ascii="Times New Roman" w:hAnsi="Times New Roman"/>
          <w:iCs/>
          <w:sz w:val="24"/>
          <w:highlight w:val="yellow"/>
        </w:rPr>
        <w:t xml:space="preserve"> </w:t>
      </w:r>
    </w:p>
    <w:p w14:paraId="0F9550EC" w14:textId="18B3D64E" w:rsidR="007518E4" w:rsidRPr="002444CC" w:rsidRDefault="007518E4" w:rsidP="008037D9">
      <w:pPr>
        <w:pStyle w:val="ListParagraph"/>
        <w:numPr>
          <w:ilvl w:val="0"/>
          <w:numId w:val="84"/>
        </w:numPr>
        <w:spacing w:after="240"/>
        <w:ind w:left="0"/>
        <w:contextualSpacing w:val="0"/>
        <w:rPr>
          <w:rFonts w:ascii="Times New Roman" w:hAnsi="Times New Roman"/>
          <w:sz w:val="24"/>
        </w:rPr>
      </w:pPr>
      <w:r w:rsidRPr="00A82BB7">
        <w:rPr>
          <w:rFonts w:ascii="Times New Roman" w:hAnsi="Times New Roman"/>
          <w:b/>
          <w:sz w:val="24"/>
        </w:rPr>
        <w:t>In year-budget execution reports are produced monthly and issued internally within (in average) a period of one month after the end of the monthly reporting period but no specific commentary narrative is provided for these internal reports</w:t>
      </w:r>
      <w:r>
        <w:rPr>
          <w:rFonts w:ascii="Times New Roman" w:hAnsi="Times New Roman"/>
          <w:sz w:val="24"/>
        </w:rPr>
        <w:t>. The mid-year budget report submitted to the NA includes a general comment on revenue trends and for the first 4 months of budget execution and next 6-months projection</w:t>
      </w:r>
      <w:r w:rsidRPr="002444CC">
        <w:rPr>
          <w:rFonts w:ascii="Times New Roman" w:hAnsi="Times New Roman"/>
          <w:sz w:val="24"/>
        </w:rPr>
        <w:t xml:space="preserve">: Score </w:t>
      </w:r>
      <w:r w:rsidR="008721BD">
        <w:rPr>
          <w:rFonts w:ascii="Times New Roman" w:hAnsi="Times New Roman"/>
          <w:sz w:val="24"/>
        </w:rPr>
        <w:t>B</w:t>
      </w:r>
      <w:r w:rsidRPr="002444CC">
        <w:rPr>
          <w:rFonts w:ascii="Times New Roman" w:hAnsi="Times New Roman"/>
          <w:sz w:val="24"/>
        </w:rPr>
        <w:t>.</w:t>
      </w:r>
    </w:p>
    <w:p w14:paraId="6E4E2029" w14:textId="77777777" w:rsidR="007518E4" w:rsidRPr="003A47C8" w:rsidRDefault="007518E4" w:rsidP="00A82BB7">
      <w:pPr>
        <w:spacing w:after="240"/>
        <w:ind w:left="0"/>
        <w:rPr>
          <w:rFonts w:ascii="Times New Roman" w:eastAsia="Calibri" w:hAnsi="Times New Roman"/>
          <w:b/>
          <w:bCs/>
          <w:color w:val="92D050"/>
          <w:spacing w:val="-1"/>
          <w:sz w:val="24"/>
        </w:rPr>
      </w:pPr>
      <w:r w:rsidRPr="003A47C8">
        <w:rPr>
          <w:rFonts w:ascii="Times New Roman" w:eastAsia="Calibri" w:hAnsi="Times New Roman"/>
          <w:b/>
          <w:bCs/>
          <w:color w:val="92D050"/>
          <w:spacing w:val="-1"/>
          <w:sz w:val="24"/>
        </w:rPr>
        <w:t>28.3. Accuracy of in-year budget reports</w:t>
      </w:r>
    </w:p>
    <w:p w14:paraId="4634A819" w14:textId="463127E1" w:rsidR="007518E4" w:rsidRPr="002444CC" w:rsidRDefault="007518E4" w:rsidP="008037D9">
      <w:pPr>
        <w:pStyle w:val="ListParagraph"/>
        <w:numPr>
          <w:ilvl w:val="0"/>
          <w:numId w:val="84"/>
        </w:numPr>
        <w:spacing w:after="240"/>
        <w:ind w:left="0"/>
        <w:rPr>
          <w:rFonts w:ascii="Times New Roman" w:hAnsi="Times New Roman"/>
          <w:iCs/>
          <w:sz w:val="24"/>
        </w:rPr>
      </w:pPr>
      <w:proofErr w:type="gramStart"/>
      <w:r w:rsidRPr="00A82BB7">
        <w:rPr>
          <w:rFonts w:ascii="Times New Roman" w:hAnsi="Times New Roman"/>
          <w:b/>
          <w:iCs/>
          <w:sz w:val="24"/>
        </w:rPr>
        <w:t>All of</w:t>
      </w:r>
      <w:proofErr w:type="gramEnd"/>
      <w:r w:rsidRPr="00A82BB7">
        <w:rPr>
          <w:rFonts w:ascii="Times New Roman" w:hAnsi="Times New Roman"/>
          <w:b/>
          <w:iCs/>
          <w:sz w:val="24"/>
        </w:rPr>
        <w:t xml:space="preserve"> the budget execution reports show expenditures at the payment stage only</w:t>
      </w:r>
      <w:r w:rsidR="000C5978">
        <w:rPr>
          <w:rFonts w:ascii="Times New Roman" w:hAnsi="Times New Roman"/>
          <w:iCs/>
          <w:sz w:val="24"/>
        </w:rPr>
        <w:t xml:space="preserve">. </w:t>
      </w:r>
      <w:r>
        <w:rPr>
          <w:rFonts w:ascii="Times New Roman" w:hAnsi="Times New Roman"/>
          <w:iCs/>
          <w:sz w:val="24"/>
        </w:rPr>
        <w:t xml:space="preserve">There are </w:t>
      </w:r>
      <w:r w:rsidRPr="002444CC">
        <w:rPr>
          <w:rFonts w:ascii="Times New Roman" w:hAnsi="Times New Roman"/>
          <w:iCs/>
          <w:sz w:val="24"/>
        </w:rPr>
        <w:t>some concern</w:t>
      </w:r>
      <w:r>
        <w:rPr>
          <w:rFonts w:ascii="Times New Roman" w:hAnsi="Times New Roman"/>
          <w:iCs/>
          <w:sz w:val="24"/>
        </w:rPr>
        <w:t>s</w:t>
      </w:r>
      <w:r w:rsidRPr="002444CC">
        <w:rPr>
          <w:rFonts w:ascii="Times New Roman" w:hAnsi="Times New Roman"/>
          <w:iCs/>
          <w:sz w:val="24"/>
        </w:rPr>
        <w:t xml:space="preserve"> regarding comprehensiveness due to manual recording of </w:t>
      </w:r>
      <w:r w:rsidR="008721BD">
        <w:rPr>
          <w:rFonts w:ascii="Times New Roman" w:hAnsi="Times New Roman"/>
          <w:iCs/>
          <w:sz w:val="24"/>
        </w:rPr>
        <w:t xml:space="preserve">the </w:t>
      </w:r>
      <w:r w:rsidRPr="002444CC">
        <w:rPr>
          <w:rFonts w:ascii="Times New Roman" w:hAnsi="Times New Roman"/>
          <w:iCs/>
          <w:sz w:val="24"/>
        </w:rPr>
        <w:t>budget data at provincial level.</w:t>
      </w:r>
      <w:r>
        <w:rPr>
          <w:rFonts w:ascii="Times New Roman" w:hAnsi="Times New Roman"/>
          <w:iCs/>
          <w:sz w:val="24"/>
        </w:rPr>
        <w:t xml:space="preserve"> A</w:t>
      </w:r>
      <w:r w:rsidRPr="002444CC">
        <w:rPr>
          <w:rFonts w:ascii="Times New Roman" w:hAnsi="Times New Roman"/>
          <w:iCs/>
          <w:sz w:val="24"/>
        </w:rPr>
        <w:t xml:space="preserve"> narrative statement on budget execution at aggregate levels is provided only for mid-year and annual state budget execution reports presented to the NA</w:t>
      </w:r>
      <w:r>
        <w:rPr>
          <w:rFonts w:ascii="Times New Roman" w:hAnsi="Times New Roman"/>
          <w:iCs/>
          <w:sz w:val="24"/>
        </w:rPr>
        <w:t xml:space="preserve"> and data provided is too aggregate and does not allow for an analysis of the budget execution</w:t>
      </w:r>
      <w:r w:rsidRPr="002444CC">
        <w:rPr>
          <w:rFonts w:ascii="Times New Roman" w:hAnsi="Times New Roman"/>
          <w:iCs/>
          <w:sz w:val="24"/>
        </w:rPr>
        <w:t xml:space="preserve">: Score </w:t>
      </w:r>
      <w:r>
        <w:rPr>
          <w:rFonts w:ascii="Times New Roman" w:hAnsi="Times New Roman"/>
          <w:iCs/>
          <w:sz w:val="24"/>
        </w:rPr>
        <w:t>D.</w:t>
      </w:r>
    </w:p>
    <w:p w14:paraId="6D21B3CD" w14:textId="77777777" w:rsidR="007518E4" w:rsidRPr="003A47C8" w:rsidRDefault="007518E4" w:rsidP="00A82BB7">
      <w:pPr>
        <w:pStyle w:val="Heading3"/>
        <w:keepNext w:val="0"/>
        <w:widowControl w:val="0"/>
        <w:spacing w:after="240"/>
        <w:ind w:left="0"/>
        <w:rPr>
          <w:rFonts w:ascii="Times New Roman" w:eastAsia="Calibri" w:hAnsi="Times New Roman"/>
          <w:b w:val="0"/>
          <w:bCs w:val="0"/>
          <w:color w:val="92D050"/>
          <w:spacing w:val="-1"/>
          <w:szCs w:val="28"/>
        </w:rPr>
      </w:pPr>
      <w:bookmarkStart w:id="104" w:name="_Toc518901815"/>
      <w:bookmarkStart w:id="105" w:name="_Toc4149010"/>
      <w:r w:rsidRPr="003A47C8">
        <w:rPr>
          <w:rFonts w:ascii="Times New Roman" w:eastAsia="Calibri" w:hAnsi="Times New Roman"/>
          <w:color w:val="92D050"/>
          <w:spacing w:val="-1"/>
          <w:szCs w:val="28"/>
        </w:rPr>
        <w:t>PI-29. Annual financial reports</w:t>
      </w:r>
      <w:bookmarkEnd w:id="104"/>
      <w:bookmarkEnd w:id="105"/>
    </w:p>
    <w:p w14:paraId="40FBAED1" w14:textId="77777777" w:rsidR="007518E4" w:rsidRPr="007C5654" w:rsidRDefault="007518E4" w:rsidP="008037D9">
      <w:pPr>
        <w:pStyle w:val="ListParagraph"/>
        <w:numPr>
          <w:ilvl w:val="0"/>
          <w:numId w:val="84"/>
        </w:numPr>
        <w:spacing w:after="240"/>
        <w:ind w:left="0"/>
        <w:contextualSpacing w:val="0"/>
        <w:rPr>
          <w:rFonts w:ascii="Times New Roman" w:hAnsi="Times New Roman"/>
          <w:sz w:val="24"/>
        </w:rPr>
      </w:pPr>
      <w:r w:rsidRPr="00A82BB7">
        <w:rPr>
          <w:rFonts w:ascii="Times New Roman" w:hAnsi="Times New Roman"/>
          <w:b/>
          <w:sz w:val="24"/>
        </w:rPr>
        <w:t>This indicator assesses the extent to which annual financial statements are complete, timely and consistent with generally accepted accounting principles and standards</w:t>
      </w:r>
      <w:r w:rsidR="000C5978">
        <w:rPr>
          <w:rFonts w:ascii="Times New Roman" w:hAnsi="Times New Roman"/>
          <w:sz w:val="24"/>
        </w:rPr>
        <w:t xml:space="preserve">. </w:t>
      </w:r>
      <w:r w:rsidRPr="007C5654">
        <w:rPr>
          <w:rFonts w:ascii="Times New Roman" w:eastAsia="Calibri" w:hAnsi="Times New Roman"/>
          <w:sz w:val="24"/>
        </w:rPr>
        <w:t xml:space="preserve">The period assessed for dimension 29.1 </w:t>
      </w:r>
      <w:r>
        <w:rPr>
          <w:rFonts w:ascii="Times New Roman" w:eastAsia="Calibri" w:hAnsi="Times New Roman"/>
          <w:sz w:val="24"/>
        </w:rPr>
        <w:t xml:space="preserve">is </w:t>
      </w:r>
      <w:r w:rsidRPr="007C5654">
        <w:rPr>
          <w:rFonts w:ascii="Times New Roman" w:eastAsia="Calibri" w:hAnsi="Times New Roman"/>
          <w:sz w:val="24"/>
        </w:rPr>
        <w:t xml:space="preserve">the last completed fiscal year which is 2015/2016 (or 2017 if available), whereas for dimension 29.2 it covers </w:t>
      </w:r>
      <w:r>
        <w:rPr>
          <w:rFonts w:ascii="Times New Roman" w:eastAsia="Calibri" w:hAnsi="Times New Roman"/>
          <w:sz w:val="24"/>
        </w:rPr>
        <w:t xml:space="preserve">the </w:t>
      </w:r>
      <w:r w:rsidRPr="007C5654">
        <w:rPr>
          <w:rFonts w:ascii="Times New Roman" w:eastAsia="Calibri" w:hAnsi="Times New Roman"/>
          <w:sz w:val="24"/>
        </w:rPr>
        <w:t>last annual financial report submitted for audit (2015/2016) and for dimension 29.3 the last three years’ financial reports (for 2013/2014, 2014/15, 2015/16 and 2017 if available).</w:t>
      </w:r>
      <w:r w:rsidR="000C5978">
        <w:rPr>
          <w:rFonts w:ascii="Times New Roman" w:eastAsia="Calibri" w:hAnsi="Times New Roman"/>
          <w:sz w:val="24"/>
        </w:rPr>
        <w:t xml:space="preserve"> </w:t>
      </w:r>
      <w:r w:rsidRPr="007C5654">
        <w:rPr>
          <w:rFonts w:ascii="Times New Roman" w:hAnsi="Times New Roman"/>
          <w:sz w:val="24"/>
        </w:rPr>
        <w:t>Coverage is Budgetary Central Government.</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9"/>
        <w:gridCol w:w="1090"/>
        <w:gridCol w:w="5019"/>
      </w:tblGrid>
      <w:tr w:rsidR="007518E4" w:rsidRPr="004269AB" w14:paraId="2F55BC52" w14:textId="77777777" w:rsidTr="000C5978">
        <w:trPr>
          <w:trHeight w:val="397"/>
          <w:jc w:val="center"/>
        </w:trPr>
        <w:tc>
          <w:tcPr>
            <w:tcW w:w="1520" w:type="pct"/>
            <w:shd w:val="clear" w:color="auto" w:fill="D9D9D9"/>
            <w:vAlign w:val="center"/>
          </w:tcPr>
          <w:p w14:paraId="126E5EC5" w14:textId="77777777" w:rsidR="007518E4" w:rsidRPr="005B1933" w:rsidRDefault="007518E4" w:rsidP="000C5978">
            <w:pPr>
              <w:spacing w:before="60" w:after="60"/>
              <w:ind w:hanging="569"/>
              <w:jc w:val="center"/>
              <w:rPr>
                <w:rFonts w:ascii="Times New Roman" w:hAnsi="Times New Roman"/>
              </w:rPr>
            </w:pPr>
            <w:r w:rsidRPr="005B1933">
              <w:rPr>
                <w:rFonts w:ascii="Times New Roman" w:hAnsi="Times New Roman"/>
              </w:rPr>
              <w:t>Indicator/Dimension</w:t>
            </w:r>
          </w:p>
        </w:tc>
        <w:tc>
          <w:tcPr>
            <w:tcW w:w="621" w:type="pct"/>
            <w:shd w:val="clear" w:color="auto" w:fill="D9D9D9"/>
            <w:vAlign w:val="center"/>
          </w:tcPr>
          <w:p w14:paraId="2F36730D" w14:textId="77777777" w:rsidR="007518E4" w:rsidRPr="005B1933" w:rsidRDefault="007518E4" w:rsidP="00A82BB7">
            <w:pPr>
              <w:spacing w:before="0"/>
              <w:ind w:left="0"/>
              <w:jc w:val="center"/>
              <w:rPr>
                <w:rFonts w:ascii="Times New Roman" w:hAnsi="Times New Roman"/>
              </w:rPr>
            </w:pPr>
            <w:r w:rsidRPr="005B1933">
              <w:rPr>
                <w:rFonts w:ascii="Times New Roman" w:hAnsi="Times New Roman"/>
              </w:rPr>
              <w:t>Score</w:t>
            </w:r>
          </w:p>
        </w:tc>
        <w:tc>
          <w:tcPr>
            <w:tcW w:w="2858" w:type="pct"/>
            <w:shd w:val="clear" w:color="auto" w:fill="D9D9D9"/>
            <w:vAlign w:val="center"/>
          </w:tcPr>
          <w:p w14:paraId="56E87823" w14:textId="77777777" w:rsidR="007518E4" w:rsidRPr="005B1933" w:rsidRDefault="007518E4" w:rsidP="000C5978">
            <w:pPr>
              <w:spacing w:before="60" w:after="60"/>
              <w:ind w:hanging="551"/>
              <w:jc w:val="center"/>
              <w:rPr>
                <w:rFonts w:ascii="Times New Roman" w:hAnsi="Times New Roman"/>
              </w:rPr>
            </w:pPr>
            <w:r w:rsidRPr="005B1933">
              <w:rPr>
                <w:rFonts w:ascii="Times New Roman" w:hAnsi="Times New Roman"/>
              </w:rPr>
              <w:t>Brief Explanation</w:t>
            </w:r>
          </w:p>
        </w:tc>
      </w:tr>
      <w:tr w:rsidR="007518E4" w:rsidRPr="004269AB" w14:paraId="78B6A98F" w14:textId="77777777" w:rsidTr="000C5978">
        <w:trPr>
          <w:trHeight w:val="647"/>
          <w:jc w:val="center"/>
        </w:trPr>
        <w:tc>
          <w:tcPr>
            <w:tcW w:w="1520" w:type="pct"/>
            <w:vAlign w:val="center"/>
          </w:tcPr>
          <w:p w14:paraId="072654F5" w14:textId="77777777" w:rsidR="007518E4" w:rsidRPr="005B1933" w:rsidRDefault="007518E4" w:rsidP="00A82BB7">
            <w:pPr>
              <w:spacing w:before="0"/>
              <w:ind w:left="0"/>
              <w:jc w:val="left"/>
              <w:rPr>
                <w:rFonts w:ascii="Times New Roman" w:hAnsi="Times New Roman"/>
              </w:rPr>
            </w:pPr>
            <w:r w:rsidRPr="005B1933">
              <w:rPr>
                <w:rFonts w:ascii="Times New Roman" w:hAnsi="Times New Roman"/>
                <w:bCs/>
              </w:rPr>
              <w:t xml:space="preserve">PI-29 Annual Financial Reports </w:t>
            </w:r>
          </w:p>
        </w:tc>
        <w:tc>
          <w:tcPr>
            <w:tcW w:w="621" w:type="pct"/>
            <w:vAlign w:val="center"/>
          </w:tcPr>
          <w:p w14:paraId="6495F333" w14:textId="77777777" w:rsidR="007518E4" w:rsidRPr="005B1933" w:rsidRDefault="007518E4" w:rsidP="00A82BB7">
            <w:pPr>
              <w:spacing w:before="0"/>
              <w:ind w:left="0"/>
              <w:jc w:val="center"/>
              <w:rPr>
                <w:rFonts w:ascii="Times New Roman" w:hAnsi="Times New Roman"/>
              </w:rPr>
            </w:pPr>
            <w:r w:rsidRPr="005B1933">
              <w:rPr>
                <w:rFonts w:ascii="Times New Roman" w:hAnsi="Times New Roman"/>
              </w:rPr>
              <w:t>D+</w:t>
            </w:r>
          </w:p>
        </w:tc>
        <w:tc>
          <w:tcPr>
            <w:tcW w:w="2858" w:type="pct"/>
            <w:vAlign w:val="center"/>
          </w:tcPr>
          <w:p w14:paraId="679FCE35" w14:textId="77777777" w:rsidR="007518E4" w:rsidRPr="005B1933" w:rsidRDefault="007518E4" w:rsidP="00A82BB7">
            <w:pPr>
              <w:spacing w:before="0"/>
              <w:ind w:left="0"/>
              <w:rPr>
                <w:rFonts w:ascii="Times New Roman" w:hAnsi="Times New Roman"/>
              </w:rPr>
            </w:pPr>
            <w:r w:rsidRPr="005B1933">
              <w:rPr>
                <w:rFonts w:ascii="Times New Roman" w:hAnsi="Times New Roman"/>
              </w:rPr>
              <w:t>Dimensions combined by Method M1 (weakest link)</w:t>
            </w:r>
          </w:p>
        </w:tc>
      </w:tr>
      <w:tr w:rsidR="007518E4" w:rsidRPr="004269AB" w14:paraId="7283F5E0" w14:textId="77777777" w:rsidTr="000C5978">
        <w:trPr>
          <w:trHeight w:val="647"/>
          <w:jc w:val="center"/>
        </w:trPr>
        <w:tc>
          <w:tcPr>
            <w:tcW w:w="1520" w:type="pct"/>
            <w:vAlign w:val="center"/>
          </w:tcPr>
          <w:p w14:paraId="1293B8C8" w14:textId="77777777" w:rsidR="007518E4" w:rsidRPr="005B1933" w:rsidRDefault="007518E4" w:rsidP="00A82BB7">
            <w:pPr>
              <w:autoSpaceDE w:val="0"/>
              <w:autoSpaceDN w:val="0"/>
              <w:adjustRightInd w:val="0"/>
              <w:spacing w:before="0"/>
              <w:ind w:left="0"/>
              <w:jc w:val="left"/>
              <w:rPr>
                <w:rFonts w:ascii="Times New Roman" w:hAnsi="Times New Roman"/>
                <w:color w:val="000000"/>
              </w:rPr>
            </w:pPr>
            <w:r w:rsidRPr="005B1933">
              <w:rPr>
                <w:rFonts w:ascii="Times New Roman" w:hAnsi="Times New Roman"/>
                <w:color w:val="000000"/>
              </w:rPr>
              <w:t>29.1 Completeness of annual financial reports</w:t>
            </w:r>
          </w:p>
        </w:tc>
        <w:tc>
          <w:tcPr>
            <w:tcW w:w="621" w:type="pct"/>
            <w:vAlign w:val="center"/>
          </w:tcPr>
          <w:p w14:paraId="48247E70" w14:textId="77777777" w:rsidR="007518E4" w:rsidRPr="005B1933" w:rsidRDefault="007518E4" w:rsidP="00A82BB7">
            <w:pPr>
              <w:spacing w:before="0"/>
              <w:ind w:left="0"/>
              <w:jc w:val="center"/>
              <w:rPr>
                <w:rFonts w:ascii="Times New Roman" w:hAnsi="Times New Roman"/>
              </w:rPr>
            </w:pPr>
            <w:r w:rsidRPr="005B1933">
              <w:rPr>
                <w:rFonts w:ascii="Times New Roman" w:hAnsi="Times New Roman"/>
              </w:rPr>
              <w:t>C</w:t>
            </w:r>
          </w:p>
        </w:tc>
        <w:tc>
          <w:tcPr>
            <w:tcW w:w="2858" w:type="pct"/>
            <w:vAlign w:val="center"/>
          </w:tcPr>
          <w:p w14:paraId="3B1367DA" w14:textId="77777777" w:rsidR="007518E4" w:rsidRPr="005B1933" w:rsidRDefault="007518E4" w:rsidP="00A82BB7">
            <w:pPr>
              <w:spacing w:before="0"/>
              <w:ind w:left="0"/>
              <w:rPr>
                <w:rFonts w:ascii="Times New Roman" w:hAnsi="Times New Roman"/>
                <w:lang w:eastAsia="en-IN"/>
              </w:rPr>
            </w:pPr>
            <w:r w:rsidRPr="005B1933">
              <w:rPr>
                <w:rFonts w:ascii="Times New Roman" w:hAnsi="Times New Roman"/>
                <w:lang w:eastAsia="en-IN"/>
              </w:rPr>
              <w:t>Annual financial reports are prepared covering items of income, expenditure and cash balances with some and partial information on financial assets and liabilities. They are comparable to the approved budget.</w:t>
            </w:r>
          </w:p>
        </w:tc>
      </w:tr>
      <w:tr w:rsidR="007518E4" w:rsidRPr="004269AB" w14:paraId="164083D4" w14:textId="77777777" w:rsidTr="000C5978">
        <w:trPr>
          <w:trHeight w:val="548"/>
          <w:jc w:val="center"/>
        </w:trPr>
        <w:tc>
          <w:tcPr>
            <w:tcW w:w="1520" w:type="pct"/>
            <w:vAlign w:val="center"/>
          </w:tcPr>
          <w:p w14:paraId="4B7C90DB" w14:textId="77777777" w:rsidR="007518E4" w:rsidRPr="005B1933" w:rsidRDefault="007518E4" w:rsidP="00A82BB7">
            <w:pPr>
              <w:autoSpaceDE w:val="0"/>
              <w:autoSpaceDN w:val="0"/>
              <w:adjustRightInd w:val="0"/>
              <w:spacing w:before="0"/>
              <w:ind w:left="0"/>
              <w:jc w:val="left"/>
              <w:rPr>
                <w:rFonts w:ascii="Times New Roman" w:hAnsi="Times New Roman"/>
                <w:color w:val="000000"/>
              </w:rPr>
            </w:pPr>
            <w:r w:rsidRPr="005B1933">
              <w:rPr>
                <w:rFonts w:ascii="Times New Roman" w:hAnsi="Times New Roman"/>
                <w:color w:val="000000"/>
              </w:rPr>
              <w:t>29.2 Submission of reports for external audit</w:t>
            </w:r>
          </w:p>
        </w:tc>
        <w:tc>
          <w:tcPr>
            <w:tcW w:w="621" w:type="pct"/>
            <w:vAlign w:val="center"/>
          </w:tcPr>
          <w:p w14:paraId="04CDEC6A" w14:textId="77777777" w:rsidR="007518E4" w:rsidRPr="005B1933" w:rsidRDefault="007518E4" w:rsidP="00A82BB7">
            <w:pPr>
              <w:spacing w:before="0"/>
              <w:ind w:left="0"/>
              <w:jc w:val="center"/>
              <w:rPr>
                <w:rFonts w:ascii="Times New Roman" w:hAnsi="Times New Roman"/>
              </w:rPr>
            </w:pPr>
            <w:r w:rsidRPr="005B1933">
              <w:rPr>
                <w:rFonts w:ascii="Times New Roman" w:hAnsi="Times New Roman"/>
              </w:rPr>
              <w:t>C</w:t>
            </w:r>
          </w:p>
        </w:tc>
        <w:tc>
          <w:tcPr>
            <w:tcW w:w="2858" w:type="pct"/>
            <w:vAlign w:val="center"/>
          </w:tcPr>
          <w:p w14:paraId="6AF36397" w14:textId="77777777" w:rsidR="007518E4" w:rsidRPr="005B1933" w:rsidRDefault="007518E4" w:rsidP="00A82BB7">
            <w:pPr>
              <w:spacing w:before="0"/>
              <w:ind w:left="0"/>
              <w:rPr>
                <w:rFonts w:ascii="Times New Roman" w:hAnsi="Times New Roman"/>
                <w:lang w:eastAsia="en-IN"/>
              </w:rPr>
            </w:pPr>
            <w:r w:rsidRPr="005B1933">
              <w:rPr>
                <w:rFonts w:ascii="Times New Roman" w:hAnsi="Times New Roman"/>
                <w:lang w:eastAsia="en-IN"/>
              </w:rPr>
              <w:t xml:space="preserve">The financial reports for 2017 were submitted for external audit to SAO within nine months of the end of the fiscal year. </w:t>
            </w:r>
          </w:p>
        </w:tc>
      </w:tr>
      <w:tr w:rsidR="007518E4" w:rsidRPr="004269AB" w14:paraId="3F47A698" w14:textId="77777777" w:rsidTr="000C5978">
        <w:trPr>
          <w:trHeight w:val="530"/>
          <w:jc w:val="center"/>
        </w:trPr>
        <w:tc>
          <w:tcPr>
            <w:tcW w:w="1520" w:type="pct"/>
            <w:vAlign w:val="center"/>
          </w:tcPr>
          <w:p w14:paraId="440E2C1D" w14:textId="77777777" w:rsidR="007518E4" w:rsidRPr="005B1933" w:rsidRDefault="007518E4" w:rsidP="00A82BB7">
            <w:pPr>
              <w:autoSpaceDE w:val="0"/>
              <w:autoSpaceDN w:val="0"/>
              <w:adjustRightInd w:val="0"/>
              <w:spacing w:before="0"/>
              <w:ind w:left="0"/>
              <w:jc w:val="left"/>
              <w:rPr>
                <w:rFonts w:ascii="Times New Roman" w:hAnsi="Times New Roman"/>
                <w:color w:val="000000"/>
              </w:rPr>
            </w:pPr>
            <w:r w:rsidRPr="005B1933">
              <w:rPr>
                <w:rFonts w:ascii="Times New Roman" w:hAnsi="Times New Roman"/>
                <w:color w:val="000000"/>
              </w:rPr>
              <w:t>29.3 Accounting standards</w:t>
            </w:r>
          </w:p>
        </w:tc>
        <w:tc>
          <w:tcPr>
            <w:tcW w:w="621" w:type="pct"/>
            <w:vAlign w:val="center"/>
          </w:tcPr>
          <w:p w14:paraId="6EBF350A" w14:textId="77777777" w:rsidR="007518E4" w:rsidRPr="005B1933" w:rsidRDefault="007518E4" w:rsidP="00A82BB7">
            <w:pPr>
              <w:spacing w:before="0"/>
              <w:ind w:left="0"/>
              <w:jc w:val="center"/>
              <w:rPr>
                <w:rFonts w:ascii="Times New Roman" w:hAnsi="Times New Roman"/>
              </w:rPr>
            </w:pPr>
            <w:r w:rsidRPr="005B1933">
              <w:rPr>
                <w:rFonts w:ascii="Times New Roman" w:hAnsi="Times New Roman"/>
              </w:rPr>
              <w:t>D</w:t>
            </w:r>
          </w:p>
        </w:tc>
        <w:tc>
          <w:tcPr>
            <w:tcW w:w="2858" w:type="pct"/>
            <w:vAlign w:val="center"/>
          </w:tcPr>
          <w:p w14:paraId="3862BF0A" w14:textId="77777777" w:rsidR="007518E4" w:rsidRPr="005B1933" w:rsidRDefault="007518E4" w:rsidP="00A82BB7">
            <w:pPr>
              <w:spacing w:before="0"/>
              <w:ind w:left="0"/>
              <w:rPr>
                <w:rFonts w:ascii="Times New Roman" w:eastAsia="ヒラギノ角ゴ Pro W3" w:hAnsi="Times New Roman"/>
                <w:color w:val="000000"/>
                <w:lang w:eastAsia="en-IN"/>
              </w:rPr>
            </w:pPr>
            <w:r w:rsidRPr="005B1933">
              <w:rPr>
                <w:rFonts w:ascii="Times New Roman" w:eastAsia="ヒラギノ角ゴ Pro W3" w:hAnsi="Times New Roman"/>
                <w:color w:val="000000"/>
                <w:lang w:eastAsia="en-IN"/>
              </w:rPr>
              <w:t xml:space="preserve">The accounting standards used in preparing the financial reports are not fully consistent with the applicable legal framework and not disclosed. </w:t>
            </w:r>
          </w:p>
        </w:tc>
      </w:tr>
    </w:tbl>
    <w:p w14:paraId="3ACEE565" w14:textId="77777777" w:rsidR="007518E4" w:rsidRPr="00E24708" w:rsidRDefault="007518E4" w:rsidP="008037D9">
      <w:pPr>
        <w:pStyle w:val="Default"/>
        <w:numPr>
          <w:ilvl w:val="0"/>
          <w:numId w:val="84"/>
        </w:numPr>
        <w:spacing w:after="240"/>
        <w:ind w:left="0"/>
        <w:rPr>
          <w:rFonts w:ascii="Times New Roman" w:eastAsia="Calibri" w:hAnsi="Times New Roman" w:cs="Times New Roman"/>
          <w:color w:val="auto"/>
        </w:rPr>
      </w:pPr>
      <w:r w:rsidRPr="00A82BB7">
        <w:rPr>
          <w:rFonts w:ascii="Times New Roman" w:eastAsia="Calibri" w:hAnsi="Times New Roman" w:cs="Times New Roman"/>
          <w:b/>
          <w:color w:val="auto"/>
        </w:rPr>
        <w:t>The preparation of financi</w:t>
      </w:r>
      <w:r w:rsidR="00A82BB7" w:rsidRPr="00A82BB7">
        <w:rPr>
          <w:rFonts w:ascii="Times New Roman" w:eastAsia="Calibri" w:hAnsi="Times New Roman" w:cs="Times New Roman"/>
          <w:b/>
          <w:color w:val="auto"/>
        </w:rPr>
        <w:t>al statements is governed by A</w:t>
      </w:r>
      <w:r w:rsidRPr="00A82BB7">
        <w:rPr>
          <w:rFonts w:ascii="Times New Roman" w:eastAsia="Calibri" w:hAnsi="Times New Roman" w:cs="Times New Roman"/>
          <w:b/>
          <w:color w:val="auto"/>
        </w:rPr>
        <w:t>rt</w:t>
      </w:r>
      <w:r w:rsidR="00A82BB7" w:rsidRPr="00A82BB7">
        <w:rPr>
          <w:rFonts w:ascii="Times New Roman" w:eastAsia="Calibri" w:hAnsi="Times New Roman" w:cs="Times New Roman"/>
          <w:b/>
          <w:color w:val="auto"/>
        </w:rPr>
        <w:t>icle</w:t>
      </w:r>
      <w:r w:rsidRPr="00A82BB7">
        <w:rPr>
          <w:rFonts w:ascii="Times New Roman" w:eastAsia="Calibri" w:hAnsi="Times New Roman" w:cs="Times New Roman"/>
          <w:b/>
          <w:color w:val="auto"/>
        </w:rPr>
        <w:t xml:space="preserve"> 31 of the Amended Accounting Law 47/2013</w:t>
      </w:r>
      <w:r w:rsidR="00A82BB7">
        <w:rPr>
          <w:rFonts w:ascii="Times New Roman" w:eastAsia="Calibri" w:hAnsi="Times New Roman" w:cs="Times New Roman"/>
          <w:color w:val="auto"/>
        </w:rPr>
        <w:t>.</w:t>
      </w:r>
      <w:r w:rsidRPr="00E24708">
        <w:rPr>
          <w:rFonts w:ascii="Times New Roman" w:eastAsia="Calibri" w:hAnsi="Times New Roman" w:cs="Times New Roman"/>
          <w:color w:val="auto"/>
        </w:rPr>
        <w:t xml:space="preserve"> </w:t>
      </w:r>
      <w:r w:rsidR="00A82BB7">
        <w:rPr>
          <w:rFonts w:ascii="Times New Roman" w:eastAsia="Calibri" w:hAnsi="Times New Roman" w:cs="Times New Roman"/>
          <w:color w:val="auto"/>
        </w:rPr>
        <w:t>This requires</w:t>
      </w:r>
      <w:r w:rsidRPr="00E24708">
        <w:rPr>
          <w:rFonts w:ascii="Times New Roman" w:eastAsia="Calibri" w:hAnsi="Times New Roman" w:cs="Times New Roman"/>
          <w:color w:val="auto"/>
        </w:rPr>
        <w:t xml:space="preserve"> that the minimum content of financial statements should include a statement of State budget receipts and payments, a statement of cash flow and explanatory notes to the financial statements with the accounting policy.  Additionally, SBL </w:t>
      </w:r>
      <w:r w:rsidR="00A82BB7">
        <w:rPr>
          <w:rFonts w:ascii="Times New Roman" w:eastAsia="Calibri" w:hAnsi="Times New Roman" w:cs="Times New Roman"/>
          <w:color w:val="auto"/>
        </w:rPr>
        <w:t>Article</w:t>
      </w:r>
      <w:r w:rsidRPr="00E24708">
        <w:rPr>
          <w:rFonts w:ascii="Times New Roman" w:eastAsia="Calibri" w:hAnsi="Times New Roman" w:cs="Times New Roman"/>
          <w:color w:val="auto"/>
        </w:rPr>
        <w:t xml:space="preserve"> 76 establishes the schedule for the final statement of the State budget as follows: </w:t>
      </w:r>
    </w:p>
    <w:p w14:paraId="2E4314CE"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lastRenderedPageBreak/>
        <w:t xml:space="preserve">Submission of all State budget reports by budgetary units to the Ministry of Finance by April 30; </w:t>
      </w:r>
    </w:p>
    <w:p w14:paraId="5E81F6C1"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Submission of the consolidated annual state budget report by MoF to the government for consideration and approval prior to June 30;</w:t>
      </w:r>
    </w:p>
    <w:p w14:paraId="3AE434BD"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The government reviews and considers the draft annual budget execution report and officially submits it to the National Assembly fifteen days prior to the opening of the 2nd session of the National Assembly following the audit and certification by SAO;</w:t>
      </w:r>
    </w:p>
    <w:p w14:paraId="5FC7FC58" w14:textId="77777777" w:rsidR="007518E4" w:rsidRPr="000C5978"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color w:val="000000" w:themeColor="text1"/>
          <w:sz w:val="24"/>
        </w:rPr>
      </w:pPr>
      <w:r w:rsidRPr="000C5978">
        <w:rPr>
          <w:rFonts w:ascii="Times New Roman" w:hAnsi="Times New Roman"/>
          <w:color w:val="000000" w:themeColor="text1"/>
          <w:sz w:val="24"/>
        </w:rPr>
        <w:t xml:space="preserve">The SAO report on the annual financial statements is presented to the same NA session; </w:t>
      </w:r>
    </w:p>
    <w:p w14:paraId="162892F7" w14:textId="77777777" w:rsidR="007518E4" w:rsidRPr="005B1933" w:rsidRDefault="007518E4" w:rsidP="000C5978">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0C5978">
        <w:rPr>
          <w:rFonts w:ascii="Times New Roman" w:hAnsi="Times New Roman"/>
          <w:color w:val="000000" w:themeColor="text1"/>
          <w:sz w:val="24"/>
        </w:rPr>
        <w:t>The NA issues a</w:t>
      </w:r>
      <w:r w:rsidRPr="005B1933">
        <w:rPr>
          <w:rFonts w:ascii="Times New Roman" w:hAnsi="Times New Roman"/>
          <w:sz w:val="24"/>
        </w:rPr>
        <w:t xml:space="preserve"> resolution to endorse the financial statements and the recommendations of the SAO.</w:t>
      </w:r>
    </w:p>
    <w:p w14:paraId="2D9ABCC9" w14:textId="77777777" w:rsidR="007518E4" w:rsidRPr="005B1933" w:rsidRDefault="007518E4" w:rsidP="008037D9">
      <w:pPr>
        <w:pStyle w:val="ListParagraph"/>
        <w:numPr>
          <w:ilvl w:val="0"/>
          <w:numId w:val="84"/>
        </w:numPr>
        <w:autoSpaceDE w:val="0"/>
        <w:autoSpaceDN w:val="0"/>
        <w:adjustRightInd w:val="0"/>
        <w:spacing w:after="240"/>
        <w:ind w:left="0"/>
        <w:contextualSpacing w:val="0"/>
        <w:rPr>
          <w:rFonts w:ascii="Times New Roman" w:eastAsia="Calibri" w:hAnsi="Times New Roman"/>
          <w:sz w:val="24"/>
        </w:rPr>
      </w:pPr>
      <w:r w:rsidRPr="00A82BB7">
        <w:rPr>
          <w:rFonts w:ascii="Times New Roman" w:eastAsia="Calibri" w:hAnsi="Times New Roman"/>
          <w:b/>
          <w:sz w:val="24"/>
        </w:rPr>
        <w:t>Different departments play a key part in the collection of data for the preparation of final financial statements</w:t>
      </w:r>
      <w:r w:rsidR="00A82BB7">
        <w:rPr>
          <w:rFonts w:ascii="Times New Roman" w:eastAsia="Calibri" w:hAnsi="Times New Roman"/>
          <w:sz w:val="24"/>
        </w:rPr>
        <w:t xml:space="preserve">. These </w:t>
      </w:r>
      <w:r w:rsidRPr="005B1933">
        <w:rPr>
          <w:rFonts w:ascii="Times New Roman" w:eastAsia="Calibri" w:hAnsi="Times New Roman"/>
          <w:sz w:val="24"/>
        </w:rPr>
        <w:t xml:space="preserve">include: </w:t>
      </w:r>
      <w:r>
        <w:rPr>
          <w:rFonts w:ascii="Times New Roman" w:eastAsia="Calibri" w:hAnsi="Times New Roman"/>
          <w:sz w:val="24"/>
        </w:rPr>
        <w:t>the Treasury D</w:t>
      </w:r>
      <w:r w:rsidRPr="005B1933">
        <w:rPr>
          <w:rFonts w:ascii="Times New Roman" w:eastAsia="Calibri" w:hAnsi="Times New Roman"/>
          <w:sz w:val="24"/>
        </w:rPr>
        <w:t>epartment for the aggregated data on receipts and payments and cash balances, the Budget Department,  for the information on Budget outturn and comparison to the revised budget, the Fiscal Policy Department, for the narrative on fiscal trends and forecasts, the External Finance Department, for the information regarding external debt and external assistance, the SAO, for the report and recommendations on the financial statements of the government (but does not deliver a formal audit  opinion)</w:t>
      </w:r>
      <w:r w:rsidRPr="005B1933">
        <w:rPr>
          <w:rFonts w:ascii="Times New Roman" w:hAnsi="Times New Roman"/>
          <w:sz w:val="24"/>
        </w:rPr>
        <w:t>.</w:t>
      </w:r>
    </w:p>
    <w:p w14:paraId="2449478F" w14:textId="77777777" w:rsidR="007518E4" w:rsidRPr="003A47C8" w:rsidRDefault="007518E4" w:rsidP="00A82BB7">
      <w:pPr>
        <w:spacing w:after="240"/>
        <w:ind w:left="0"/>
        <w:rPr>
          <w:rFonts w:ascii="Times New Roman" w:eastAsia="Calibri" w:hAnsi="Times New Roman"/>
          <w:b/>
          <w:bCs/>
          <w:color w:val="92D050"/>
          <w:spacing w:val="-1"/>
          <w:sz w:val="24"/>
        </w:rPr>
      </w:pPr>
      <w:r w:rsidRPr="003A47C8">
        <w:rPr>
          <w:rFonts w:ascii="Times New Roman" w:eastAsia="Calibri" w:hAnsi="Times New Roman"/>
          <w:b/>
          <w:bCs/>
          <w:color w:val="92D050"/>
          <w:spacing w:val="-1"/>
          <w:sz w:val="24"/>
        </w:rPr>
        <w:t>29.1. Completeness of the annual financial reports</w:t>
      </w:r>
    </w:p>
    <w:p w14:paraId="2A4AF8F1" w14:textId="77777777" w:rsidR="007518E4" w:rsidRPr="008D4903" w:rsidRDefault="007518E4" w:rsidP="008037D9">
      <w:pPr>
        <w:pStyle w:val="ListParagraph"/>
        <w:numPr>
          <w:ilvl w:val="0"/>
          <w:numId w:val="84"/>
        </w:numPr>
        <w:autoSpaceDE w:val="0"/>
        <w:autoSpaceDN w:val="0"/>
        <w:adjustRightInd w:val="0"/>
        <w:spacing w:after="240"/>
        <w:ind w:left="0"/>
        <w:contextualSpacing w:val="0"/>
        <w:rPr>
          <w:rFonts w:ascii="Times New Roman" w:eastAsia="Calibri" w:hAnsi="Times New Roman"/>
          <w:bCs/>
          <w:color w:val="000000"/>
          <w:sz w:val="24"/>
          <w:lang w:val="en-AU" w:eastAsia="en-AU"/>
        </w:rPr>
      </w:pPr>
      <w:r w:rsidRPr="00A82BB7">
        <w:rPr>
          <w:rFonts w:ascii="Times New Roman" w:eastAsia="Calibri" w:hAnsi="Times New Roman"/>
          <w:b/>
          <w:bCs/>
          <w:color w:val="000000"/>
          <w:sz w:val="24"/>
          <w:lang w:val="en-AU" w:eastAsia="en-AU"/>
        </w:rPr>
        <w:t>The annual financi</w:t>
      </w:r>
      <w:r w:rsidR="00A82BB7">
        <w:rPr>
          <w:rFonts w:ascii="Times New Roman" w:eastAsia="Calibri" w:hAnsi="Times New Roman"/>
          <w:b/>
          <w:bCs/>
          <w:color w:val="000000"/>
          <w:sz w:val="24"/>
          <w:lang w:val="en-AU" w:eastAsia="en-AU"/>
        </w:rPr>
        <w:t>al statement</w:t>
      </w:r>
      <w:r w:rsidRPr="00A82BB7">
        <w:rPr>
          <w:rFonts w:ascii="Times New Roman" w:eastAsia="Calibri" w:hAnsi="Times New Roman"/>
          <w:b/>
          <w:bCs/>
          <w:color w:val="000000"/>
          <w:sz w:val="24"/>
          <w:lang w:val="en-AU" w:eastAsia="en-AU"/>
        </w:rPr>
        <w:t xml:space="preserve"> </w:t>
      </w:r>
      <w:r w:rsidR="00A82BB7">
        <w:rPr>
          <w:rFonts w:ascii="Times New Roman" w:eastAsia="Calibri" w:hAnsi="Times New Roman"/>
          <w:b/>
          <w:bCs/>
          <w:color w:val="000000"/>
          <w:sz w:val="24"/>
          <w:lang w:val="en-AU" w:eastAsia="en-AU"/>
        </w:rPr>
        <w:t xml:space="preserve">that is </w:t>
      </w:r>
      <w:r w:rsidRPr="00A82BB7">
        <w:rPr>
          <w:rFonts w:ascii="Times New Roman" w:eastAsia="Calibri" w:hAnsi="Times New Roman"/>
          <w:b/>
          <w:bCs/>
          <w:color w:val="000000"/>
          <w:sz w:val="24"/>
          <w:lang w:val="en-AU" w:eastAsia="en-AU"/>
        </w:rPr>
        <w:t>s</w:t>
      </w:r>
      <w:r w:rsidR="00A82BB7">
        <w:rPr>
          <w:rFonts w:ascii="Times New Roman" w:eastAsia="Calibri" w:hAnsi="Times New Roman"/>
          <w:b/>
          <w:bCs/>
          <w:color w:val="000000"/>
          <w:sz w:val="24"/>
          <w:lang w:val="en-AU" w:eastAsia="en-AU"/>
        </w:rPr>
        <w:t>ubmitted to the SAO consolidates</w:t>
      </w:r>
      <w:r w:rsidRPr="00A82BB7">
        <w:rPr>
          <w:rFonts w:ascii="Times New Roman" w:eastAsia="Calibri" w:hAnsi="Times New Roman"/>
          <w:b/>
          <w:bCs/>
          <w:color w:val="000000"/>
          <w:sz w:val="24"/>
          <w:lang w:val="en-AU" w:eastAsia="en-AU"/>
        </w:rPr>
        <w:t xml:space="preserve"> detailed information</w:t>
      </w:r>
      <w:r w:rsidR="000C5978">
        <w:rPr>
          <w:rFonts w:ascii="Times New Roman" w:eastAsia="Calibri" w:hAnsi="Times New Roman"/>
          <w:bCs/>
          <w:color w:val="000000"/>
          <w:sz w:val="24"/>
          <w:lang w:val="en-AU" w:eastAsia="en-AU"/>
        </w:rPr>
        <w:t xml:space="preserve">. </w:t>
      </w:r>
      <w:r w:rsidR="00A82BB7" w:rsidRPr="00A82BB7">
        <w:rPr>
          <w:rFonts w:ascii="Times New Roman" w:eastAsia="Calibri" w:hAnsi="Times New Roman"/>
          <w:bCs/>
          <w:color w:val="000000"/>
          <w:sz w:val="24"/>
          <w:lang w:val="en-AU" w:eastAsia="en-AU"/>
        </w:rPr>
        <w:t>This information is</w:t>
      </w:r>
      <w:r w:rsidRPr="008D4903">
        <w:rPr>
          <w:rFonts w:ascii="Times New Roman" w:eastAsia="Calibri" w:hAnsi="Times New Roman"/>
          <w:bCs/>
          <w:color w:val="000000"/>
          <w:sz w:val="24"/>
          <w:lang w:val="en-AU" w:eastAsia="en-AU"/>
        </w:rPr>
        <w:t xml:space="preserve"> on expenditure, revenue, cash balances, Accounts Payable and Receivable, settlement of expenditure arrears (to be cleared as per schedule ref. PI-13), together with a fiscal policy report and budget report covering all budgetary entities.  </w:t>
      </w:r>
      <w:r>
        <w:rPr>
          <w:rFonts w:ascii="Times New Roman" w:eastAsia="Calibri" w:hAnsi="Times New Roman"/>
          <w:bCs/>
          <w:color w:val="000000"/>
          <w:sz w:val="24"/>
          <w:lang w:val="en-AU" w:eastAsia="en-AU"/>
        </w:rPr>
        <w:t xml:space="preserve">There are </w:t>
      </w:r>
      <w:r w:rsidRPr="008D4903">
        <w:rPr>
          <w:rFonts w:ascii="Times New Roman" w:eastAsia="Calibri" w:hAnsi="Times New Roman"/>
          <w:bCs/>
          <w:color w:val="000000"/>
          <w:sz w:val="24"/>
          <w:lang w:val="en-AU" w:eastAsia="en-AU"/>
        </w:rPr>
        <w:t xml:space="preserve">accompanying notes </w:t>
      </w:r>
      <w:r>
        <w:rPr>
          <w:rFonts w:ascii="Times New Roman" w:eastAsia="Calibri" w:hAnsi="Times New Roman"/>
          <w:bCs/>
          <w:color w:val="000000"/>
          <w:sz w:val="24"/>
          <w:lang w:val="en-AU" w:eastAsia="en-AU"/>
        </w:rPr>
        <w:t xml:space="preserve">that explain the </w:t>
      </w:r>
      <w:r w:rsidRPr="008D4903">
        <w:rPr>
          <w:rFonts w:ascii="Times New Roman" w:eastAsia="Calibri" w:hAnsi="Times New Roman"/>
          <w:bCs/>
          <w:color w:val="000000"/>
          <w:sz w:val="24"/>
          <w:lang w:val="en-AU" w:eastAsia="en-AU"/>
        </w:rPr>
        <w:t xml:space="preserve">basis of preparation of the financial statements. </w:t>
      </w:r>
      <w:r>
        <w:rPr>
          <w:rFonts w:ascii="Times New Roman" w:eastAsia="Calibri" w:hAnsi="Times New Roman"/>
          <w:bCs/>
          <w:color w:val="000000"/>
          <w:sz w:val="24"/>
          <w:lang w:val="en-AU" w:eastAsia="en-AU"/>
        </w:rPr>
        <w:t xml:space="preserve"> </w:t>
      </w:r>
      <w:r w:rsidRPr="008D4903">
        <w:rPr>
          <w:rFonts w:ascii="Times New Roman" w:eastAsia="Calibri" w:hAnsi="Times New Roman"/>
          <w:bCs/>
          <w:color w:val="000000"/>
          <w:sz w:val="24"/>
          <w:lang w:val="en-AU" w:eastAsia="en-AU"/>
        </w:rPr>
        <w:t xml:space="preserve">The commitments that have been made and not yet settled are also reported in the financial statements. </w:t>
      </w:r>
      <w:r>
        <w:rPr>
          <w:rFonts w:ascii="Times New Roman" w:eastAsia="Calibri" w:hAnsi="Times New Roman"/>
          <w:bCs/>
          <w:color w:val="000000"/>
          <w:sz w:val="24"/>
          <w:lang w:val="en-AU" w:eastAsia="en-AU"/>
        </w:rPr>
        <w:t xml:space="preserve"> </w:t>
      </w:r>
      <w:r w:rsidRPr="008D4903">
        <w:rPr>
          <w:rFonts w:ascii="Times New Roman" w:eastAsia="Calibri" w:hAnsi="Times New Roman"/>
          <w:bCs/>
          <w:color w:val="000000"/>
          <w:sz w:val="24"/>
          <w:lang w:val="en-AU" w:eastAsia="en-AU"/>
        </w:rPr>
        <w:t xml:space="preserve">The financial statements are comparable to the approved budget for the year </w:t>
      </w:r>
      <w:r>
        <w:rPr>
          <w:rFonts w:ascii="Times New Roman" w:eastAsia="Calibri" w:hAnsi="Times New Roman"/>
          <w:bCs/>
          <w:color w:val="000000"/>
          <w:sz w:val="24"/>
          <w:lang w:val="en-AU" w:eastAsia="en-AU"/>
        </w:rPr>
        <w:t xml:space="preserve">that is being </w:t>
      </w:r>
      <w:r w:rsidRPr="008D4903">
        <w:rPr>
          <w:rFonts w:ascii="Times New Roman" w:eastAsia="Calibri" w:hAnsi="Times New Roman"/>
          <w:bCs/>
          <w:color w:val="000000"/>
          <w:sz w:val="24"/>
          <w:lang w:val="en-AU" w:eastAsia="en-AU"/>
        </w:rPr>
        <w:t>report</w:t>
      </w:r>
      <w:r>
        <w:rPr>
          <w:rFonts w:ascii="Times New Roman" w:eastAsia="Calibri" w:hAnsi="Times New Roman"/>
          <w:bCs/>
          <w:color w:val="000000"/>
          <w:sz w:val="24"/>
          <w:lang w:val="en-AU" w:eastAsia="en-AU"/>
        </w:rPr>
        <w:t>ed</w:t>
      </w:r>
      <w:r w:rsidRPr="008D4903">
        <w:rPr>
          <w:rFonts w:ascii="Times New Roman" w:eastAsia="Calibri" w:hAnsi="Times New Roman"/>
          <w:bCs/>
          <w:color w:val="000000"/>
          <w:sz w:val="24"/>
          <w:lang w:val="en-AU" w:eastAsia="en-AU"/>
        </w:rPr>
        <w:t xml:space="preserve"> for both revenue and expenditure line items </w:t>
      </w:r>
      <w:r w:rsidRPr="009D4A92">
        <w:rPr>
          <w:rFonts w:ascii="Times New Roman" w:eastAsia="Calibri" w:hAnsi="Times New Roman"/>
          <w:bCs/>
          <w:color w:val="000000"/>
          <w:sz w:val="24"/>
          <w:lang w:val="en-AU" w:eastAsia="en-AU"/>
        </w:rPr>
        <w:t>by</w:t>
      </w:r>
      <w:r w:rsidRPr="008D4903">
        <w:rPr>
          <w:rFonts w:ascii="Times New Roman" w:eastAsia="Calibri" w:hAnsi="Times New Roman"/>
          <w:bCs/>
          <w:color w:val="000000"/>
          <w:sz w:val="24"/>
          <w:lang w:val="en-AU" w:eastAsia="en-AU"/>
        </w:rPr>
        <w:t xml:space="preserve"> economic </w:t>
      </w:r>
      <w:r>
        <w:rPr>
          <w:rFonts w:ascii="Times New Roman" w:eastAsia="Calibri" w:hAnsi="Times New Roman"/>
          <w:bCs/>
          <w:color w:val="000000"/>
          <w:sz w:val="24"/>
          <w:lang w:val="en-AU" w:eastAsia="en-AU"/>
        </w:rPr>
        <w:t xml:space="preserve">and administrative </w:t>
      </w:r>
      <w:r w:rsidRPr="008D4903">
        <w:rPr>
          <w:rFonts w:ascii="Times New Roman" w:eastAsia="Calibri" w:hAnsi="Times New Roman"/>
          <w:bCs/>
          <w:color w:val="000000"/>
          <w:sz w:val="24"/>
          <w:lang w:val="en-AU" w:eastAsia="en-AU"/>
        </w:rPr>
        <w:t>classification</w:t>
      </w:r>
      <w:r>
        <w:rPr>
          <w:rFonts w:ascii="Times New Roman" w:eastAsia="Calibri" w:hAnsi="Times New Roman"/>
          <w:bCs/>
          <w:color w:val="000000"/>
          <w:sz w:val="24"/>
          <w:lang w:val="en-AU" w:eastAsia="en-AU"/>
        </w:rPr>
        <w:t xml:space="preserve"> at four-digit level. </w:t>
      </w:r>
      <w:r w:rsidRPr="008D4903">
        <w:rPr>
          <w:rFonts w:ascii="Times New Roman" w:eastAsia="Calibri" w:hAnsi="Times New Roman"/>
          <w:bCs/>
          <w:color w:val="000000"/>
          <w:sz w:val="24"/>
          <w:lang w:val="en-AU" w:eastAsia="en-AU"/>
        </w:rPr>
        <w:t>Some explanatory notes are also provided with the financial statements.</w:t>
      </w:r>
    </w:p>
    <w:p w14:paraId="193CEDAD" w14:textId="77777777" w:rsidR="007518E4" w:rsidRPr="008D4903" w:rsidRDefault="007518E4" w:rsidP="008037D9">
      <w:pPr>
        <w:pStyle w:val="ListParagraph"/>
        <w:numPr>
          <w:ilvl w:val="0"/>
          <w:numId w:val="84"/>
        </w:numPr>
        <w:spacing w:after="240"/>
        <w:ind w:left="0"/>
        <w:contextualSpacing w:val="0"/>
        <w:rPr>
          <w:rFonts w:ascii="Times New Roman" w:eastAsia="MS Gothic" w:hAnsi="Times New Roman"/>
          <w:bCs/>
          <w:iCs/>
          <w:sz w:val="24"/>
        </w:rPr>
      </w:pPr>
      <w:r w:rsidRPr="00A82BB7">
        <w:rPr>
          <w:rFonts w:ascii="Times New Roman" w:eastAsia="MS Gothic" w:hAnsi="Times New Roman"/>
          <w:b/>
          <w:bCs/>
          <w:iCs/>
          <w:sz w:val="24"/>
        </w:rPr>
        <w:t>Annual financial reports are prepared covering items of income, expenditure and cash balances with some but incomplete information on financial assets and liabilities.</w:t>
      </w:r>
      <w:r w:rsidRPr="008D4903">
        <w:rPr>
          <w:rFonts w:ascii="Times New Roman" w:eastAsia="MS Gothic" w:hAnsi="Times New Roman"/>
          <w:bCs/>
          <w:iCs/>
          <w:sz w:val="24"/>
        </w:rPr>
        <w:t xml:space="preserve"> They are comparable to the approved budget: Score C.</w:t>
      </w:r>
    </w:p>
    <w:p w14:paraId="5176BB32" w14:textId="77777777" w:rsidR="007518E4" w:rsidRPr="003A47C8" w:rsidRDefault="007518E4" w:rsidP="00A82BB7">
      <w:pPr>
        <w:spacing w:after="240"/>
        <w:ind w:left="0"/>
        <w:rPr>
          <w:rFonts w:ascii="Times New Roman" w:eastAsia="Calibri" w:hAnsi="Times New Roman"/>
          <w:b/>
          <w:bCs/>
          <w:color w:val="92D050"/>
          <w:spacing w:val="-1"/>
          <w:sz w:val="24"/>
        </w:rPr>
      </w:pPr>
      <w:r w:rsidRPr="003A47C8">
        <w:rPr>
          <w:rFonts w:ascii="Times New Roman" w:eastAsia="Calibri" w:hAnsi="Times New Roman"/>
          <w:b/>
          <w:bCs/>
          <w:color w:val="92D050"/>
          <w:spacing w:val="-1"/>
          <w:sz w:val="24"/>
        </w:rPr>
        <w:t xml:space="preserve">29.2 Submission of reports for external audit </w:t>
      </w:r>
    </w:p>
    <w:p w14:paraId="52F85397" w14:textId="77777777" w:rsidR="007518E4" w:rsidRPr="00E24708" w:rsidRDefault="007518E4" w:rsidP="008037D9">
      <w:pPr>
        <w:pStyle w:val="ListParagraph"/>
        <w:numPr>
          <w:ilvl w:val="0"/>
          <w:numId w:val="88"/>
        </w:numPr>
        <w:spacing w:after="240"/>
        <w:ind w:left="0"/>
        <w:contextualSpacing w:val="0"/>
        <w:rPr>
          <w:rFonts w:ascii="Times New Roman" w:hAnsi="Times New Roman"/>
          <w:sz w:val="24"/>
        </w:rPr>
      </w:pPr>
      <w:r w:rsidRPr="00A82BB7">
        <w:rPr>
          <w:rFonts w:ascii="Times New Roman" w:eastAsia="Calibri" w:hAnsi="Times New Roman"/>
          <w:b/>
          <w:sz w:val="24"/>
        </w:rPr>
        <w:t>For the financial year ended 31 December 2017 the financial statements and supporting notes were submitted to the SAO in July 2018</w:t>
      </w:r>
      <w:r w:rsidR="000C5978">
        <w:rPr>
          <w:rFonts w:ascii="Times New Roman" w:eastAsia="Calibri" w:hAnsi="Times New Roman"/>
          <w:sz w:val="24"/>
        </w:rPr>
        <w:t xml:space="preserve">. </w:t>
      </w:r>
      <w:r w:rsidRPr="00E1065E">
        <w:rPr>
          <w:rFonts w:ascii="Times New Roman" w:eastAsia="Calibri" w:hAnsi="Times New Roman"/>
          <w:sz w:val="24"/>
        </w:rPr>
        <w:t>This constitutes a significant im</w:t>
      </w:r>
      <w:r w:rsidR="000C5978">
        <w:rPr>
          <w:rFonts w:ascii="Times New Roman" w:eastAsia="Calibri" w:hAnsi="Times New Roman"/>
          <w:sz w:val="24"/>
        </w:rPr>
        <w:t xml:space="preserve">provement from previous years. </w:t>
      </w:r>
      <w:r w:rsidRPr="00E1065E">
        <w:rPr>
          <w:rFonts w:ascii="Times New Roman" w:eastAsia="Calibri" w:hAnsi="Times New Roman"/>
          <w:sz w:val="24"/>
        </w:rPr>
        <w:t xml:space="preserve">The exact date of submission by MoF was available from MoF and </w:t>
      </w:r>
      <w:r w:rsidR="000C5978">
        <w:rPr>
          <w:rFonts w:ascii="Times New Roman" w:eastAsia="Calibri" w:hAnsi="Times New Roman"/>
          <w:sz w:val="24"/>
        </w:rPr>
        <w:t xml:space="preserve">SAO. </w:t>
      </w:r>
      <w:r w:rsidRPr="00E1065E">
        <w:rPr>
          <w:rFonts w:ascii="Times New Roman" w:eastAsia="Calibri" w:hAnsi="Times New Roman"/>
          <w:sz w:val="24"/>
        </w:rPr>
        <w:t xml:space="preserve">SAO uses a receipt date stamp to confirm receipt of the financial statements and MoF’s provides a covering letter. </w:t>
      </w:r>
    </w:p>
    <w:p w14:paraId="1BABAD50" w14:textId="77777777" w:rsidR="00A82BB7" w:rsidRPr="000C5978" w:rsidRDefault="007518E4" w:rsidP="00525EAB">
      <w:pPr>
        <w:pStyle w:val="ListParagraph"/>
        <w:numPr>
          <w:ilvl w:val="0"/>
          <w:numId w:val="88"/>
        </w:numPr>
        <w:spacing w:after="240" w:line="276" w:lineRule="auto"/>
        <w:ind w:left="0"/>
        <w:contextualSpacing w:val="0"/>
        <w:rPr>
          <w:rFonts w:ascii="Times New Roman" w:eastAsia="Calibri" w:hAnsi="Times New Roman"/>
          <w:b/>
          <w:sz w:val="24"/>
        </w:rPr>
      </w:pPr>
      <w:r w:rsidRPr="000C5978">
        <w:rPr>
          <w:rFonts w:ascii="Times New Roman" w:eastAsia="Calibri" w:hAnsi="Times New Roman"/>
          <w:b/>
          <w:sz w:val="24"/>
        </w:rPr>
        <w:t>The financial reports for 2017 were submitted for external audit within nine months of the end of the fiscal year:</w:t>
      </w:r>
      <w:r w:rsidRPr="000C5978">
        <w:rPr>
          <w:rFonts w:ascii="Times New Roman" w:eastAsia="Calibri" w:hAnsi="Times New Roman"/>
          <w:sz w:val="24"/>
        </w:rPr>
        <w:t xml:space="preserve"> Score C.</w:t>
      </w:r>
      <w:r w:rsidR="00A82BB7" w:rsidRPr="000C5978">
        <w:rPr>
          <w:rFonts w:ascii="Times New Roman" w:eastAsia="Calibri" w:hAnsi="Times New Roman"/>
          <w:b/>
          <w:sz w:val="24"/>
        </w:rPr>
        <w:br w:type="page"/>
      </w:r>
    </w:p>
    <w:p w14:paraId="2424874B" w14:textId="77777777" w:rsidR="007518E4" w:rsidRPr="003A47C8" w:rsidRDefault="007518E4" w:rsidP="00A82BB7">
      <w:pPr>
        <w:spacing w:after="240"/>
        <w:ind w:left="0"/>
        <w:rPr>
          <w:rFonts w:ascii="Times New Roman" w:eastAsia="Calibri" w:hAnsi="Times New Roman"/>
          <w:b/>
          <w:bCs/>
          <w:color w:val="92D050"/>
          <w:spacing w:val="-1"/>
          <w:sz w:val="24"/>
        </w:rPr>
      </w:pPr>
      <w:r w:rsidRPr="003A47C8">
        <w:rPr>
          <w:rFonts w:ascii="Times New Roman" w:eastAsia="Calibri" w:hAnsi="Times New Roman"/>
          <w:b/>
          <w:bCs/>
          <w:color w:val="92D050"/>
          <w:spacing w:val="-1"/>
          <w:sz w:val="24"/>
        </w:rPr>
        <w:lastRenderedPageBreak/>
        <w:t xml:space="preserve">29.3. Accounting standards </w:t>
      </w:r>
    </w:p>
    <w:p w14:paraId="286708B0" w14:textId="77777777" w:rsidR="007518E4" w:rsidRPr="00E1065E" w:rsidRDefault="007518E4" w:rsidP="008037D9">
      <w:pPr>
        <w:pStyle w:val="ListParagraph"/>
        <w:numPr>
          <w:ilvl w:val="0"/>
          <w:numId w:val="88"/>
        </w:numPr>
        <w:autoSpaceDE w:val="0"/>
        <w:autoSpaceDN w:val="0"/>
        <w:adjustRightInd w:val="0"/>
        <w:spacing w:after="240"/>
        <w:ind w:left="0"/>
        <w:contextualSpacing w:val="0"/>
        <w:rPr>
          <w:rFonts w:ascii="Times New Roman" w:eastAsia="Calibri" w:hAnsi="Times New Roman"/>
          <w:sz w:val="24"/>
        </w:rPr>
      </w:pPr>
      <w:r w:rsidRPr="005C261A">
        <w:rPr>
          <w:rFonts w:ascii="Times New Roman" w:eastAsia="Calibri" w:hAnsi="Times New Roman"/>
          <w:b/>
          <w:sz w:val="24"/>
        </w:rPr>
        <w:t>Ministerial Order No. 529 of 2016 provides the legal framework for the implementation of IPSAS</w:t>
      </w:r>
      <w:r w:rsidR="00525EAB">
        <w:rPr>
          <w:rFonts w:ascii="Times New Roman" w:eastAsia="Calibri" w:hAnsi="Times New Roman"/>
          <w:sz w:val="24"/>
        </w:rPr>
        <w:t xml:space="preserve">. </w:t>
      </w:r>
      <w:r>
        <w:rPr>
          <w:rFonts w:ascii="Times New Roman" w:eastAsia="Calibri" w:hAnsi="Times New Roman"/>
          <w:sz w:val="24"/>
        </w:rPr>
        <w:t xml:space="preserve">This was </w:t>
      </w:r>
      <w:r w:rsidRPr="00E1065E">
        <w:rPr>
          <w:rFonts w:ascii="Times New Roman" w:eastAsia="Calibri" w:hAnsi="Times New Roman"/>
          <w:sz w:val="24"/>
        </w:rPr>
        <w:t xml:space="preserve">issued by the Finance Ministry on 24 February 2016. This is explicitly linked to the Accounting Law, No. 47/2013, the Prime Ministerial Order No. 80/2007 and Proposal No. 81 of the Accounting Dept. dated 7 December 2015. </w:t>
      </w:r>
    </w:p>
    <w:p w14:paraId="13C50382" w14:textId="77777777" w:rsidR="007518E4" w:rsidRPr="00E24708" w:rsidRDefault="007518E4" w:rsidP="008037D9">
      <w:pPr>
        <w:pStyle w:val="Default"/>
        <w:numPr>
          <w:ilvl w:val="0"/>
          <w:numId w:val="88"/>
        </w:numPr>
        <w:spacing w:after="240"/>
        <w:ind w:left="0"/>
        <w:rPr>
          <w:rFonts w:ascii="Times New Roman" w:eastAsia="Calibri" w:hAnsi="Times New Roman" w:cs="Times New Roman"/>
        </w:rPr>
      </w:pPr>
      <w:r w:rsidRPr="005C261A">
        <w:rPr>
          <w:rFonts w:ascii="Times New Roman" w:eastAsia="Calibri" w:hAnsi="Times New Roman" w:cs="Times New Roman"/>
          <w:b/>
        </w:rPr>
        <w:t xml:space="preserve">The Amended Accounting Law 47/2013 Article 13, states that “implementing government agencies shall apply the cash basis International Public Sector Accounting Standards </w:t>
      </w:r>
      <w:proofErr w:type="gramStart"/>
      <w:r w:rsidRPr="005C261A">
        <w:rPr>
          <w:rFonts w:ascii="Times New Roman" w:eastAsia="Calibri" w:hAnsi="Times New Roman" w:cs="Times New Roman"/>
          <w:b/>
        </w:rPr>
        <w:t>in order to</w:t>
      </w:r>
      <w:proofErr w:type="gramEnd"/>
      <w:r w:rsidRPr="005C261A">
        <w:rPr>
          <w:rFonts w:ascii="Times New Roman" w:eastAsia="Calibri" w:hAnsi="Times New Roman" w:cs="Times New Roman"/>
          <w:b/>
        </w:rPr>
        <w:t xml:space="preserve"> be prepared to move toward the accrual basis International Public Sector Accounting Standards’</w:t>
      </w:r>
      <w:r w:rsidR="00525EAB">
        <w:rPr>
          <w:rFonts w:ascii="Times New Roman" w:eastAsia="Calibri" w:hAnsi="Times New Roman" w:cs="Times New Roman"/>
        </w:rPr>
        <w:t xml:space="preserve">. </w:t>
      </w:r>
      <w:r w:rsidRPr="00E24708">
        <w:rPr>
          <w:rFonts w:ascii="Times New Roman" w:eastAsia="Calibri" w:hAnsi="Times New Roman" w:cs="Times New Roman"/>
        </w:rPr>
        <w:t>Article 3, para. 18 of the Law states that the cash basis “means the basis of accounting that recognizes financial transactions when cash is received or paid”, which is fully consistent with the definition in the IPSAS Cash Standard.</w:t>
      </w:r>
    </w:p>
    <w:p w14:paraId="08245537" w14:textId="77777777" w:rsidR="007518E4" w:rsidRPr="00E24708" w:rsidRDefault="007518E4" w:rsidP="008037D9">
      <w:pPr>
        <w:pStyle w:val="Default"/>
        <w:numPr>
          <w:ilvl w:val="0"/>
          <w:numId w:val="88"/>
        </w:numPr>
        <w:spacing w:after="240"/>
        <w:ind w:left="0"/>
        <w:rPr>
          <w:rFonts w:ascii="Times New Roman" w:hAnsi="Times New Roman" w:cs="Times New Roman"/>
          <w:lang w:val="en-MY"/>
        </w:rPr>
      </w:pPr>
      <w:r w:rsidRPr="005C261A">
        <w:rPr>
          <w:rFonts w:ascii="Times New Roman" w:eastAsia="Calibri" w:hAnsi="Times New Roman" w:cs="Times New Roman"/>
          <w:b/>
        </w:rPr>
        <w:t>Nevertheless, the legal framework is not fully consistent with the IPSAS cash standards.</w:t>
      </w:r>
      <w:r w:rsidR="00525EAB">
        <w:rPr>
          <w:rFonts w:ascii="Times New Roman" w:eastAsia="Calibri" w:hAnsi="Times New Roman" w:cs="Times New Roman"/>
        </w:rPr>
        <w:t xml:space="preserve"> </w:t>
      </w:r>
      <w:r w:rsidRPr="00E24708">
        <w:rPr>
          <w:rFonts w:ascii="Times New Roman" w:eastAsia="Calibri" w:hAnsi="Times New Roman" w:cs="Times New Roman"/>
        </w:rPr>
        <w:t>There are provisions of the IPSAS Cash that are not stipulated in the Law or need further specification, such as the format for balance sheets, cash flow statements and revenue-expenditure report; a statement of cash receipts and payments for all consolidated entities (not just the State budget); the inclusion of all “off budget” transactions; and a statement of comparison of budget to actual (as the approved budget is published)</w:t>
      </w:r>
      <w:r w:rsidRPr="00E24708">
        <w:rPr>
          <w:rStyle w:val="FootnoteReference"/>
          <w:rFonts w:ascii="Times New Roman" w:eastAsia="Calibri" w:hAnsi="Times New Roman" w:cs="Times New Roman"/>
        </w:rPr>
        <w:footnoteReference w:id="51"/>
      </w:r>
      <w:r w:rsidRPr="00E24708">
        <w:rPr>
          <w:rFonts w:ascii="Times New Roman" w:eastAsia="Calibri" w:hAnsi="Times New Roman" w:cs="Times New Roman"/>
        </w:rPr>
        <w:t>.</w:t>
      </w:r>
      <w:r w:rsidRPr="00E24708">
        <w:rPr>
          <w:rFonts w:ascii="Times New Roman" w:hAnsi="Times New Roman" w:cs="Times New Roman"/>
          <w:lang w:val="en-MY"/>
        </w:rPr>
        <w:t xml:space="preserve"> </w:t>
      </w:r>
    </w:p>
    <w:p w14:paraId="74E5E14A" w14:textId="77777777" w:rsidR="007518E4" w:rsidRPr="00E1065E" w:rsidRDefault="007518E4" w:rsidP="008037D9">
      <w:pPr>
        <w:pStyle w:val="ListParagraph"/>
        <w:numPr>
          <w:ilvl w:val="0"/>
          <w:numId w:val="88"/>
        </w:numPr>
        <w:autoSpaceDE w:val="0"/>
        <w:autoSpaceDN w:val="0"/>
        <w:adjustRightInd w:val="0"/>
        <w:spacing w:after="240"/>
        <w:ind w:left="0"/>
        <w:contextualSpacing w:val="0"/>
        <w:rPr>
          <w:rFonts w:ascii="Times New Roman" w:eastAsia="Calibri" w:hAnsi="Times New Roman"/>
          <w:sz w:val="24"/>
        </w:rPr>
      </w:pPr>
      <w:r w:rsidRPr="005C261A">
        <w:rPr>
          <w:rFonts w:ascii="Times New Roman" w:eastAsia="Calibri" w:hAnsi="Times New Roman"/>
          <w:b/>
          <w:sz w:val="24"/>
        </w:rPr>
        <w:t>The Ministerial Order requires the adoption of IPSAS for budget entities, administrative entities and government funds effectively as of 2017.</w:t>
      </w:r>
      <w:r w:rsidRPr="00E1065E">
        <w:rPr>
          <w:rFonts w:ascii="Times New Roman" w:eastAsia="Calibri" w:hAnsi="Times New Roman"/>
          <w:sz w:val="24"/>
        </w:rPr>
        <w:t xml:space="preserve"> It empowers the Accounting Department to be responsible for iss</w:t>
      </w:r>
      <w:r>
        <w:rPr>
          <w:rFonts w:ascii="Times New Roman" w:eastAsia="Calibri" w:hAnsi="Times New Roman"/>
          <w:sz w:val="24"/>
        </w:rPr>
        <w:t>uing guidance on IPSAS and allocates</w:t>
      </w:r>
      <w:r w:rsidRPr="00E1065E">
        <w:rPr>
          <w:rFonts w:ascii="Times New Roman" w:eastAsia="Calibri" w:hAnsi="Times New Roman"/>
          <w:sz w:val="24"/>
        </w:rPr>
        <w:t xml:space="preserve"> roles in supporting, monitoring and auditing the progress of implementation to the Treasury</w:t>
      </w:r>
      <w:r>
        <w:rPr>
          <w:rFonts w:ascii="Times New Roman" w:eastAsia="Calibri" w:hAnsi="Times New Roman"/>
          <w:sz w:val="24"/>
        </w:rPr>
        <w:t xml:space="preserve"> and </w:t>
      </w:r>
      <w:r w:rsidRPr="00E1065E">
        <w:rPr>
          <w:rFonts w:ascii="Times New Roman" w:eastAsia="Calibri" w:hAnsi="Times New Roman"/>
          <w:sz w:val="24"/>
        </w:rPr>
        <w:t>Budget</w:t>
      </w:r>
      <w:r>
        <w:rPr>
          <w:rFonts w:ascii="Times New Roman" w:eastAsia="Calibri" w:hAnsi="Times New Roman"/>
          <w:sz w:val="24"/>
        </w:rPr>
        <w:t xml:space="preserve"> D</w:t>
      </w:r>
      <w:r w:rsidR="00525EAB">
        <w:rPr>
          <w:rFonts w:ascii="Times New Roman" w:eastAsia="Calibri" w:hAnsi="Times New Roman"/>
          <w:sz w:val="24"/>
        </w:rPr>
        <w:t xml:space="preserve">epartments. </w:t>
      </w:r>
      <w:r w:rsidRPr="00E1065E">
        <w:rPr>
          <w:rFonts w:ascii="Times New Roman" w:eastAsia="Calibri" w:hAnsi="Times New Roman"/>
          <w:sz w:val="24"/>
        </w:rPr>
        <w:t xml:space="preserve">It also requires the financial reporting to be consolidated by </w:t>
      </w:r>
      <w:r>
        <w:rPr>
          <w:rFonts w:ascii="Times New Roman" w:eastAsia="Calibri" w:hAnsi="Times New Roman"/>
          <w:sz w:val="24"/>
        </w:rPr>
        <w:t xml:space="preserve">the </w:t>
      </w:r>
      <w:r w:rsidRPr="00E1065E">
        <w:rPr>
          <w:rFonts w:ascii="Times New Roman" w:eastAsia="Calibri" w:hAnsi="Times New Roman"/>
          <w:sz w:val="24"/>
        </w:rPr>
        <w:t>Treasury Department within 2 months of the end of the fiscal year.</w:t>
      </w:r>
    </w:p>
    <w:p w14:paraId="3200CA92" w14:textId="77777777" w:rsidR="007518E4" w:rsidRPr="00E1065E" w:rsidRDefault="007518E4" w:rsidP="008037D9">
      <w:pPr>
        <w:pStyle w:val="ListParagraph"/>
        <w:numPr>
          <w:ilvl w:val="0"/>
          <w:numId w:val="88"/>
        </w:numPr>
        <w:autoSpaceDE w:val="0"/>
        <w:autoSpaceDN w:val="0"/>
        <w:adjustRightInd w:val="0"/>
        <w:spacing w:after="240"/>
        <w:ind w:left="0"/>
        <w:contextualSpacing w:val="0"/>
        <w:rPr>
          <w:rFonts w:ascii="Times New Roman" w:eastAsia="Calibri" w:hAnsi="Times New Roman"/>
          <w:sz w:val="24"/>
        </w:rPr>
      </w:pPr>
      <w:r w:rsidRPr="005C261A">
        <w:rPr>
          <w:rFonts w:ascii="Times New Roman" w:eastAsia="Calibri" w:hAnsi="Times New Roman"/>
          <w:b/>
          <w:sz w:val="24"/>
        </w:rPr>
        <w:t xml:space="preserve">At present, the financial statements are not fully compliant with the country’s accounting system as defined by the Accounting Law, which also requires the collation of information on assets and </w:t>
      </w:r>
      <w:proofErr w:type="gramStart"/>
      <w:r w:rsidRPr="005C261A">
        <w:rPr>
          <w:rFonts w:ascii="Times New Roman" w:eastAsia="Calibri" w:hAnsi="Times New Roman"/>
          <w:b/>
          <w:sz w:val="24"/>
        </w:rPr>
        <w:t>liabilities’</w:t>
      </w:r>
      <w:proofErr w:type="gramEnd"/>
      <w:r w:rsidR="00E91C03">
        <w:rPr>
          <w:rFonts w:ascii="Times New Roman" w:eastAsia="Calibri" w:hAnsi="Times New Roman"/>
          <w:b/>
          <w:sz w:val="24"/>
        </w:rPr>
        <w:t>.</w:t>
      </w:r>
      <w:r w:rsidR="00525EAB">
        <w:rPr>
          <w:rFonts w:ascii="Times New Roman" w:eastAsia="Calibri" w:hAnsi="Times New Roman"/>
          <w:sz w:val="24"/>
        </w:rPr>
        <w:t xml:space="preserve"> </w:t>
      </w:r>
      <w:r>
        <w:rPr>
          <w:rFonts w:ascii="Times New Roman" w:eastAsia="Calibri" w:hAnsi="Times New Roman"/>
          <w:sz w:val="24"/>
        </w:rPr>
        <w:t>The</w:t>
      </w:r>
      <w:r w:rsidRPr="00E1065E">
        <w:rPr>
          <w:rFonts w:ascii="Times New Roman" w:eastAsia="Calibri" w:hAnsi="Times New Roman"/>
          <w:sz w:val="24"/>
        </w:rPr>
        <w:t xml:space="preserve"> newly adopted Debt Management Law also specifies the debt reporting requirements</w:t>
      </w:r>
      <w:r w:rsidR="00525EAB">
        <w:rPr>
          <w:rFonts w:ascii="Times New Roman" w:eastAsia="Calibri" w:hAnsi="Times New Roman"/>
          <w:sz w:val="24"/>
        </w:rPr>
        <w:t xml:space="preserve">. </w:t>
      </w:r>
      <w:r>
        <w:rPr>
          <w:rFonts w:ascii="Times New Roman" w:eastAsia="Calibri" w:hAnsi="Times New Roman"/>
          <w:sz w:val="24"/>
        </w:rPr>
        <w:t>H</w:t>
      </w:r>
      <w:r w:rsidRPr="00E1065E">
        <w:rPr>
          <w:rFonts w:ascii="Times New Roman" w:eastAsia="Calibri" w:hAnsi="Times New Roman"/>
          <w:sz w:val="24"/>
        </w:rPr>
        <w:t>owever</w:t>
      </w:r>
      <w:r w:rsidR="00525EAB">
        <w:rPr>
          <w:rFonts w:ascii="Times New Roman" w:eastAsia="Calibri" w:hAnsi="Times New Roman"/>
          <w:sz w:val="24"/>
        </w:rPr>
        <w:t>,</w:t>
      </w:r>
      <w:r w:rsidRPr="00E1065E">
        <w:rPr>
          <w:rFonts w:ascii="Times New Roman" w:eastAsia="Calibri" w:hAnsi="Times New Roman"/>
          <w:sz w:val="24"/>
        </w:rPr>
        <w:t xml:space="preserve"> the</w:t>
      </w:r>
      <w:r>
        <w:rPr>
          <w:rFonts w:ascii="Times New Roman" w:eastAsia="Calibri" w:hAnsi="Times New Roman"/>
          <w:sz w:val="24"/>
        </w:rPr>
        <w:t>se</w:t>
      </w:r>
      <w:r w:rsidRPr="00E1065E">
        <w:rPr>
          <w:rFonts w:ascii="Times New Roman" w:eastAsia="Calibri" w:hAnsi="Times New Roman"/>
          <w:sz w:val="24"/>
        </w:rPr>
        <w:t xml:space="preserve"> related </w:t>
      </w:r>
      <w:r>
        <w:rPr>
          <w:rFonts w:ascii="Times New Roman" w:eastAsia="Calibri" w:hAnsi="Times New Roman"/>
          <w:sz w:val="24"/>
        </w:rPr>
        <w:t>sets of information are</w:t>
      </w:r>
      <w:r w:rsidRPr="00E1065E">
        <w:rPr>
          <w:rFonts w:ascii="Times New Roman" w:eastAsia="Calibri" w:hAnsi="Times New Roman"/>
          <w:sz w:val="24"/>
        </w:rPr>
        <w:t xml:space="preserve"> only partially included in the current financial statements. </w:t>
      </w:r>
    </w:p>
    <w:p w14:paraId="63681216" w14:textId="77777777" w:rsidR="007518E4" w:rsidRPr="00E1065E" w:rsidRDefault="005C261A" w:rsidP="008037D9">
      <w:pPr>
        <w:pStyle w:val="ListParagraph"/>
        <w:numPr>
          <w:ilvl w:val="0"/>
          <w:numId w:val="88"/>
        </w:numPr>
        <w:autoSpaceDE w:val="0"/>
        <w:autoSpaceDN w:val="0"/>
        <w:adjustRightInd w:val="0"/>
        <w:spacing w:after="240"/>
        <w:ind w:left="0"/>
        <w:contextualSpacing w:val="0"/>
        <w:rPr>
          <w:rFonts w:ascii="Times New Roman" w:eastAsia="Calibri" w:hAnsi="Times New Roman"/>
          <w:bCs/>
          <w:color w:val="000000"/>
          <w:sz w:val="24"/>
          <w:lang w:val="en-AU" w:eastAsia="en-AU"/>
        </w:rPr>
      </w:pPr>
      <w:r w:rsidRPr="005C261A">
        <w:rPr>
          <w:rFonts w:ascii="Times New Roman" w:eastAsia="Calibri" w:hAnsi="Times New Roman"/>
          <w:b/>
          <w:bCs/>
          <w:color w:val="000000"/>
          <w:sz w:val="24"/>
          <w:lang w:val="en-AU" w:eastAsia="en-AU"/>
        </w:rPr>
        <w:t>There is no disclosure or note on differences and gaps between IPSAS and the actual accounting standards used</w:t>
      </w:r>
      <w:r w:rsidRPr="00E1065E">
        <w:rPr>
          <w:rFonts w:ascii="Times New Roman" w:eastAsia="Calibri" w:hAnsi="Times New Roman"/>
          <w:bCs/>
          <w:color w:val="000000"/>
          <w:sz w:val="24"/>
          <w:lang w:val="en-AU" w:eastAsia="en-AU"/>
        </w:rPr>
        <w:t xml:space="preserve">. </w:t>
      </w:r>
      <w:r w:rsidR="007518E4" w:rsidRPr="00E1065E">
        <w:rPr>
          <w:rFonts w:ascii="Times New Roman" w:eastAsia="Calibri" w:hAnsi="Times New Roman"/>
          <w:bCs/>
          <w:color w:val="000000"/>
          <w:sz w:val="24"/>
          <w:lang w:eastAsia="en-AU"/>
        </w:rPr>
        <w:t xml:space="preserve">As a result, </w:t>
      </w:r>
      <w:r w:rsidR="007518E4" w:rsidRPr="00E1065E">
        <w:rPr>
          <w:rFonts w:ascii="Times New Roman" w:eastAsia="Calibri" w:hAnsi="Times New Roman"/>
          <w:bCs/>
          <w:color w:val="000000"/>
          <w:sz w:val="24"/>
          <w:lang w:val="en-AU" w:eastAsia="en-AU"/>
        </w:rPr>
        <w:t>the annual financial statements are in principle prepared according to IPSAS (Stage 1 cash basis), but effectively some provisions are still missing for the government financial reports to be fully compliant with the provisions of the existing legal framework</w:t>
      </w:r>
      <w:r w:rsidR="007518E4">
        <w:rPr>
          <w:rFonts w:ascii="Times New Roman" w:eastAsia="Calibri" w:hAnsi="Times New Roman"/>
          <w:bCs/>
          <w:color w:val="000000"/>
          <w:sz w:val="24"/>
          <w:lang w:val="en-AU" w:eastAsia="en-AU"/>
        </w:rPr>
        <w:t xml:space="preserve">.  </w:t>
      </w:r>
    </w:p>
    <w:p w14:paraId="2A8AC809" w14:textId="77777777" w:rsidR="007518E4" w:rsidRDefault="007518E4" w:rsidP="008037D9">
      <w:pPr>
        <w:pStyle w:val="ListParagraph"/>
        <w:numPr>
          <w:ilvl w:val="0"/>
          <w:numId w:val="88"/>
        </w:numPr>
        <w:spacing w:after="240"/>
        <w:ind w:left="0"/>
        <w:contextualSpacing w:val="0"/>
        <w:rPr>
          <w:rFonts w:ascii="Times New Roman" w:eastAsia="ヒラギノ角ゴ Pro W3" w:hAnsi="Times New Roman"/>
          <w:color w:val="000000"/>
          <w:sz w:val="24"/>
          <w:lang w:eastAsia="en-IN"/>
        </w:rPr>
      </w:pPr>
      <w:r w:rsidRPr="005C261A">
        <w:rPr>
          <w:rFonts w:ascii="Times New Roman" w:eastAsia="ヒラギノ角ゴ Pro W3" w:hAnsi="Times New Roman"/>
          <w:b/>
          <w:color w:val="000000"/>
          <w:sz w:val="24"/>
          <w:lang w:eastAsia="en-IN"/>
        </w:rPr>
        <w:t>The accounting standards used in preparing the financial reports are not fully consistent with the current applicable legal framework on public sector accounting and not disclosed in the financial reports</w:t>
      </w:r>
      <w:r w:rsidRPr="00E1065E">
        <w:rPr>
          <w:rFonts w:ascii="Times New Roman" w:eastAsia="ヒラギノ角ゴ Pro W3" w:hAnsi="Times New Roman"/>
          <w:color w:val="000000"/>
          <w:sz w:val="24"/>
          <w:lang w:eastAsia="en-IN"/>
        </w:rPr>
        <w:t>: Score D.</w:t>
      </w:r>
    </w:p>
    <w:p w14:paraId="2928C648" w14:textId="77777777" w:rsidR="007159A1" w:rsidRDefault="00522F4F" w:rsidP="008037D9">
      <w:pPr>
        <w:pStyle w:val="ListParagraph"/>
        <w:numPr>
          <w:ilvl w:val="0"/>
          <w:numId w:val="88"/>
        </w:numPr>
        <w:spacing w:after="240"/>
        <w:ind w:left="0"/>
        <w:contextualSpacing w:val="0"/>
        <w:rPr>
          <w:rFonts w:ascii="Times New Roman" w:eastAsia="ヒラギノ角ゴ Pro W3" w:hAnsi="Times New Roman"/>
          <w:color w:val="000000"/>
          <w:sz w:val="24"/>
          <w:lang w:eastAsia="en-IN"/>
        </w:rPr>
      </w:pPr>
      <w:r>
        <w:rPr>
          <w:rFonts w:ascii="Times New Roman" w:eastAsia="ヒラギノ角ゴ Pro W3" w:hAnsi="Times New Roman"/>
          <w:color w:val="000000"/>
          <w:sz w:val="24"/>
          <w:lang w:eastAsia="en-IN"/>
        </w:rPr>
        <w:t xml:space="preserve">The </w:t>
      </w:r>
      <w:r w:rsidR="007159A1">
        <w:rPr>
          <w:rFonts w:ascii="Times New Roman" w:eastAsia="ヒラギノ角ゴ Pro W3" w:hAnsi="Times New Roman"/>
          <w:color w:val="000000"/>
          <w:sz w:val="24"/>
          <w:lang w:eastAsia="en-IN"/>
        </w:rPr>
        <w:t>steps identified</w:t>
      </w:r>
      <w:r w:rsidR="00E160A2">
        <w:rPr>
          <w:rStyle w:val="FootnoteReference"/>
          <w:rFonts w:ascii="Times New Roman" w:eastAsia="ヒラギノ角ゴ Pro W3" w:hAnsi="Times New Roman"/>
          <w:color w:val="000000"/>
          <w:sz w:val="24"/>
          <w:lang w:eastAsia="en-IN"/>
        </w:rPr>
        <w:footnoteReference w:id="52"/>
      </w:r>
      <w:r w:rsidR="007159A1">
        <w:rPr>
          <w:rFonts w:ascii="Times New Roman" w:eastAsia="ヒラギノ角ゴ Pro W3" w:hAnsi="Times New Roman"/>
          <w:color w:val="000000"/>
          <w:sz w:val="24"/>
          <w:lang w:eastAsia="en-IN"/>
        </w:rPr>
        <w:t xml:space="preserve"> to develop accounting practices compliant with the IPSAS cash are the following:</w:t>
      </w:r>
    </w:p>
    <w:p w14:paraId="1C4B76CC" w14:textId="77777777" w:rsidR="007159A1" w:rsidRPr="007159A1" w:rsidRDefault="007159A1" w:rsidP="007159A1">
      <w:pPr>
        <w:autoSpaceDE w:val="0"/>
        <w:autoSpaceDN w:val="0"/>
        <w:adjustRightInd w:val="0"/>
        <w:spacing w:before="0"/>
        <w:ind w:left="0"/>
        <w:rPr>
          <w:rFonts w:ascii="Segoe UI" w:eastAsiaTheme="minorHAnsi" w:hAnsi="Segoe UI" w:cs="Segoe UI"/>
          <w:color w:val="000000"/>
          <w:sz w:val="21"/>
          <w:szCs w:val="21"/>
          <w:lang w:val="en-MY"/>
        </w:rPr>
      </w:pPr>
    </w:p>
    <w:tbl>
      <w:tblPr>
        <w:tblStyle w:val="TableGrid"/>
        <w:tblW w:w="0" w:type="auto"/>
        <w:tblLook w:val="04A0" w:firstRow="1" w:lastRow="0" w:firstColumn="1" w:lastColumn="0" w:noHBand="0" w:noVBand="1"/>
      </w:tblPr>
      <w:tblGrid>
        <w:gridCol w:w="4508"/>
        <w:gridCol w:w="4508"/>
      </w:tblGrid>
      <w:tr w:rsidR="007159A1" w:rsidRPr="00F924A5" w14:paraId="6312B5EF" w14:textId="77777777" w:rsidTr="007159A1">
        <w:tc>
          <w:tcPr>
            <w:tcW w:w="4508" w:type="dxa"/>
          </w:tcPr>
          <w:p w14:paraId="16194442"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Identified gap</w:t>
            </w:r>
            <w:r w:rsidRPr="000E3672">
              <w:rPr>
                <w:rFonts w:eastAsia="ヒラギノ角ゴ Pro W3"/>
                <w:color w:val="000000"/>
                <w:szCs w:val="22"/>
                <w:lang w:eastAsia="en-IN"/>
              </w:rPr>
              <w:t xml:space="preserve"> and main steps for alignment to IPSAS Cash I.</w:t>
            </w:r>
          </w:p>
        </w:tc>
        <w:tc>
          <w:tcPr>
            <w:tcW w:w="4508" w:type="dxa"/>
          </w:tcPr>
          <w:p w14:paraId="625C4AC7"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Action to be implemented </w:t>
            </w:r>
          </w:p>
          <w:p w14:paraId="09AD93FB" w14:textId="77777777" w:rsidR="00E160A2" w:rsidRPr="000E3672" w:rsidRDefault="00E160A2" w:rsidP="007159A1">
            <w:pPr>
              <w:autoSpaceDE w:val="0"/>
              <w:autoSpaceDN w:val="0"/>
              <w:adjustRightInd w:val="0"/>
              <w:spacing w:before="0"/>
              <w:ind w:left="0"/>
              <w:rPr>
                <w:rFonts w:eastAsia="ヒラギノ角ゴ Pro W3"/>
                <w:color w:val="000000"/>
                <w:sz w:val="22"/>
                <w:szCs w:val="22"/>
                <w:lang w:eastAsia="en-IN"/>
              </w:rPr>
            </w:pPr>
          </w:p>
        </w:tc>
      </w:tr>
      <w:tr w:rsidR="007159A1" w:rsidRPr="00F924A5" w14:paraId="13ADE530" w14:textId="77777777" w:rsidTr="007159A1">
        <w:tc>
          <w:tcPr>
            <w:tcW w:w="4508" w:type="dxa"/>
          </w:tcPr>
          <w:p w14:paraId="5FDA830A"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Step1</w:t>
            </w:r>
            <w:r w:rsidRPr="000E3672">
              <w:rPr>
                <w:rFonts w:eastAsia="ヒラギノ角ゴ Pro W3"/>
                <w:color w:val="000000"/>
                <w:szCs w:val="22"/>
                <w:lang w:eastAsia="en-IN"/>
              </w:rPr>
              <w:t xml:space="preserve"> - </w:t>
            </w:r>
            <w:r w:rsidRPr="000E3672">
              <w:rPr>
                <w:rFonts w:eastAsia="ヒラギノ角ゴ Pro W3"/>
                <w:color w:val="000000"/>
                <w:sz w:val="22"/>
                <w:szCs w:val="22"/>
                <w:lang w:eastAsia="en-IN"/>
              </w:rPr>
              <w:t xml:space="preserve">Clarity of entities to be consolidated </w:t>
            </w:r>
          </w:p>
          <w:p w14:paraId="5CE20214" w14:textId="77777777" w:rsidR="007159A1" w:rsidRPr="000E3672" w:rsidRDefault="007159A1" w:rsidP="007159A1">
            <w:pPr>
              <w:autoSpaceDE w:val="0"/>
              <w:autoSpaceDN w:val="0"/>
              <w:adjustRightInd w:val="0"/>
              <w:spacing w:before="0"/>
              <w:ind w:left="0"/>
              <w:rPr>
                <w:rFonts w:eastAsia="ヒラギノ角ゴ Pro W3"/>
                <w:color w:val="000000"/>
                <w:sz w:val="22"/>
                <w:szCs w:val="22"/>
                <w:lang w:eastAsia="en-IN"/>
              </w:rPr>
            </w:pPr>
          </w:p>
        </w:tc>
        <w:tc>
          <w:tcPr>
            <w:tcW w:w="4508" w:type="dxa"/>
          </w:tcPr>
          <w:p w14:paraId="6576A53C"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Ensure comprehensive list of all entities to be included in the financial statements (proposing that at this stage this will not include SOEs) </w:t>
            </w:r>
          </w:p>
        </w:tc>
      </w:tr>
      <w:tr w:rsidR="007159A1" w:rsidRPr="00F924A5" w14:paraId="3AF04B7B" w14:textId="77777777" w:rsidTr="007159A1">
        <w:tc>
          <w:tcPr>
            <w:tcW w:w="4508" w:type="dxa"/>
          </w:tcPr>
          <w:p w14:paraId="113E159E"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Step 2- Inclusion of all relevant transactions, third-party payments, inclusion of all bank accounts </w:t>
            </w:r>
          </w:p>
          <w:p w14:paraId="15D00433" w14:textId="77777777" w:rsidR="007159A1" w:rsidRPr="000E3672" w:rsidRDefault="007159A1" w:rsidP="007159A1">
            <w:pPr>
              <w:autoSpaceDE w:val="0"/>
              <w:autoSpaceDN w:val="0"/>
              <w:adjustRightInd w:val="0"/>
              <w:spacing w:before="0"/>
              <w:ind w:left="0"/>
              <w:rPr>
                <w:rFonts w:eastAsia="ヒラギノ角ゴ Pro W3"/>
                <w:color w:val="000000"/>
                <w:sz w:val="22"/>
                <w:szCs w:val="22"/>
                <w:lang w:eastAsia="en-IN"/>
              </w:rPr>
            </w:pPr>
          </w:p>
        </w:tc>
        <w:tc>
          <w:tcPr>
            <w:tcW w:w="4508" w:type="dxa"/>
          </w:tcPr>
          <w:p w14:paraId="683DDC09"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 All receipts, including on budget, off budget and external assistance </w:t>
            </w:r>
          </w:p>
          <w:p w14:paraId="282F385C"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 All payments, including advances and prepayments and any funded by external assistance </w:t>
            </w:r>
          </w:p>
          <w:p w14:paraId="3691FB43" w14:textId="77777777" w:rsidR="007159A1" w:rsidRPr="000E3672" w:rsidRDefault="00310D44" w:rsidP="007159A1">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 All third-party payments made on behalf of the government of Lao PDR e.g. via external assistance </w:t>
            </w:r>
          </w:p>
          <w:p w14:paraId="19610B04" w14:textId="77777777" w:rsidR="00E160A2" w:rsidRPr="000E3672" w:rsidRDefault="00310D44" w:rsidP="00E160A2">
            <w:pPr>
              <w:autoSpaceDE w:val="0"/>
              <w:autoSpaceDN w:val="0"/>
              <w:adjustRightInd w:val="0"/>
              <w:spacing w:before="0"/>
              <w:ind w:left="0"/>
              <w:rPr>
                <w:rFonts w:eastAsia="ヒラギノ角ゴ Pro W3"/>
                <w:color w:val="000000"/>
                <w:sz w:val="22"/>
                <w:szCs w:val="22"/>
                <w:lang w:eastAsia="en-IN"/>
              </w:rPr>
            </w:pPr>
            <w:r w:rsidRPr="000E3672">
              <w:rPr>
                <w:rFonts w:eastAsia="ヒラギノ角ゴ Pro W3"/>
                <w:color w:val="000000"/>
                <w:sz w:val="22"/>
                <w:szCs w:val="22"/>
                <w:lang w:eastAsia="en-IN"/>
              </w:rPr>
              <w:t xml:space="preserve">- All bank balances including commercial and project bank account </w:t>
            </w:r>
          </w:p>
        </w:tc>
      </w:tr>
      <w:tr w:rsidR="007159A1" w:rsidRPr="00F924A5" w14:paraId="0A0A01CB" w14:textId="77777777" w:rsidTr="007159A1">
        <w:tc>
          <w:tcPr>
            <w:tcW w:w="4508" w:type="dxa"/>
          </w:tcPr>
          <w:p w14:paraId="2F8C7BE9" w14:textId="77777777" w:rsidR="00D737E9" w:rsidRPr="000E3672" w:rsidRDefault="00310D44">
            <w:pPr>
              <w:autoSpaceDE w:val="0"/>
              <w:autoSpaceDN w:val="0"/>
              <w:adjustRightInd w:val="0"/>
              <w:spacing w:before="0"/>
              <w:ind w:left="0"/>
              <w:rPr>
                <w:rFonts w:eastAsia="ヒラギノ角ゴ Pro W3"/>
                <w:sz w:val="22"/>
                <w:szCs w:val="22"/>
                <w:lang w:eastAsia="en-IN"/>
              </w:rPr>
            </w:pPr>
            <w:r w:rsidRPr="000E3672">
              <w:rPr>
                <w:rFonts w:eastAsia="ヒラギノ角ゴ Pro W3"/>
                <w:color w:val="000000"/>
                <w:sz w:val="22"/>
                <w:szCs w:val="22"/>
                <w:lang w:eastAsia="en-IN"/>
              </w:rPr>
              <w:t xml:space="preserve">Step 3 - </w:t>
            </w:r>
            <w:r w:rsidRPr="000E3672">
              <w:rPr>
                <w:rFonts w:eastAsia="ヒラギノ角ゴ Pro W3"/>
                <w:sz w:val="22"/>
                <w:szCs w:val="22"/>
                <w:lang w:eastAsia="en-IN"/>
              </w:rPr>
              <w:t xml:space="preserve">Clarification of budget disclosures </w:t>
            </w:r>
          </w:p>
          <w:p w14:paraId="3B7A6566" w14:textId="77777777" w:rsidR="007159A1" w:rsidRPr="000E3672" w:rsidRDefault="007159A1" w:rsidP="007159A1">
            <w:pPr>
              <w:autoSpaceDE w:val="0"/>
              <w:autoSpaceDN w:val="0"/>
              <w:adjustRightInd w:val="0"/>
              <w:spacing w:before="0"/>
              <w:ind w:left="0"/>
              <w:rPr>
                <w:rFonts w:eastAsia="ヒラギノ角ゴ Pro W3"/>
                <w:color w:val="000000"/>
                <w:sz w:val="22"/>
                <w:szCs w:val="22"/>
                <w:lang w:eastAsia="en-IN"/>
              </w:rPr>
            </w:pPr>
          </w:p>
        </w:tc>
        <w:tc>
          <w:tcPr>
            <w:tcW w:w="4508" w:type="dxa"/>
          </w:tcPr>
          <w:p w14:paraId="6190C608" w14:textId="77777777" w:rsidR="00D737E9" w:rsidRPr="000E3672" w:rsidRDefault="00310D44">
            <w:pPr>
              <w:pStyle w:val="Default"/>
              <w:spacing w:before="0"/>
              <w:ind w:left="-3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 xml:space="preserve">Provide original and final budget amounts in a format that is compatible with the classification structure chosen: develop disclosure notes that analyze significant differences between original and final budgets and all major variances </w:t>
            </w:r>
          </w:p>
        </w:tc>
      </w:tr>
      <w:tr w:rsidR="007159A1" w:rsidRPr="00F924A5" w14:paraId="64CBF251" w14:textId="77777777" w:rsidTr="007159A1">
        <w:tc>
          <w:tcPr>
            <w:tcW w:w="4508" w:type="dxa"/>
          </w:tcPr>
          <w:p w14:paraId="3CF376E7" w14:textId="77777777" w:rsidR="00D737E9" w:rsidRPr="000E3672" w:rsidRDefault="00E160A2">
            <w:pPr>
              <w:pStyle w:val="Default"/>
              <w:spacing w:before="0"/>
              <w:ind w:left="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 xml:space="preserve">Step 4 - </w:t>
            </w:r>
            <w:r w:rsidR="00310D44" w:rsidRPr="000E3672">
              <w:rPr>
                <w:rFonts w:ascii="Times New Roman" w:eastAsia="ヒラギノ角ゴ Pro W3" w:hAnsi="Times New Roman" w:cs="Times New Roman"/>
                <w:sz w:val="22"/>
                <w:szCs w:val="22"/>
                <w:lang w:eastAsia="en-IN"/>
              </w:rPr>
              <w:t xml:space="preserve">Need for policy clarification </w:t>
            </w:r>
          </w:p>
          <w:p w14:paraId="6325518F" w14:textId="77777777" w:rsidR="007159A1" w:rsidRPr="000E3672" w:rsidRDefault="007159A1" w:rsidP="007159A1">
            <w:pPr>
              <w:autoSpaceDE w:val="0"/>
              <w:autoSpaceDN w:val="0"/>
              <w:adjustRightInd w:val="0"/>
              <w:spacing w:before="0"/>
              <w:ind w:left="0"/>
              <w:rPr>
                <w:rFonts w:eastAsia="ヒラギノ角ゴ Pro W3"/>
                <w:color w:val="000000"/>
                <w:sz w:val="22"/>
                <w:szCs w:val="22"/>
                <w:lang w:eastAsia="en-IN"/>
              </w:rPr>
            </w:pPr>
          </w:p>
        </w:tc>
        <w:tc>
          <w:tcPr>
            <w:tcW w:w="4508" w:type="dxa"/>
          </w:tcPr>
          <w:p w14:paraId="29B6CC64" w14:textId="77777777" w:rsidR="00D737E9" w:rsidRPr="000E3672" w:rsidRDefault="00310D44">
            <w:pPr>
              <w:pStyle w:val="Default"/>
              <w:spacing w:before="0"/>
              <w:ind w:left="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 xml:space="preserve">Develop and publish specific policies on; the classification structure to be used in the financial statements; any additional disclosures to be added to those mandatorily required; the treatment of Technical Assistance in the financial statements </w:t>
            </w:r>
          </w:p>
        </w:tc>
      </w:tr>
      <w:tr w:rsidR="007159A1" w:rsidRPr="00F924A5" w14:paraId="77528A62" w14:textId="77777777" w:rsidTr="007159A1">
        <w:tc>
          <w:tcPr>
            <w:tcW w:w="4508" w:type="dxa"/>
          </w:tcPr>
          <w:p w14:paraId="7F1BED08" w14:textId="77777777" w:rsidR="00D737E9" w:rsidRPr="000E3672" w:rsidRDefault="00E160A2">
            <w:pPr>
              <w:pStyle w:val="Default"/>
              <w:spacing w:before="0"/>
              <w:ind w:left="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Step 5 - N</w:t>
            </w:r>
            <w:r w:rsidR="00310D44" w:rsidRPr="000E3672">
              <w:rPr>
                <w:rFonts w:ascii="Times New Roman" w:eastAsia="ヒラギノ角ゴ Pro W3" w:hAnsi="Times New Roman" w:cs="Times New Roman"/>
                <w:sz w:val="22"/>
                <w:szCs w:val="22"/>
                <w:lang w:eastAsia="en-IN"/>
              </w:rPr>
              <w:t xml:space="preserve">eed for a mechanism to ensure all relevant disclosures are included </w:t>
            </w:r>
          </w:p>
          <w:p w14:paraId="6D61436A" w14:textId="77777777" w:rsidR="00D737E9" w:rsidRPr="000E3672" w:rsidRDefault="00D737E9">
            <w:pPr>
              <w:pStyle w:val="Default"/>
              <w:spacing w:before="0"/>
              <w:ind w:left="0"/>
              <w:rPr>
                <w:rFonts w:ascii="Times New Roman" w:eastAsia="ヒラギノ角ゴ Pro W3" w:hAnsi="Times New Roman" w:cs="Times New Roman"/>
                <w:sz w:val="22"/>
                <w:szCs w:val="22"/>
                <w:lang w:eastAsia="en-IN"/>
              </w:rPr>
            </w:pPr>
          </w:p>
        </w:tc>
        <w:tc>
          <w:tcPr>
            <w:tcW w:w="4508" w:type="dxa"/>
          </w:tcPr>
          <w:p w14:paraId="47642EEC" w14:textId="77777777" w:rsidR="00D737E9" w:rsidRPr="000E3672" w:rsidRDefault="00310D44">
            <w:pPr>
              <w:pStyle w:val="Default"/>
              <w:spacing w:before="0"/>
              <w:ind w:left="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 xml:space="preserve">Develop comprehensive disclosure checklist </w:t>
            </w:r>
          </w:p>
          <w:p w14:paraId="6968DF7C" w14:textId="77777777" w:rsidR="00D737E9" w:rsidRPr="000E3672" w:rsidRDefault="00D737E9">
            <w:pPr>
              <w:autoSpaceDE w:val="0"/>
              <w:autoSpaceDN w:val="0"/>
              <w:adjustRightInd w:val="0"/>
              <w:spacing w:before="0"/>
              <w:ind w:left="0"/>
              <w:rPr>
                <w:rFonts w:eastAsia="ヒラギノ角ゴ Pro W3"/>
                <w:color w:val="000000"/>
                <w:sz w:val="22"/>
                <w:szCs w:val="22"/>
                <w:lang w:eastAsia="en-IN"/>
              </w:rPr>
            </w:pPr>
          </w:p>
        </w:tc>
      </w:tr>
      <w:tr w:rsidR="007159A1" w:rsidRPr="00F924A5" w14:paraId="6987DEC3" w14:textId="77777777" w:rsidTr="007159A1">
        <w:tc>
          <w:tcPr>
            <w:tcW w:w="4508" w:type="dxa"/>
          </w:tcPr>
          <w:p w14:paraId="3493D8D9" w14:textId="77777777" w:rsidR="00D737E9" w:rsidRPr="000E3672" w:rsidRDefault="00E160A2">
            <w:pPr>
              <w:pStyle w:val="Default"/>
              <w:spacing w:before="0"/>
              <w:ind w:left="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 xml:space="preserve">Step 6 - </w:t>
            </w:r>
            <w:r w:rsidR="00310D44" w:rsidRPr="000E3672">
              <w:rPr>
                <w:rFonts w:ascii="Times New Roman" w:eastAsia="ヒラギノ角ゴ Pro W3" w:hAnsi="Times New Roman" w:cs="Times New Roman"/>
                <w:sz w:val="22"/>
                <w:szCs w:val="22"/>
                <w:lang w:eastAsia="en-IN"/>
              </w:rPr>
              <w:t xml:space="preserve">Inclusion of all relevant transactions </w:t>
            </w:r>
          </w:p>
          <w:p w14:paraId="26F2D16E" w14:textId="77777777" w:rsidR="00D737E9" w:rsidRPr="000E3672" w:rsidRDefault="00D737E9">
            <w:pPr>
              <w:pStyle w:val="Default"/>
              <w:spacing w:before="0"/>
              <w:ind w:left="0"/>
              <w:rPr>
                <w:rFonts w:ascii="Times New Roman" w:eastAsia="ヒラギノ角ゴ Pro W3" w:hAnsi="Times New Roman" w:cs="Times New Roman"/>
                <w:sz w:val="22"/>
                <w:szCs w:val="22"/>
                <w:lang w:eastAsia="en-IN"/>
              </w:rPr>
            </w:pPr>
          </w:p>
        </w:tc>
        <w:tc>
          <w:tcPr>
            <w:tcW w:w="4508" w:type="dxa"/>
          </w:tcPr>
          <w:p w14:paraId="4C591F35" w14:textId="77777777" w:rsidR="00D737E9" w:rsidRPr="000E3672" w:rsidRDefault="00310D44">
            <w:pPr>
              <w:pStyle w:val="Default"/>
              <w:spacing w:before="0"/>
              <w:ind w:left="0"/>
              <w:rPr>
                <w:rFonts w:ascii="Times New Roman" w:eastAsia="ヒラギノ角ゴ Pro W3" w:hAnsi="Times New Roman" w:cs="Times New Roman"/>
                <w:sz w:val="22"/>
                <w:szCs w:val="22"/>
                <w:lang w:eastAsia="en-IN"/>
              </w:rPr>
            </w:pPr>
            <w:r w:rsidRPr="000E3672">
              <w:rPr>
                <w:rFonts w:ascii="Times New Roman" w:eastAsia="ヒラギノ角ゴ Pro W3" w:hAnsi="Times New Roman" w:cs="Times New Roman"/>
                <w:sz w:val="22"/>
                <w:szCs w:val="22"/>
                <w:lang w:eastAsia="en-IN"/>
              </w:rPr>
              <w:t xml:space="preserve">Develop data collection templates in ‘IPSAS Cash’ format for sub-national levels </w:t>
            </w:r>
          </w:p>
          <w:p w14:paraId="120F2194" w14:textId="77777777" w:rsidR="00D737E9" w:rsidRPr="000E3672" w:rsidRDefault="00D737E9">
            <w:pPr>
              <w:autoSpaceDE w:val="0"/>
              <w:autoSpaceDN w:val="0"/>
              <w:adjustRightInd w:val="0"/>
              <w:spacing w:before="0"/>
              <w:ind w:left="0"/>
              <w:rPr>
                <w:rFonts w:eastAsia="ヒラギノ角ゴ Pro W3"/>
                <w:color w:val="000000"/>
                <w:sz w:val="22"/>
                <w:szCs w:val="22"/>
                <w:lang w:eastAsia="en-IN"/>
              </w:rPr>
            </w:pPr>
          </w:p>
        </w:tc>
      </w:tr>
    </w:tbl>
    <w:p w14:paraId="1C79E14B" w14:textId="77777777" w:rsidR="007518E4" w:rsidRPr="00F924A5" w:rsidRDefault="00310D44" w:rsidP="007518E4">
      <w:pPr>
        <w:ind w:left="357"/>
        <w:jc w:val="left"/>
        <w:rPr>
          <w:rFonts w:ascii="Times New Roman" w:eastAsia="ヒラギノ角ゴ Pro W3" w:hAnsi="Times New Roman"/>
          <w:color w:val="000000"/>
          <w:spacing w:val="-4"/>
          <w:szCs w:val="22"/>
          <w:lang w:eastAsia="en-IN"/>
        </w:rPr>
      </w:pPr>
      <w:r w:rsidRPr="00310D44">
        <w:rPr>
          <w:rFonts w:ascii="Times New Roman" w:eastAsia="ヒラギノ角ゴ Pro W3" w:hAnsi="Times New Roman"/>
          <w:color w:val="000000"/>
          <w:szCs w:val="22"/>
          <w:lang w:eastAsia="en-IN"/>
        </w:rPr>
        <w:br w:type="page"/>
      </w:r>
    </w:p>
    <w:p w14:paraId="0AC4B6CB" w14:textId="77777777" w:rsidR="007518E4" w:rsidRPr="00904D51" w:rsidRDefault="007518E4" w:rsidP="00E12685">
      <w:pPr>
        <w:pStyle w:val="Heading1"/>
        <w:ind w:left="0"/>
        <w:jc w:val="left"/>
        <w:rPr>
          <w:rFonts w:ascii="Times New Roman" w:hAnsi="Times New Roman"/>
          <w:color w:val="B64485"/>
        </w:rPr>
      </w:pPr>
      <w:bookmarkStart w:id="106" w:name="_Toc518901816"/>
      <w:bookmarkStart w:id="107" w:name="_Toc4149011"/>
      <w:r w:rsidRPr="00904D51">
        <w:rPr>
          <w:rFonts w:ascii="Times New Roman" w:hAnsi="Times New Roman"/>
          <w:b/>
          <w:color w:val="B64485"/>
        </w:rPr>
        <w:lastRenderedPageBreak/>
        <w:t>PILLAR</w:t>
      </w:r>
      <w:r w:rsidRPr="00E12685">
        <w:rPr>
          <w:rFonts w:ascii="Times New Roman" w:hAnsi="Times New Roman"/>
          <w:b/>
          <w:color w:val="B64485"/>
        </w:rPr>
        <w:t xml:space="preserve"> SEVEN: External Scrutiny and Audit</w:t>
      </w:r>
      <w:bookmarkEnd w:id="106"/>
      <w:bookmarkEnd w:id="107"/>
    </w:p>
    <w:p w14:paraId="37A5343B" w14:textId="77777777" w:rsidR="007518E4" w:rsidRDefault="007518E4" w:rsidP="005C261A">
      <w:pPr>
        <w:pStyle w:val="Heading3"/>
        <w:keepNext w:val="0"/>
        <w:widowControl w:val="0"/>
        <w:spacing w:after="240"/>
        <w:ind w:left="0"/>
        <w:rPr>
          <w:rFonts w:ascii="Times New Roman" w:eastAsia="Calibri" w:hAnsi="Times New Roman"/>
          <w:b w:val="0"/>
          <w:bCs w:val="0"/>
          <w:color w:val="B34384"/>
          <w:spacing w:val="-1"/>
          <w:szCs w:val="28"/>
        </w:rPr>
      </w:pPr>
      <w:bookmarkStart w:id="108" w:name="_Toc518901817"/>
      <w:bookmarkStart w:id="109" w:name="_Toc4149012"/>
      <w:r w:rsidRPr="00FE6ED4">
        <w:rPr>
          <w:rFonts w:ascii="Times New Roman" w:eastAsia="Calibri" w:hAnsi="Times New Roman"/>
          <w:color w:val="B34384"/>
          <w:spacing w:val="-1"/>
          <w:szCs w:val="28"/>
        </w:rPr>
        <w:t xml:space="preserve">PI-30. </w:t>
      </w:r>
      <w:r w:rsidRPr="002F5ADE">
        <w:rPr>
          <w:rFonts w:ascii="Times New Roman" w:eastAsia="Calibri" w:hAnsi="Times New Roman"/>
          <w:color w:val="B64485"/>
          <w:spacing w:val="-1"/>
          <w:szCs w:val="28"/>
        </w:rPr>
        <w:t>External</w:t>
      </w:r>
      <w:r w:rsidRPr="00FE6ED4">
        <w:rPr>
          <w:rFonts w:ascii="Times New Roman" w:eastAsia="Calibri" w:hAnsi="Times New Roman"/>
          <w:color w:val="B34384"/>
          <w:spacing w:val="-1"/>
          <w:szCs w:val="28"/>
        </w:rPr>
        <w:t xml:space="preserve"> </w:t>
      </w:r>
      <w:r>
        <w:rPr>
          <w:rFonts w:ascii="Times New Roman" w:eastAsia="Calibri" w:hAnsi="Times New Roman"/>
          <w:color w:val="B34384"/>
          <w:spacing w:val="-1"/>
          <w:szCs w:val="28"/>
        </w:rPr>
        <w:t>a</w:t>
      </w:r>
      <w:r w:rsidRPr="00FE6ED4">
        <w:rPr>
          <w:rFonts w:ascii="Times New Roman" w:eastAsia="Calibri" w:hAnsi="Times New Roman"/>
          <w:color w:val="B34384"/>
          <w:spacing w:val="-1"/>
          <w:szCs w:val="28"/>
        </w:rPr>
        <w:t>udit</w:t>
      </w:r>
      <w:bookmarkEnd w:id="108"/>
      <w:bookmarkEnd w:id="109"/>
    </w:p>
    <w:p w14:paraId="57D194E6" w14:textId="77777777" w:rsidR="007518E4" w:rsidRPr="00C66180" w:rsidRDefault="007518E4" w:rsidP="008037D9">
      <w:pPr>
        <w:pStyle w:val="ListParagraph"/>
        <w:numPr>
          <w:ilvl w:val="0"/>
          <w:numId w:val="88"/>
        </w:numPr>
        <w:autoSpaceDE w:val="0"/>
        <w:autoSpaceDN w:val="0"/>
        <w:adjustRightInd w:val="0"/>
        <w:spacing w:after="240"/>
        <w:ind w:left="0"/>
        <w:contextualSpacing w:val="0"/>
        <w:rPr>
          <w:rFonts w:ascii="Times New Roman" w:hAnsi="Times New Roman"/>
          <w:sz w:val="24"/>
        </w:rPr>
      </w:pPr>
      <w:r w:rsidRPr="005C261A">
        <w:rPr>
          <w:rFonts w:ascii="Times New Roman" w:hAnsi="Times New Roman"/>
          <w:b/>
          <w:sz w:val="24"/>
        </w:rPr>
        <w:t>Reliable and extensive external audit is an essential requirement for ensuring accountability and creating transparency in the use of public funds.</w:t>
      </w:r>
      <w:r w:rsidRPr="00C66180">
        <w:rPr>
          <w:rFonts w:ascii="Times New Roman" w:hAnsi="Times New Roman"/>
          <w:sz w:val="24"/>
        </w:rPr>
        <w:t xml:space="preserve"> This indicator examines the characteristics of external audit focusing on independence of external audit function and on the audit of government’s annual financial reports. The institutional coverage includes constitutional provisions, other legal provisions and audit reports on the financial reports of all Central Government entities for the last three fiscal years i.e. audit reports for the years 2013/2014, 2014/15, 2015/16 and 17 (if available), except for dimension 30.4 which is assessed at the time of assessment (August 2018).</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7"/>
        <w:gridCol w:w="1271"/>
        <w:gridCol w:w="4846"/>
      </w:tblGrid>
      <w:tr w:rsidR="007518E4" w:rsidRPr="00A6135C" w14:paraId="601A2200" w14:textId="77777777" w:rsidTr="00D94B19">
        <w:trPr>
          <w:trHeight w:val="397"/>
          <w:jc w:val="center"/>
        </w:trPr>
        <w:tc>
          <w:tcPr>
            <w:tcW w:w="15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4A10C0" w14:textId="77777777" w:rsidR="007518E4" w:rsidRPr="00C66180" w:rsidRDefault="007518E4" w:rsidP="00D94B19">
            <w:pPr>
              <w:spacing w:before="0"/>
              <w:ind w:hanging="467"/>
              <w:jc w:val="center"/>
              <w:rPr>
                <w:rFonts w:ascii="Times New Roman" w:hAnsi="Times New Roman"/>
              </w:rPr>
            </w:pPr>
            <w:r w:rsidRPr="00C66180">
              <w:rPr>
                <w:rFonts w:ascii="Times New Roman" w:hAnsi="Times New Roman"/>
              </w:rPr>
              <w:t>Indicator/Dimension</w:t>
            </w:r>
          </w:p>
        </w:tc>
        <w:tc>
          <w:tcPr>
            <w:tcW w:w="7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715D62" w14:textId="77777777" w:rsidR="007518E4" w:rsidRPr="00C66180" w:rsidRDefault="007518E4" w:rsidP="005C261A">
            <w:pPr>
              <w:spacing w:before="0"/>
              <w:ind w:left="0"/>
              <w:jc w:val="center"/>
              <w:rPr>
                <w:rFonts w:ascii="Times New Roman" w:hAnsi="Times New Roman"/>
              </w:rPr>
            </w:pPr>
            <w:r w:rsidRPr="00C66180">
              <w:rPr>
                <w:rFonts w:ascii="Times New Roman" w:hAnsi="Times New Roman"/>
              </w:rPr>
              <w:t>Score</w:t>
            </w:r>
          </w:p>
        </w:tc>
        <w:tc>
          <w:tcPr>
            <w:tcW w:w="27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1844F5" w14:textId="77777777" w:rsidR="007518E4" w:rsidRPr="00C66180" w:rsidRDefault="007518E4" w:rsidP="00D94B19">
            <w:pPr>
              <w:spacing w:before="0"/>
              <w:ind w:hanging="539"/>
              <w:jc w:val="center"/>
              <w:rPr>
                <w:rFonts w:ascii="Times New Roman" w:hAnsi="Times New Roman"/>
              </w:rPr>
            </w:pPr>
            <w:r w:rsidRPr="00C66180">
              <w:rPr>
                <w:rFonts w:ascii="Times New Roman" w:hAnsi="Times New Roman"/>
              </w:rPr>
              <w:t>Brief Explanation</w:t>
            </w:r>
          </w:p>
        </w:tc>
      </w:tr>
      <w:tr w:rsidR="007518E4" w:rsidRPr="00A6135C" w14:paraId="64523888" w14:textId="77777777" w:rsidTr="00D94B19">
        <w:trPr>
          <w:trHeight w:val="700"/>
          <w:jc w:val="center"/>
        </w:trPr>
        <w:tc>
          <w:tcPr>
            <w:tcW w:w="1530" w:type="pct"/>
            <w:tcBorders>
              <w:top w:val="single" w:sz="4" w:space="0" w:color="auto"/>
              <w:left w:val="single" w:sz="4" w:space="0" w:color="auto"/>
              <w:bottom w:val="single" w:sz="4" w:space="0" w:color="auto"/>
              <w:right w:val="single" w:sz="4" w:space="0" w:color="auto"/>
            </w:tcBorders>
            <w:vAlign w:val="center"/>
            <w:hideMark/>
          </w:tcPr>
          <w:p w14:paraId="65974046" w14:textId="77777777" w:rsidR="007518E4" w:rsidRPr="00C66180" w:rsidRDefault="007518E4" w:rsidP="005C261A">
            <w:pPr>
              <w:spacing w:before="0"/>
              <w:ind w:left="0"/>
              <w:rPr>
                <w:rFonts w:ascii="Times New Roman" w:hAnsi="Times New Roman"/>
              </w:rPr>
            </w:pPr>
            <w:r w:rsidRPr="00C66180">
              <w:rPr>
                <w:rFonts w:ascii="Times New Roman" w:hAnsi="Times New Roman"/>
                <w:bCs/>
              </w:rPr>
              <w:t xml:space="preserve">PI-30 External Audit </w:t>
            </w:r>
          </w:p>
        </w:tc>
        <w:tc>
          <w:tcPr>
            <w:tcW w:w="721" w:type="pct"/>
            <w:tcBorders>
              <w:top w:val="single" w:sz="4" w:space="0" w:color="auto"/>
              <w:left w:val="single" w:sz="4" w:space="0" w:color="auto"/>
              <w:bottom w:val="single" w:sz="4" w:space="0" w:color="auto"/>
              <w:right w:val="single" w:sz="4" w:space="0" w:color="auto"/>
            </w:tcBorders>
            <w:vAlign w:val="center"/>
          </w:tcPr>
          <w:p w14:paraId="7689BB4E" w14:textId="77777777" w:rsidR="007518E4" w:rsidRPr="00C66180" w:rsidRDefault="007518E4" w:rsidP="005C261A">
            <w:pPr>
              <w:spacing w:before="0"/>
              <w:ind w:left="0"/>
              <w:jc w:val="center"/>
              <w:rPr>
                <w:rFonts w:ascii="Times New Roman" w:hAnsi="Times New Roman"/>
              </w:rPr>
            </w:pPr>
            <w:r w:rsidRPr="00C66180">
              <w:rPr>
                <w:rFonts w:ascii="Times New Roman" w:hAnsi="Times New Roman"/>
              </w:rPr>
              <w:t>D+</w:t>
            </w:r>
          </w:p>
        </w:tc>
        <w:tc>
          <w:tcPr>
            <w:tcW w:w="2750" w:type="pct"/>
            <w:tcBorders>
              <w:top w:val="single" w:sz="4" w:space="0" w:color="auto"/>
              <w:left w:val="single" w:sz="4" w:space="0" w:color="auto"/>
              <w:bottom w:val="single" w:sz="4" w:space="0" w:color="auto"/>
              <w:right w:val="single" w:sz="4" w:space="0" w:color="auto"/>
            </w:tcBorders>
            <w:vAlign w:val="center"/>
            <w:hideMark/>
          </w:tcPr>
          <w:p w14:paraId="1CE3A589" w14:textId="77777777" w:rsidR="007518E4" w:rsidRPr="00C66180" w:rsidRDefault="007518E4" w:rsidP="005C261A">
            <w:pPr>
              <w:spacing w:before="0"/>
              <w:ind w:left="0"/>
              <w:rPr>
                <w:rFonts w:ascii="Times New Roman" w:hAnsi="Times New Roman"/>
              </w:rPr>
            </w:pPr>
            <w:r w:rsidRPr="00C66180">
              <w:rPr>
                <w:rFonts w:ascii="Times New Roman" w:eastAsia="Calibri" w:hAnsi="Times New Roman"/>
              </w:rPr>
              <w:t>Dimension scores combined by Method M1 (weakest link)</w:t>
            </w:r>
          </w:p>
        </w:tc>
      </w:tr>
      <w:tr w:rsidR="007518E4" w:rsidRPr="00A6135C" w14:paraId="65A1BFA5" w14:textId="77777777" w:rsidTr="00D94B19">
        <w:trPr>
          <w:trHeight w:val="530"/>
          <w:jc w:val="center"/>
        </w:trPr>
        <w:tc>
          <w:tcPr>
            <w:tcW w:w="1530" w:type="pct"/>
            <w:tcBorders>
              <w:top w:val="single" w:sz="4" w:space="0" w:color="auto"/>
              <w:left w:val="single" w:sz="4" w:space="0" w:color="auto"/>
              <w:bottom w:val="single" w:sz="4" w:space="0" w:color="auto"/>
              <w:right w:val="single" w:sz="4" w:space="0" w:color="auto"/>
            </w:tcBorders>
            <w:vAlign w:val="center"/>
            <w:hideMark/>
          </w:tcPr>
          <w:p w14:paraId="414FA959" w14:textId="77777777" w:rsidR="007518E4" w:rsidRPr="00C66180" w:rsidRDefault="007518E4" w:rsidP="00E91C03">
            <w:pPr>
              <w:spacing w:before="0"/>
              <w:ind w:left="0"/>
              <w:jc w:val="left"/>
              <w:rPr>
                <w:rFonts w:ascii="Times New Roman" w:hAnsi="Times New Roman"/>
              </w:rPr>
            </w:pPr>
            <w:r w:rsidRPr="00C66180">
              <w:rPr>
                <w:rFonts w:ascii="Times New Roman" w:hAnsi="Times New Roman"/>
              </w:rPr>
              <w:t xml:space="preserve">30.1 Audit </w:t>
            </w:r>
            <w:r w:rsidRPr="00C66180">
              <w:rPr>
                <w:rFonts w:ascii="Times New Roman" w:hAnsi="Times New Roman"/>
                <w:bCs/>
                <w:color w:val="000000"/>
              </w:rPr>
              <w:t>coverage and standards</w:t>
            </w:r>
          </w:p>
        </w:tc>
        <w:tc>
          <w:tcPr>
            <w:tcW w:w="721" w:type="pct"/>
            <w:tcBorders>
              <w:top w:val="single" w:sz="4" w:space="0" w:color="auto"/>
              <w:left w:val="single" w:sz="4" w:space="0" w:color="auto"/>
              <w:bottom w:val="single" w:sz="4" w:space="0" w:color="auto"/>
              <w:right w:val="single" w:sz="4" w:space="0" w:color="auto"/>
            </w:tcBorders>
            <w:vAlign w:val="center"/>
          </w:tcPr>
          <w:p w14:paraId="2820A369" w14:textId="77777777" w:rsidR="007518E4" w:rsidRPr="00C66180" w:rsidRDefault="007518E4" w:rsidP="005C261A">
            <w:pPr>
              <w:spacing w:before="0"/>
              <w:ind w:left="0"/>
              <w:jc w:val="center"/>
              <w:rPr>
                <w:rFonts w:ascii="Times New Roman" w:hAnsi="Times New Roman"/>
              </w:rPr>
            </w:pPr>
            <w:r w:rsidRPr="00C66180">
              <w:rPr>
                <w:rFonts w:ascii="Times New Roman" w:hAnsi="Times New Roman"/>
              </w:rPr>
              <w:t>D</w:t>
            </w:r>
          </w:p>
        </w:tc>
        <w:tc>
          <w:tcPr>
            <w:tcW w:w="2750" w:type="pct"/>
            <w:tcBorders>
              <w:top w:val="single" w:sz="4" w:space="0" w:color="auto"/>
              <w:left w:val="single" w:sz="4" w:space="0" w:color="auto"/>
              <w:bottom w:val="single" w:sz="4" w:space="0" w:color="auto"/>
              <w:right w:val="single" w:sz="4" w:space="0" w:color="auto"/>
            </w:tcBorders>
            <w:vAlign w:val="center"/>
          </w:tcPr>
          <w:p w14:paraId="0729B217" w14:textId="77777777" w:rsidR="007518E4" w:rsidRPr="00C66180" w:rsidRDefault="007518E4" w:rsidP="005C261A">
            <w:pPr>
              <w:spacing w:before="0"/>
              <w:ind w:left="0"/>
              <w:rPr>
                <w:rFonts w:ascii="Times New Roman" w:eastAsia="Calibri" w:hAnsi="Times New Roman"/>
                <w:color w:val="000000"/>
              </w:rPr>
            </w:pPr>
            <w:r w:rsidRPr="00C66180">
              <w:rPr>
                <w:rFonts w:ascii="Times New Roman" w:eastAsia="Calibri" w:hAnsi="Times New Roman"/>
              </w:rPr>
              <w:t>Financial reports of central government are audited by the SAO</w:t>
            </w:r>
            <w:r w:rsidR="00E91C03">
              <w:rPr>
                <w:rFonts w:ascii="Times New Roman" w:eastAsia="Calibri" w:hAnsi="Times New Roman"/>
              </w:rPr>
              <w:t>,</w:t>
            </w:r>
            <w:r w:rsidRPr="00C66180">
              <w:rPr>
                <w:rFonts w:ascii="Times New Roman" w:eastAsia="Calibri" w:hAnsi="Times New Roman"/>
              </w:rPr>
              <w:t xml:space="preserve"> but standards are still not aligned with ISSAIs; material risks and internal control issues are not </w:t>
            </w:r>
            <w:proofErr w:type="gramStart"/>
            <w:r w:rsidRPr="00C66180">
              <w:rPr>
                <w:rFonts w:ascii="Times New Roman" w:eastAsia="Calibri" w:hAnsi="Times New Roman"/>
              </w:rPr>
              <w:t>taken into account</w:t>
            </w:r>
            <w:proofErr w:type="gramEnd"/>
            <w:r w:rsidRPr="00C66180">
              <w:rPr>
                <w:rFonts w:ascii="Times New Roman" w:eastAsia="Calibri" w:hAnsi="Times New Roman"/>
              </w:rPr>
              <w:t xml:space="preserve"> and no opinion is delivered on FS.</w:t>
            </w:r>
            <w:r w:rsidR="009C6DD7">
              <w:rPr>
                <w:rFonts w:ascii="Times New Roman" w:eastAsia="Calibri" w:hAnsi="Times New Roman"/>
              </w:rPr>
              <w:t xml:space="preserve"> Although </w:t>
            </w:r>
            <w:r w:rsidR="00762FDF">
              <w:rPr>
                <w:rFonts w:ascii="Times New Roman" w:eastAsia="Calibri" w:hAnsi="Times New Roman"/>
              </w:rPr>
              <w:t xml:space="preserve">the </w:t>
            </w:r>
            <w:r w:rsidR="009C6DD7">
              <w:rPr>
                <w:rFonts w:ascii="Times New Roman" w:eastAsia="Calibri" w:hAnsi="Times New Roman"/>
              </w:rPr>
              <w:t xml:space="preserve">SAO audit coverage can be estimated to be covering </w:t>
            </w:r>
            <w:proofErr w:type="gramStart"/>
            <w:r w:rsidR="009C6DD7">
              <w:rPr>
                <w:rFonts w:ascii="Times New Roman" w:eastAsia="Calibri" w:hAnsi="Times New Roman"/>
              </w:rPr>
              <w:t>the majority of</w:t>
            </w:r>
            <w:proofErr w:type="gramEnd"/>
            <w:r w:rsidR="009C6DD7">
              <w:rPr>
                <w:rFonts w:ascii="Times New Roman" w:eastAsia="Calibri" w:hAnsi="Times New Roman"/>
              </w:rPr>
              <w:t xml:space="preserve"> total expenditures (including provincial and “other institutions”) the systematic follow up on the materiality of the audits is not in place.</w:t>
            </w:r>
          </w:p>
        </w:tc>
      </w:tr>
      <w:tr w:rsidR="007518E4" w:rsidRPr="00A6135C" w14:paraId="7977F6E3" w14:textId="77777777" w:rsidTr="00D94B19">
        <w:trPr>
          <w:trHeight w:val="800"/>
          <w:jc w:val="center"/>
        </w:trPr>
        <w:tc>
          <w:tcPr>
            <w:tcW w:w="1530" w:type="pct"/>
            <w:tcBorders>
              <w:top w:val="single" w:sz="4" w:space="0" w:color="auto"/>
              <w:left w:val="single" w:sz="4" w:space="0" w:color="auto"/>
              <w:bottom w:val="single" w:sz="4" w:space="0" w:color="auto"/>
              <w:right w:val="single" w:sz="4" w:space="0" w:color="auto"/>
            </w:tcBorders>
            <w:vAlign w:val="center"/>
            <w:hideMark/>
          </w:tcPr>
          <w:p w14:paraId="09420BFD" w14:textId="77777777" w:rsidR="007518E4" w:rsidRPr="00C66180" w:rsidRDefault="007518E4" w:rsidP="00E91C03">
            <w:pPr>
              <w:spacing w:before="0"/>
              <w:ind w:left="0"/>
              <w:jc w:val="left"/>
              <w:rPr>
                <w:rFonts w:ascii="Times New Roman" w:hAnsi="Times New Roman"/>
              </w:rPr>
            </w:pPr>
            <w:r w:rsidRPr="00C66180">
              <w:rPr>
                <w:rFonts w:ascii="Times New Roman" w:hAnsi="Times New Roman"/>
              </w:rPr>
              <w:t xml:space="preserve">30.2 </w:t>
            </w:r>
            <w:r w:rsidRPr="00C66180">
              <w:rPr>
                <w:rFonts w:ascii="Times New Roman" w:hAnsi="Times New Roman"/>
                <w:bCs/>
                <w:color w:val="000000"/>
              </w:rPr>
              <w:t>Submission of audit reports to the legislature</w:t>
            </w:r>
          </w:p>
        </w:tc>
        <w:tc>
          <w:tcPr>
            <w:tcW w:w="721" w:type="pct"/>
            <w:tcBorders>
              <w:top w:val="single" w:sz="4" w:space="0" w:color="auto"/>
              <w:left w:val="single" w:sz="4" w:space="0" w:color="auto"/>
              <w:bottom w:val="single" w:sz="4" w:space="0" w:color="auto"/>
              <w:right w:val="single" w:sz="4" w:space="0" w:color="auto"/>
            </w:tcBorders>
            <w:vAlign w:val="center"/>
          </w:tcPr>
          <w:p w14:paraId="45D2A3BB" w14:textId="77777777" w:rsidR="007518E4" w:rsidRPr="00C66180" w:rsidRDefault="007518E4" w:rsidP="005C261A">
            <w:pPr>
              <w:spacing w:before="0"/>
              <w:ind w:left="0"/>
              <w:jc w:val="center"/>
              <w:rPr>
                <w:rFonts w:ascii="Times New Roman" w:hAnsi="Times New Roman"/>
              </w:rPr>
            </w:pPr>
            <w:r w:rsidRPr="00C66180">
              <w:rPr>
                <w:rFonts w:ascii="Times New Roman" w:hAnsi="Times New Roman"/>
              </w:rPr>
              <w:t>D</w:t>
            </w:r>
          </w:p>
        </w:tc>
        <w:tc>
          <w:tcPr>
            <w:tcW w:w="2750" w:type="pct"/>
            <w:tcBorders>
              <w:top w:val="single" w:sz="4" w:space="0" w:color="auto"/>
              <w:left w:val="single" w:sz="4" w:space="0" w:color="auto"/>
              <w:bottom w:val="single" w:sz="4" w:space="0" w:color="auto"/>
              <w:right w:val="single" w:sz="4" w:space="0" w:color="auto"/>
            </w:tcBorders>
            <w:vAlign w:val="center"/>
          </w:tcPr>
          <w:p w14:paraId="3CE006F7" w14:textId="77777777" w:rsidR="007518E4" w:rsidRPr="00C66180" w:rsidRDefault="007518E4" w:rsidP="005C261A">
            <w:pPr>
              <w:spacing w:before="0"/>
              <w:ind w:left="0"/>
              <w:rPr>
                <w:rFonts w:ascii="Times New Roman" w:hAnsi="Times New Roman"/>
              </w:rPr>
            </w:pPr>
            <w:r w:rsidRPr="00C66180">
              <w:rPr>
                <w:rFonts w:ascii="Times New Roman" w:hAnsi="Times New Roman"/>
                <w:bCs/>
                <w:color w:val="000000"/>
              </w:rPr>
              <w:t>SAO reports were submitted to the legislature with a delay in 2013/2014 and 2014/2015 and within 6 months from receipt of the financial reports for the last two completed fiscal years.</w:t>
            </w:r>
          </w:p>
        </w:tc>
      </w:tr>
      <w:tr w:rsidR="007518E4" w:rsidRPr="00A6135C" w14:paraId="3A6220FB" w14:textId="77777777" w:rsidTr="00D94B19">
        <w:trPr>
          <w:trHeight w:val="881"/>
          <w:jc w:val="center"/>
        </w:trPr>
        <w:tc>
          <w:tcPr>
            <w:tcW w:w="1530" w:type="pct"/>
            <w:tcBorders>
              <w:top w:val="single" w:sz="4" w:space="0" w:color="auto"/>
              <w:left w:val="single" w:sz="4" w:space="0" w:color="auto"/>
              <w:bottom w:val="single" w:sz="4" w:space="0" w:color="auto"/>
              <w:right w:val="single" w:sz="4" w:space="0" w:color="auto"/>
            </w:tcBorders>
            <w:vAlign w:val="center"/>
            <w:hideMark/>
          </w:tcPr>
          <w:p w14:paraId="0A475569" w14:textId="77777777" w:rsidR="007518E4" w:rsidRPr="00C66180" w:rsidRDefault="007518E4" w:rsidP="00E91C03">
            <w:pPr>
              <w:spacing w:before="0"/>
              <w:ind w:left="0"/>
              <w:jc w:val="left"/>
              <w:rPr>
                <w:rFonts w:ascii="Times New Roman" w:hAnsi="Times New Roman"/>
              </w:rPr>
            </w:pPr>
            <w:r w:rsidRPr="00C66180">
              <w:rPr>
                <w:rFonts w:ascii="Times New Roman" w:hAnsi="Times New Roman"/>
              </w:rPr>
              <w:t xml:space="preserve">30.3 External audit follow-up </w:t>
            </w:r>
          </w:p>
        </w:tc>
        <w:tc>
          <w:tcPr>
            <w:tcW w:w="721" w:type="pct"/>
            <w:tcBorders>
              <w:top w:val="single" w:sz="4" w:space="0" w:color="auto"/>
              <w:left w:val="single" w:sz="4" w:space="0" w:color="auto"/>
              <w:bottom w:val="single" w:sz="4" w:space="0" w:color="auto"/>
              <w:right w:val="single" w:sz="4" w:space="0" w:color="auto"/>
            </w:tcBorders>
            <w:vAlign w:val="center"/>
          </w:tcPr>
          <w:p w14:paraId="6DA442D5" w14:textId="77777777" w:rsidR="007518E4" w:rsidRPr="00C66180" w:rsidRDefault="007518E4" w:rsidP="005C261A">
            <w:pPr>
              <w:spacing w:before="0"/>
              <w:ind w:left="0"/>
              <w:jc w:val="center"/>
              <w:rPr>
                <w:rFonts w:ascii="Times New Roman" w:hAnsi="Times New Roman"/>
              </w:rPr>
            </w:pPr>
            <w:r>
              <w:rPr>
                <w:rFonts w:ascii="Times New Roman" w:hAnsi="Times New Roman"/>
              </w:rPr>
              <w:t>C</w:t>
            </w:r>
          </w:p>
        </w:tc>
        <w:tc>
          <w:tcPr>
            <w:tcW w:w="2750" w:type="pct"/>
            <w:tcBorders>
              <w:top w:val="single" w:sz="4" w:space="0" w:color="auto"/>
              <w:left w:val="single" w:sz="4" w:space="0" w:color="auto"/>
              <w:bottom w:val="single" w:sz="4" w:space="0" w:color="auto"/>
              <w:right w:val="single" w:sz="4" w:space="0" w:color="auto"/>
            </w:tcBorders>
            <w:vAlign w:val="center"/>
          </w:tcPr>
          <w:p w14:paraId="51A4CD3B" w14:textId="77777777" w:rsidR="007518E4" w:rsidRPr="00C66180" w:rsidRDefault="007518E4" w:rsidP="005C261A">
            <w:pPr>
              <w:spacing w:before="0"/>
              <w:ind w:left="0"/>
              <w:rPr>
                <w:rFonts w:ascii="Times New Roman" w:eastAsia="Calibri" w:hAnsi="Times New Roman"/>
                <w:color w:val="000000"/>
              </w:rPr>
            </w:pPr>
            <w:r w:rsidRPr="00C66180">
              <w:rPr>
                <w:rFonts w:ascii="Times New Roman" w:eastAsia="Calibri" w:hAnsi="Times New Roman"/>
              </w:rPr>
              <w:t>Formal responses were formulated by the audited entities to the SAO observations and findings in the last three years</w:t>
            </w:r>
            <w:r>
              <w:rPr>
                <w:rFonts w:ascii="Times New Roman" w:eastAsia="Calibri" w:hAnsi="Times New Roman"/>
              </w:rPr>
              <w:t xml:space="preserve">. MoUs are signed between SAO and line ministries on follow up, although </w:t>
            </w:r>
            <w:r w:rsidRPr="00C66180">
              <w:rPr>
                <w:rFonts w:ascii="Times New Roman" w:eastAsia="Calibri" w:hAnsi="Times New Roman"/>
              </w:rPr>
              <w:t xml:space="preserve">responses are not </w:t>
            </w:r>
            <w:r>
              <w:rPr>
                <w:rFonts w:ascii="Times New Roman" w:eastAsia="Calibri" w:hAnsi="Times New Roman"/>
              </w:rPr>
              <w:t xml:space="preserve">always </w:t>
            </w:r>
            <w:r w:rsidRPr="00C66180">
              <w:rPr>
                <w:rFonts w:ascii="Times New Roman" w:eastAsia="Calibri" w:hAnsi="Times New Roman"/>
              </w:rPr>
              <w:t>comprehensive and capacity to effectively implement follow up actions is weak</w:t>
            </w:r>
          </w:p>
        </w:tc>
      </w:tr>
      <w:tr w:rsidR="007518E4" w:rsidRPr="001B117C" w14:paraId="0F52AA18" w14:textId="77777777" w:rsidTr="00D94B19">
        <w:trPr>
          <w:trHeight w:val="881"/>
          <w:jc w:val="center"/>
        </w:trPr>
        <w:tc>
          <w:tcPr>
            <w:tcW w:w="1530" w:type="pct"/>
            <w:tcBorders>
              <w:top w:val="single" w:sz="4" w:space="0" w:color="auto"/>
              <w:left w:val="single" w:sz="4" w:space="0" w:color="auto"/>
              <w:bottom w:val="single" w:sz="4" w:space="0" w:color="auto"/>
              <w:right w:val="single" w:sz="4" w:space="0" w:color="auto"/>
            </w:tcBorders>
            <w:vAlign w:val="center"/>
          </w:tcPr>
          <w:p w14:paraId="61982123" w14:textId="77777777" w:rsidR="007518E4" w:rsidRPr="00C66180" w:rsidRDefault="007518E4" w:rsidP="00E91C03">
            <w:pPr>
              <w:spacing w:before="0"/>
              <w:ind w:left="0"/>
              <w:jc w:val="left"/>
              <w:rPr>
                <w:rFonts w:ascii="Times New Roman" w:hAnsi="Times New Roman"/>
              </w:rPr>
            </w:pPr>
            <w:r w:rsidRPr="00C66180">
              <w:rPr>
                <w:rFonts w:ascii="Times New Roman" w:hAnsi="Times New Roman"/>
              </w:rPr>
              <w:t>30.4 Supreme Audit Institution (SAI) independence</w:t>
            </w:r>
          </w:p>
        </w:tc>
        <w:tc>
          <w:tcPr>
            <w:tcW w:w="721" w:type="pct"/>
            <w:tcBorders>
              <w:top w:val="single" w:sz="4" w:space="0" w:color="auto"/>
              <w:left w:val="single" w:sz="4" w:space="0" w:color="auto"/>
              <w:bottom w:val="single" w:sz="4" w:space="0" w:color="auto"/>
              <w:right w:val="single" w:sz="4" w:space="0" w:color="auto"/>
            </w:tcBorders>
            <w:vAlign w:val="center"/>
          </w:tcPr>
          <w:p w14:paraId="243C2165" w14:textId="77777777" w:rsidR="007518E4" w:rsidRPr="00C66180" w:rsidRDefault="007518E4" w:rsidP="005C261A">
            <w:pPr>
              <w:spacing w:before="0"/>
              <w:ind w:left="0"/>
              <w:jc w:val="center"/>
              <w:rPr>
                <w:rFonts w:ascii="Times New Roman" w:hAnsi="Times New Roman"/>
              </w:rPr>
            </w:pPr>
            <w:r>
              <w:rPr>
                <w:rFonts w:ascii="Times New Roman" w:hAnsi="Times New Roman"/>
              </w:rPr>
              <w:t>C</w:t>
            </w:r>
          </w:p>
        </w:tc>
        <w:tc>
          <w:tcPr>
            <w:tcW w:w="2750" w:type="pct"/>
            <w:tcBorders>
              <w:top w:val="single" w:sz="4" w:space="0" w:color="auto"/>
              <w:left w:val="single" w:sz="4" w:space="0" w:color="auto"/>
              <w:bottom w:val="single" w:sz="4" w:space="0" w:color="auto"/>
              <w:right w:val="single" w:sz="4" w:space="0" w:color="auto"/>
            </w:tcBorders>
            <w:vAlign w:val="center"/>
          </w:tcPr>
          <w:p w14:paraId="31D9E5D3" w14:textId="77777777" w:rsidR="007518E4" w:rsidRPr="00C66180" w:rsidRDefault="007518E4" w:rsidP="005C261A">
            <w:pPr>
              <w:spacing w:before="0"/>
              <w:ind w:left="0"/>
              <w:rPr>
                <w:rFonts w:ascii="Times New Roman" w:eastAsia="Calibri" w:hAnsi="Times New Roman"/>
              </w:rPr>
            </w:pPr>
            <w:r>
              <w:rPr>
                <w:rFonts w:ascii="Times New Roman" w:eastAsia="Calibri" w:hAnsi="Times New Roman"/>
              </w:rPr>
              <w:t>The SAO</w:t>
            </w:r>
            <w:r w:rsidRPr="00C66180">
              <w:rPr>
                <w:rFonts w:ascii="Times New Roman" w:eastAsia="Calibri" w:hAnsi="Times New Roman"/>
              </w:rPr>
              <w:t xml:space="preserve"> operate</w:t>
            </w:r>
            <w:r>
              <w:rPr>
                <w:rFonts w:ascii="Times New Roman" w:eastAsia="Calibri" w:hAnsi="Times New Roman"/>
              </w:rPr>
              <w:t>s</w:t>
            </w:r>
            <w:r w:rsidRPr="00C66180">
              <w:rPr>
                <w:rFonts w:ascii="Times New Roman" w:eastAsia="Calibri" w:hAnsi="Times New Roman"/>
              </w:rPr>
              <w:t xml:space="preserve"> independently from the executive with respect to the procedures for appointment as well as execution of the SAO budget. The SAO has unrestricted and timely access to </w:t>
            </w:r>
            <w:proofErr w:type="gramStart"/>
            <w:r w:rsidRPr="00C66180">
              <w:rPr>
                <w:rFonts w:ascii="Times New Roman" w:eastAsia="Calibri" w:hAnsi="Times New Roman"/>
              </w:rPr>
              <w:t>the majority of</w:t>
            </w:r>
            <w:proofErr w:type="gramEnd"/>
            <w:r w:rsidRPr="00C66180">
              <w:rPr>
                <w:rFonts w:ascii="Times New Roman" w:eastAsia="Calibri" w:hAnsi="Times New Roman"/>
              </w:rPr>
              <w:t xml:space="preserve"> the requested records, documentation and information.</w:t>
            </w:r>
          </w:p>
        </w:tc>
      </w:tr>
    </w:tbl>
    <w:p w14:paraId="71541768" w14:textId="77777777" w:rsidR="007518E4" w:rsidRPr="002F5ADE" w:rsidRDefault="007518E4" w:rsidP="002F5ADE">
      <w:pPr>
        <w:spacing w:after="240"/>
        <w:ind w:left="0"/>
        <w:rPr>
          <w:rFonts w:ascii="Times New Roman" w:eastAsia="Calibri" w:hAnsi="Times New Roman"/>
          <w:b/>
          <w:color w:val="B64485"/>
          <w:sz w:val="24"/>
        </w:rPr>
      </w:pPr>
      <w:bookmarkStart w:id="110" w:name="_Hlk510114698"/>
      <w:r w:rsidRPr="002F5ADE">
        <w:rPr>
          <w:rFonts w:ascii="Times New Roman" w:eastAsia="Calibri" w:hAnsi="Times New Roman"/>
          <w:b/>
          <w:color w:val="B64485"/>
          <w:sz w:val="24"/>
        </w:rPr>
        <w:t xml:space="preserve">30.1. Audit coverage and standards </w:t>
      </w:r>
    </w:p>
    <w:bookmarkEnd w:id="110"/>
    <w:p w14:paraId="4212F5EE" w14:textId="77777777" w:rsidR="007518E4" w:rsidRPr="00C66180" w:rsidRDefault="007518E4" w:rsidP="008037D9">
      <w:pPr>
        <w:pStyle w:val="ListParagraph"/>
        <w:numPr>
          <w:ilvl w:val="0"/>
          <w:numId w:val="88"/>
        </w:numPr>
        <w:autoSpaceDE w:val="0"/>
        <w:autoSpaceDN w:val="0"/>
        <w:adjustRightInd w:val="0"/>
        <w:spacing w:after="240"/>
        <w:ind w:left="0"/>
        <w:contextualSpacing w:val="0"/>
        <w:rPr>
          <w:rFonts w:ascii="Times New Roman" w:hAnsi="Times New Roman"/>
          <w:sz w:val="24"/>
          <w:lang w:val="en-MY"/>
        </w:rPr>
      </w:pPr>
      <w:r w:rsidRPr="00A37969">
        <w:rPr>
          <w:rFonts w:ascii="Times New Roman" w:hAnsi="Times New Roman"/>
          <w:b/>
          <w:bCs/>
          <w:sz w:val="24"/>
          <w:lang w:val="en-MY"/>
        </w:rPr>
        <w:t>The role of the SAO is defined within the Lao PDR Constitution under Article 104</w:t>
      </w:r>
      <w:r w:rsidR="00A37969">
        <w:rPr>
          <w:rFonts w:ascii="Times New Roman" w:hAnsi="Times New Roman"/>
          <w:bCs/>
          <w:sz w:val="24"/>
          <w:lang w:val="en-MY"/>
        </w:rPr>
        <w:t xml:space="preserve">.  This role is specified </w:t>
      </w:r>
      <w:r w:rsidRPr="00C66180">
        <w:rPr>
          <w:rFonts w:ascii="Times New Roman" w:hAnsi="Times New Roman"/>
          <w:bCs/>
          <w:sz w:val="24"/>
          <w:lang w:val="en-MY"/>
        </w:rPr>
        <w:t>as: “</w:t>
      </w:r>
      <w:r w:rsidRPr="00C66180">
        <w:rPr>
          <w:rFonts w:ascii="Times New Roman" w:hAnsi="Times New Roman"/>
          <w:sz w:val="24"/>
          <w:lang w:val="en-MY"/>
        </w:rPr>
        <w:t xml:space="preserve">activities perform on the state organisations for the supervision on budgetary control, financial control, and assets utilisation of the state” and activities under </w:t>
      </w:r>
      <w:r>
        <w:rPr>
          <w:rFonts w:ascii="Times New Roman" w:hAnsi="Times New Roman"/>
          <w:sz w:val="24"/>
          <w:lang w:val="en-MY"/>
        </w:rPr>
        <w:t>Article</w:t>
      </w:r>
      <w:r w:rsidRPr="00C66180">
        <w:rPr>
          <w:rFonts w:ascii="Times New Roman" w:hAnsi="Times New Roman"/>
          <w:bCs/>
          <w:sz w:val="24"/>
          <w:lang w:val="en-MY"/>
        </w:rPr>
        <w:t xml:space="preserve"> 107 as:</w:t>
      </w:r>
    </w:p>
    <w:p w14:paraId="6C717CC1" w14:textId="77777777" w:rsidR="007518E4" w:rsidRPr="00C66180" w:rsidRDefault="007518E4" w:rsidP="00A37969">
      <w:pPr>
        <w:pStyle w:val="ListParagraph"/>
        <w:numPr>
          <w:ilvl w:val="0"/>
          <w:numId w:val="90"/>
        </w:numPr>
        <w:autoSpaceDE w:val="0"/>
        <w:autoSpaceDN w:val="0"/>
        <w:adjustRightInd w:val="0"/>
        <w:spacing w:before="0"/>
        <w:ind w:left="1071" w:hanging="357"/>
        <w:contextualSpacing w:val="0"/>
        <w:rPr>
          <w:rFonts w:ascii="Times New Roman" w:hAnsi="Times New Roman"/>
          <w:sz w:val="24"/>
          <w:lang w:val="en-MY"/>
        </w:rPr>
      </w:pPr>
      <w:r w:rsidRPr="00C66180">
        <w:rPr>
          <w:rFonts w:ascii="Times New Roman" w:hAnsi="Times New Roman"/>
          <w:sz w:val="24"/>
          <w:lang w:val="en-MY"/>
        </w:rPr>
        <w:lastRenderedPageBreak/>
        <w:t>“To perform independent auditing activities in accordance to the law and to certify true and correctness of the financial reports, and in line with the regulations and laws;</w:t>
      </w:r>
    </w:p>
    <w:p w14:paraId="58CBFB63" w14:textId="77777777" w:rsidR="007518E4" w:rsidRPr="00C66180" w:rsidRDefault="007518E4" w:rsidP="00A37969">
      <w:pPr>
        <w:pStyle w:val="ListParagraph"/>
        <w:numPr>
          <w:ilvl w:val="0"/>
          <w:numId w:val="90"/>
        </w:numPr>
        <w:autoSpaceDE w:val="0"/>
        <w:autoSpaceDN w:val="0"/>
        <w:adjustRightInd w:val="0"/>
        <w:spacing w:before="0"/>
        <w:ind w:left="1071" w:hanging="357"/>
        <w:contextualSpacing w:val="0"/>
        <w:rPr>
          <w:rFonts w:ascii="Times New Roman" w:hAnsi="Times New Roman"/>
          <w:sz w:val="24"/>
          <w:lang w:val="en-MY"/>
        </w:rPr>
      </w:pPr>
      <w:r w:rsidRPr="00C66180">
        <w:rPr>
          <w:rFonts w:ascii="Times New Roman" w:hAnsi="Times New Roman"/>
          <w:sz w:val="24"/>
          <w:lang w:val="en-MY"/>
        </w:rPr>
        <w:t>To prepare auditing reports and summaries on the implementation of state budgetary plans to the National Assembly session;</w:t>
      </w:r>
    </w:p>
    <w:p w14:paraId="2477E7CC" w14:textId="77777777" w:rsidR="007518E4" w:rsidRDefault="007518E4" w:rsidP="00A37969">
      <w:pPr>
        <w:pStyle w:val="ListParagraph"/>
        <w:numPr>
          <w:ilvl w:val="0"/>
          <w:numId w:val="90"/>
        </w:numPr>
        <w:autoSpaceDE w:val="0"/>
        <w:autoSpaceDN w:val="0"/>
        <w:adjustRightInd w:val="0"/>
        <w:spacing w:before="0"/>
        <w:ind w:left="1071" w:hanging="357"/>
        <w:contextualSpacing w:val="0"/>
        <w:rPr>
          <w:rFonts w:ascii="Times New Roman" w:hAnsi="Times New Roman"/>
          <w:sz w:val="24"/>
          <w:lang w:val="en-MY"/>
        </w:rPr>
      </w:pPr>
      <w:r w:rsidRPr="00C66180">
        <w:rPr>
          <w:rFonts w:ascii="Times New Roman" w:hAnsi="Times New Roman"/>
          <w:sz w:val="24"/>
          <w:lang w:val="en-MY"/>
        </w:rPr>
        <w:t xml:space="preserve">To propose to the related authorities to implement counter measures on entities who disobey the law mainly </w:t>
      </w:r>
      <w:proofErr w:type="gramStart"/>
      <w:r w:rsidRPr="00C66180">
        <w:rPr>
          <w:rFonts w:ascii="Times New Roman" w:hAnsi="Times New Roman"/>
          <w:sz w:val="24"/>
          <w:lang w:val="en-MY"/>
        </w:rPr>
        <w:t>in the area of</w:t>
      </w:r>
      <w:proofErr w:type="gramEnd"/>
      <w:r w:rsidRPr="00C66180">
        <w:rPr>
          <w:rFonts w:ascii="Times New Roman" w:hAnsi="Times New Roman"/>
          <w:sz w:val="24"/>
          <w:lang w:val="en-MY"/>
        </w:rPr>
        <w:t xml:space="preserve"> budgetary, financial, and assets upon the finding of the audit.”</w:t>
      </w:r>
    </w:p>
    <w:p w14:paraId="270446FE" w14:textId="77777777" w:rsidR="007518E4" w:rsidRPr="00C66180" w:rsidRDefault="007518E4" w:rsidP="00005321">
      <w:pPr>
        <w:pStyle w:val="ListParagraph"/>
        <w:numPr>
          <w:ilvl w:val="0"/>
          <w:numId w:val="113"/>
        </w:numPr>
        <w:autoSpaceDE w:val="0"/>
        <w:autoSpaceDN w:val="0"/>
        <w:adjustRightInd w:val="0"/>
        <w:ind w:left="0" w:firstLine="0"/>
        <w:contextualSpacing w:val="0"/>
        <w:rPr>
          <w:rFonts w:ascii="Times New Roman" w:hAnsi="Times New Roman"/>
          <w:bCs/>
          <w:sz w:val="24"/>
        </w:rPr>
      </w:pPr>
      <w:r w:rsidRPr="00A37969">
        <w:rPr>
          <w:rFonts w:ascii="Times New Roman" w:hAnsi="Times New Roman"/>
          <w:b/>
          <w:sz w:val="24"/>
        </w:rPr>
        <w:t>Furthermore, the State Audit Law (amended in 2016) defines the scope of the SAO mandate</w:t>
      </w:r>
      <w:r w:rsidR="00A37969">
        <w:rPr>
          <w:rFonts w:ascii="Times New Roman" w:hAnsi="Times New Roman"/>
          <w:b/>
          <w:sz w:val="24"/>
        </w:rPr>
        <w:t xml:space="preserve">.  </w:t>
      </w:r>
      <w:r w:rsidR="00A37969" w:rsidRPr="00A37969">
        <w:rPr>
          <w:rFonts w:ascii="Times New Roman" w:hAnsi="Times New Roman"/>
          <w:sz w:val="24"/>
        </w:rPr>
        <w:t>This is</w:t>
      </w:r>
      <w:r w:rsidR="00A37969">
        <w:rPr>
          <w:rFonts w:ascii="Times New Roman" w:hAnsi="Times New Roman"/>
          <w:b/>
          <w:sz w:val="24"/>
        </w:rPr>
        <w:t xml:space="preserve"> </w:t>
      </w:r>
      <w:r w:rsidRPr="00C66180">
        <w:rPr>
          <w:rFonts w:ascii="Times New Roman" w:hAnsi="Times New Roman"/>
          <w:sz w:val="24"/>
        </w:rPr>
        <w:t>to “conduct audit and examine economy, efficiency, effectiveness of operation and functioning of the government budget agencies, public sector enterprises and those funded from grants and loans and manage and use public funds”.</w:t>
      </w:r>
    </w:p>
    <w:p w14:paraId="6A24357E" w14:textId="77777777" w:rsidR="007518E4" w:rsidRDefault="007518E4" w:rsidP="00005321">
      <w:pPr>
        <w:pStyle w:val="ListParagraph"/>
        <w:numPr>
          <w:ilvl w:val="0"/>
          <w:numId w:val="113"/>
        </w:numPr>
        <w:autoSpaceDE w:val="0"/>
        <w:autoSpaceDN w:val="0"/>
        <w:adjustRightInd w:val="0"/>
        <w:spacing w:after="240"/>
        <w:ind w:left="0" w:firstLine="0"/>
        <w:contextualSpacing w:val="0"/>
        <w:rPr>
          <w:rFonts w:ascii="Times New Roman" w:hAnsi="Times New Roman"/>
          <w:sz w:val="24"/>
        </w:rPr>
      </w:pPr>
      <w:r w:rsidRPr="00A37969">
        <w:rPr>
          <w:rFonts w:ascii="Times New Roman" w:hAnsi="Times New Roman"/>
          <w:b/>
          <w:sz w:val="24"/>
        </w:rPr>
        <w:t>The SAO has made significant progress in the implementation of its Action Plan 2009-2020, establishing its organizational structure and institutional capacity</w:t>
      </w:r>
      <w:r w:rsidRPr="00A37969">
        <w:rPr>
          <w:rStyle w:val="FootnoteReference"/>
          <w:rFonts w:ascii="Times New Roman" w:hAnsi="Times New Roman"/>
          <w:b/>
          <w:sz w:val="24"/>
        </w:rPr>
        <w:footnoteReference w:id="53"/>
      </w:r>
      <w:r w:rsidRPr="00A37969">
        <w:rPr>
          <w:rFonts w:ascii="Times New Roman" w:hAnsi="Times New Roman"/>
          <w:b/>
          <w:sz w:val="24"/>
        </w:rPr>
        <w:t>.</w:t>
      </w:r>
      <w:r w:rsidRPr="003A6C8B">
        <w:rPr>
          <w:rFonts w:ascii="Times New Roman" w:hAnsi="Times New Roman"/>
          <w:sz w:val="24"/>
        </w:rPr>
        <w:t xml:space="preserve"> With the support of WB, GIZ and other donors, it has built a solid training program for its 305 staff across the central and 3 regional offices. It has developed a professional culture and managerial systems that translates into the formulation of audit priorities and annual auditing plan formally discussed and approved with the National Assembly. </w:t>
      </w:r>
      <w:r w:rsidRPr="003A6C8B">
        <w:rPr>
          <w:rFonts w:ascii="Times New Roman" w:hAnsi="Times New Roman"/>
          <w:bCs/>
          <w:sz w:val="24"/>
        </w:rPr>
        <w:t>Its current focus is on “strengthening professionalism” in the audit activities, specifically on the adoption of auditing standards, manuals, and methodologies; extending the scope of financial audit activities to areas such as procurement audit; use of computerized auditing tools and setting up an internal quality assurance function and capacity to carry out performance audit. T</w:t>
      </w:r>
      <w:r w:rsidRPr="003A6C8B">
        <w:rPr>
          <w:rFonts w:ascii="Times New Roman" w:hAnsi="Times New Roman"/>
          <w:sz w:val="24"/>
        </w:rPr>
        <w:t>he SAO 2014-2015 report on the State Budget implementation is published online but the 2015-2016 report endorsed by the NA in November 2017 is still pending authorization from the NA.</w:t>
      </w:r>
    </w:p>
    <w:p w14:paraId="0A251DF6" w14:textId="77777777" w:rsidR="007518E4" w:rsidRDefault="007518E4" w:rsidP="00005321">
      <w:pPr>
        <w:pStyle w:val="ListParagraph"/>
        <w:numPr>
          <w:ilvl w:val="0"/>
          <w:numId w:val="113"/>
        </w:numPr>
        <w:autoSpaceDE w:val="0"/>
        <w:autoSpaceDN w:val="0"/>
        <w:adjustRightInd w:val="0"/>
        <w:ind w:left="0" w:firstLine="0"/>
        <w:contextualSpacing w:val="0"/>
        <w:rPr>
          <w:rFonts w:ascii="Times New Roman" w:hAnsi="Times New Roman"/>
          <w:sz w:val="24"/>
        </w:rPr>
      </w:pPr>
      <w:r w:rsidRPr="00A37969">
        <w:rPr>
          <w:rFonts w:ascii="Times New Roman" w:hAnsi="Times New Roman"/>
          <w:b/>
          <w:sz w:val="24"/>
        </w:rPr>
        <w:t>The coverage of its financial audit plan and activities relat</w:t>
      </w:r>
      <w:r w:rsidR="00A37969">
        <w:rPr>
          <w:rFonts w:ascii="Times New Roman" w:hAnsi="Times New Roman"/>
          <w:b/>
          <w:sz w:val="24"/>
        </w:rPr>
        <w:t xml:space="preserve">e </w:t>
      </w:r>
      <w:r w:rsidRPr="00A37969">
        <w:rPr>
          <w:rFonts w:ascii="Times New Roman" w:hAnsi="Times New Roman"/>
          <w:b/>
          <w:sz w:val="24"/>
        </w:rPr>
        <w:t>to the State Budget</w:t>
      </w:r>
      <w:r w:rsidR="00A37969">
        <w:rPr>
          <w:rFonts w:ascii="Times New Roman" w:hAnsi="Times New Roman"/>
          <w:b/>
          <w:sz w:val="24"/>
        </w:rPr>
        <w:t xml:space="preserve">. </w:t>
      </w:r>
      <w:r w:rsidR="00A37969" w:rsidRPr="00A37969">
        <w:rPr>
          <w:rFonts w:ascii="Times New Roman" w:hAnsi="Times New Roman"/>
          <w:sz w:val="24"/>
        </w:rPr>
        <w:t>This</w:t>
      </w:r>
      <w:r w:rsidRPr="00A37969">
        <w:rPr>
          <w:rFonts w:ascii="Times New Roman" w:hAnsi="Times New Roman"/>
          <w:sz w:val="24"/>
        </w:rPr>
        <w:t xml:space="preserve"> include</w:t>
      </w:r>
      <w:r w:rsidR="00A37969" w:rsidRPr="00A37969">
        <w:rPr>
          <w:rFonts w:ascii="Times New Roman" w:hAnsi="Times New Roman"/>
          <w:sz w:val="24"/>
        </w:rPr>
        <w:t>s</w:t>
      </w:r>
      <w:r w:rsidRPr="00A37969">
        <w:rPr>
          <w:rFonts w:ascii="Times New Roman" w:hAnsi="Times New Roman"/>
          <w:sz w:val="24"/>
        </w:rPr>
        <w:t xml:space="preserve"> all first-tier budget entities including Ministry of Defense and Ministry of Security and all provinces and extra-budgetary funds such as the Road Management Fund and the Social Security Fund for the state budget contribution. </w:t>
      </w:r>
      <w:r w:rsidRPr="003A6C8B">
        <w:rPr>
          <w:rFonts w:ascii="Times New Roman" w:hAnsi="Times New Roman"/>
          <w:sz w:val="24"/>
        </w:rPr>
        <w:t>Its annual plans usually cover approximately 100 entities, companies or ministry departments, defined as targets, with half the coverage at the central level and the rest at the level of the Northern, Central and Southern regional SAO offices. It also covers the ODA projects carried out by its Loans and grants department and the SOE sector divided between 2 departments for the Bank and enterprises.</w:t>
      </w:r>
    </w:p>
    <w:p w14:paraId="4CFB0B28" w14:textId="77777777" w:rsidR="007518E4" w:rsidRPr="003A6C8B" w:rsidRDefault="007518E4" w:rsidP="00005321">
      <w:pPr>
        <w:pStyle w:val="ListParagraph"/>
        <w:numPr>
          <w:ilvl w:val="0"/>
          <w:numId w:val="113"/>
        </w:numPr>
        <w:autoSpaceDE w:val="0"/>
        <w:autoSpaceDN w:val="0"/>
        <w:adjustRightInd w:val="0"/>
        <w:spacing w:after="240"/>
        <w:ind w:left="0" w:firstLine="0"/>
        <w:contextualSpacing w:val="0"/>
        <w:rPr>
          <w:rFonts w:ascii="Times New Roman" w:hAnsi="Times New Roman"/>
          <w:sz w:val="24"/>
        </w:rPr>
      </w:pPr>
      <w:r w:rsidRPr="00A37969">
        <w:rPr>
          <w:rFonts w:ascii="Times New Roman" w:hAnsi="Times New Roman"/>
          <w:b/>
          <w:sz w:val="24"/>
        </w:rPr>
        <w:t>As an illustration, the implementation of the 2015-2016 audit plan was as follows</w:t>
      </w:r>
      <w:r w:rsidRPr="003A6C8B">
        <w:rPr>
          <w:rFonts w:ascii="Times New Roman" w:hAnsi="Times New Roman"/>
          <w:sz w:val="24"/>
        </w:rPr>
        <w:t>:</w:t>
      </w:r>
    </w:p>
    <w:tbl>
      <w:tblPr>
        <w:tblStyle w:val="TableGrid"/>
        <w:tblW w:w="8363" w:type="dxa"/>
        <w:jc w:val="center"/>
        <w:tblLook w:val="04A0" w:firstRow="1" w:lastRow="0" w:firstColumn="1" w:lastColumn="0" w:noHBand="0" w:noVBand="1"/>
      </w:tblPr>
      <w:tblGrid>
        <w:gridCol w:w="2126"/>
        <w:gridCol w:w="1843"/>
        <w:gridCol w:w="2133"/>
        <w:gridCol w:w="2261"/>
      </w:tblGrid>
      <w:tr w:rsidR="007518E4" w:rsidRPr="00C66180" w14:paraId="3B4F3CE6" w14:textId="77777777" w:rsidTr="00D94B19">
        <w:trPr>
          <w:jc w:val="center"/>
        </w:trPr>
        <w:tc>
          <w:tcPr>
            <w:tcW w:w="8363" w:type="dxa"/>
            <w:gridSpan w:val="4"/>
            <w:tcBorders>
              <w:top w:val="nil"/>
              <w:left w:val="nil"/>
              <w:bottom w:val="single" w:sz="4" w:space="0" w:color="auto"/>
              <w:right w:val="nil"/>
            </w:tcBorders>
            <w:shd w:val="clear" w:color="auto" w:fill="auto"/>
          </w:tcPr>
          <w:p w14:paraId="55E7DE7D" w14:textId="77777777" w:rsidR="007518E4" w:rsidRPr="00D94B19" w:rsidRDefault="007518E4" w:rsidP="00E91C03">
            <w:pPr>
              <w:spacing w:before="0"/>
              <w:ind w:left="0"/>
              <w:jc w:val="center"/>
              <w:rPr>
                <w:b/>
                <w:sz w:val="22"/>
                <w:szCs w:val="22"/>
              </w:rPr>
            </w:pPr>
            <w:r w:rsidRPr="00D94B19">
              <w:rPr>
                <w:b/>
                <w:sz w:val="22"/>
                <w:szCs w:val="22"/>
              </w:rPr>
              <w:t>Table 30.1 Audit Implementation 2015-16</w:t>
            </w:r>
          </w:p>
        </w:tc>
      </w:tr>
      <w:tr w:rsidR="007518E4" w:rsidRPr="00C66180" w14:paraId="33828F33" w14:textId="77777777" w:rsidTr="00D94B19">
        <w:trPr>
          <w:jc w:val="center"/>
        </w:trPr>
        <w:tc>
          <w:tcPr>
            <w:tcW w:w="2126" w:type="dxa"/>
            <w:tcBorders>
              <w:top w:val="single" w:sz="4" w:space="0" w:color="auto"/>
            </w:tcBorders>
            <w:shd w:val="clear" w:color="auto" w:fill="D9D9D9" w:themeFill="background1" w:themeFillShade="D9"/>
          </w:tcPr>
          <w:p w14:paraId="69E01513" w14:textId="77777777" w:rsidR="007518E4" w:rsidRPr="00E91C03" w:rsidRDefault="007518E4" w:rsidP="00A37969">
            <w:pPr>
              <w:spacing w:before="0"/>
              <w:ind w:left="0"/>
              <w:rPr>
                <w:sz w:val="22"/>
                <w:szCs w:val="22"/>
              </w:rPr>
            </w:pPr>
            <w:r w:rsidRPr="00E91C03">
              <w:rPr>
                <w:sz w:val="22"/>
                <w:szCs w:val="22"/>
              </w:rPr>
              <w:t xml:space="preserve">SAO department </w:t>
            </w:r>
          </w:p>
        </w:tc>
        <w:tc>
          <w:tcPr>
            <w:tcW w:w="1843" w:type="dxa"/>
            <w:tcBorders>
              <w:top w:val="single" w:sz="4" w:space="0" w:color="auto"/>
            </w:tcBorders>
            <w:shd w:val="clear" w:color="auto" w:fill="D9D9D9" w:themeFill="background1" w:themeFillShade="D9"/>
          </w:tcPr>
          <w:p w14:paraId="54956BB8" w14:textId="77777777" w:rsidR="007518E4" w:rsidRPr="00E91C03" w:rsidRDefault="007518E4" w:rsidP="00A37969">
            <w:pPr>
              <w:spacing w:before="0"/>
              <w:ind w:left="0"/>
              <w:rPr>
                <w:sz w:val="22"/>
                <w:szCs w:val="22"/>
              </w:rPr>
            </w:pPr>
            <w:r w:rsidRPr="00E91C03">
              <w:rPr>
                <w:sz w:val="22"/>
                <w:szCs w:val="22"/>
              </w:rPr>
              <w:t>Number of entities planned</w:t>
            </w:r>
          </w:p>
        </w:tc>
        <w:tc>
          <w:tcPr>
            <w:tcW w:w="2133" w:type="dxa"/>
            <w:tcBorders>
              <w:top w:val="single" w:sz="4" w:space="0" w:color="auto"/>
            </w:tcBorders>
            <w:shd w:val="clear" w:color="auto" w:fill="D9D9D9" w:themeFill="background1" w:themeFillShade="D9"/>
          </w:tcPr>
          <w:p w14:paraId="03524851" w14:textId="77777777" w:rsidR="007518E4" w:rsidRPr="00E91C03" w:rsidRDefault="007518E4" w:rsidP="00A37969">
            <w:pPr>
              <w:spacing w:before="0"/>
              <w:ind w:left="0"/>
              <w:rPr>
                <w:sz w:val="22"/>
                <w:szCs w:val="22"/>
              </w:rPr>
            </w:pPr>
            <w:r w:rsidRPr="00E91C03">
              <w:rPr>
                <w:sz w:val="22"/>
                <w:szCs w:val="22"/>
              </w:rPr>
              <w:t>Number of planned entities covered</w:t>
            </w:r>
          </w:p>
        </w:tc>
        <w:tc>
          <w:tcPr>
            <w:tcW w:w="2261" w:type="dxa"/>
            <w:tcBorders>
              <w:top w:val="single" w:sz="4" w:space="0" w:color="auto"/>
            </w:tcBorders>
            <w:shd w:val="clear" w:color="auto" w:fill="D9D9D9" w:themeFill="background1" w:themeFillShade="D9"/>
          </w:tcPr>
          <w:p w14:paraId="06ACF012" w14:textId="77777777" w:rsidR="007518E4" w:rsidRPr="00E91C03" w:rsidRDefault="007518E4" w:rsidP="00A37969">
            <w:pPr>
              <w:spacing w:before="0"/>
              <w:ind w:left="0"/>
              <w:rPr>
                <w:sz w:val="22"/>
                <w:szCs w:val="22"/>
              </w:rPr>
            </w:pPr>
            <w:r w:rsidRPr="00E91C03">
              <w:rPr>
                <w:sz w:val="22"/>
                <w:szCs w:val="22"/>
              </w:rPr>
              <w:t>Number of unplanned entities covered</w:t>
            </w:r>
          </w:p>
        </w:tc>
      </w:tr>
      <w:tr w:rsidR="007518E4" w:rsidRPr="00C66180" w14:paraId="1441BF1D" w14:textId="77777777" w:rsidTr="00E91C03">
        <w:trPr>
          <w:jc w:val="center"/>
        </w:trPr>
        <w:tc>
          <w:tcPr>
            <w:tcW w:w="2126" w:type="dxa"/>
          </w:tcPr>
          <w:p w14:paraId="32BC6BE3" w14:textId="77777777" w:rsidR="007518E4" w:rsidRPr="00E91C03" w:rsidRDefault="007518E4" w:rsidP="00A37969">
            <w:pPr>
              <w:spacing w:before="0"/>
              <w:ind w:left="0"/>
              <w:rPr>
                <w:sz w:val="22"/>
                <w:szCs w:val="22"/>
              </w:rPr>
            </w:pPr>
            <w:r w:rsidRPr="00E91C03">
              <w:rPr>
                <w:sz w:val="22"/>
                <w:szCs w:val="22"/>
              </w:rPr>
              <w:t xml:space="preserve">State Audit </w:t>
            </w:r>
          </w:p>
        </w:tc>
        <w:tc>
          <w:tcPr>
            <w:tcW w:w="1843" w:type="dxa"/>
          </w:tcPr>
          <w:p w14:paraId="0183C24A" w14:textId="77777777" w:rsidR="007518E4" w:rsidRPr="00E91C03" w:rsidRDefault="007518E4" w:rsidP="00A37969">
            <w:pPr>
              <w:spacing w:before="0"/>
              <w:ind w:left="0"/>
              <w:jc w:val="center"/>
              <w:rPr>
                <w:sz w:val="22"/>
                <w:szCs w:val="22"/>
              </w:rPr>
            </w:pPr>
            <w:r w:rsidRPr="00E91C03">
              <w:rPr>
                <w:sz w:val="22"/>
                <w:szCs w:val="22"/>
              </w:rPr>
              <w:t>29</w:t>
            </w:r>
          </w:p>
        </w:tc>
        <w:tc>
          <w:tcPr>
            <w:tcW w:w="2133" w:type="dxa"/>
          </w:tcPr>
          <w:p w14:paraId="36C15269" w14:textId="77777777" w:rsidR="007518E4" w:rsidRPr="00E91C03" w:rsidRDefault="007518E4" w:rsidP="00A37969">
            <w:pPr>
              <w:spacing w:before="0"/>
              <w:ind w:left="0"/>
              <w:jc w:val="center"/>
              <w:rPr>
                <w:sz w:val="22"/>
                <w:szCs w:val="22"/>
              </w:rPr>
            </w:pPr>
            <w:r w:rsidRPr="00E91C03">
              <w:rPr>
                <w:sz w:val="22"/>
                <w:szCs w:val="22"/>
              </w:rPr>
              <w:t>25</w:t>
            </w:r>
          </w:p>
        </w:tc>
        <w:tc>
          <w:tcPr>
            <w:tcW w:w="2261" w:type="dxa"/>
          </w:tcPr>
          <w:p w14:paraId="318346D9" w14:textId="77777777" w:rsidR="007518E4" w:rsidRPr="00E91C03" w:rsidRDefault="007518E4" w:rsidP="00A37969">
            <w:pPr>
              <w:spacing w:before="0"/>
              <w:ind w:left="0"/>
              <w:jc w:val="center"/>
              <w:rPr>
                <w:sz w:val="22"/>
                <w:szCs w:val="22"/>
              </w:rPr>
            </w:pPr>
            <w:r w:rsidRPr="00E91C03">
              <w:rPr>
                <w:sz w:val="22"/>
                <w:szCs w:val="22"/>
              </w:rPr>
              <w:t>6</w:t>
            </w:r>
          </w:p>
        </w:tc>
      </w:tr>
      <w:tr w:rsidR="007518E4" w:rsidRPr="00C66180" w14:paraId="092F722D" w14:textId="77777777" w:rsidTr="00E91C03">
        <w:trPr>
          <w:jc w:val="center"/>
        </w:trPr>
        <w:tc>
          <w:tcPr>
            <w:tcW w:w="2126" w:type="dxa"/>
          </w:tcPr>
          <w:p w14:paraId="394D6B91" w14:textId="77777777" w:rsidR="007518E4" w:rsidRPr="00E91C03" w:rsidRDefault="007518E4" w:rsidP="00A37969">
            <w:pPr>
              <w:spacing w:before="0"/>
              <w:ind w:left="0"/>
              <w:rPr>
                <w:sz w:val="22"/>
                <w:szCs w:val="22"/>
              </w:rPr>
            </w:pPr>
            <w:r w:rsidRPr="00E91C03">
              <w:rPr>
                <w:sz w:val="22"/>
                <w:szCs w:val="22"/>
              </w:rPr>
              <w:t xml:space="preserve">Loans and Grants </w:t>
            </w:r>
          </w:p>
        </w:tc>
        <w:tc>
          <w:tcPr>
            <w:tcW w:w="1843" w:type="dxa"/>
          </w:tcPr>
          <w:p w14:paraId="6A245DB5" w14:textId="77777777" w:rsidR="007518E4" w:rsidRPr="00E91C03" w:rsidRDefault="007518E4" w:rsidP="00A37969">
            <w:pPr>
              <w:spacing w:before="0"/>
              <w:ind w:left="0"/>
              <w:jc w:val="center"/>
              <w:rPr>
                <w:sz w:val="22"/>
                <w:szCs w:val="22"/>
              </w:rPr>
            </w:pPr>
            <w:r w:rsidRPr="00E91C03">
              <w:rPr>
                <w:sz w:val="22"/>
                <w:szCs w:val="22"/>
              </w:rPr>
              <w:t>20</w:t>
            </w:r>
          </w:p>
        </w:tc>
        <w:tc>
          <w:tcPr>
            <w:tcW w:w="2133" w:type="dxa"/>
          </w:tcPr>
          <w:p w14:paraId="102BE643" w14:textId="77777777" w:rsidR="007518E4" w:rsidRPr="00E91C03" w:rsidRDefault="007518E4" w:rsidP="00A37969">
            <w:pPr>
              <w:spacing w:before="0"/>
              <w:ind w:left="0"/>
              <w:jc w:val="center"/>
              <w:rPr>
                <w:sz w:val="22"/>
                <w:szCs w:val="22"/>
              </w:rPr>
            </w:pPr>
            <w:r w:rsidRPr="00E91C03">
              <w:rPr>
                <w:sz w:val="22"/>
                <w:szCs w:val="22"/>
              </w:rPr>
              <w:t>19</w:t>
            </w:r>
          </w:p>
        </w:tc>
        <w:tc>
          <w:tcPr>
            <w:tcW w:w="2261" w:type="dxa"/>
          </w:tcPr>
          <w:p w14:paraId="7F2D5554" w14:textId="77777777" w:rsidR="007518E4" w:rsidRPr="00E91C03" w:rsidRDefault="007518E4" w:rsidP="00A37969">
            <w:pPr>
              <w:spacing w:before="0"/>
              <w:ind w:left="0"/>
              <w:jc w:val="center"/>
              <w:rPr>
                <w:sz w:val="22"/>
                <w:szCs w:val="22"/>
              </w:rPr>
            </w:pPr>
            <w:r w:rsidRPr="00E91C03">
              <w:rPr>
                <w:sz w:val="22"/>
                <w:szCs w:val="22"/>
              </w:rPr>
              <w:t>0</w:t>
            </w:r>
          </w:p>
        </w:tc>
      </w:tr>
      <w:tr w:rsidR="007518E4" w:rsidRPr="00C66180" w14:paraId="6A5A6AA3" w14:textId="77777777" w:rsidTr="00E91C03">
        <w:trPr>
          <w:jc w:val="center"/>
        </w:trPr>
        <w:tc>
          <w:tcPr>
            <w:tcW w:w="2126" w:type="dxa"/>
          </w:tcPr>
          <w:p w14:paraId="7C3BE928" w14:textId="77777777" w:rsidR="007518E4" w:rsidRPr="00E91C03" w:rsidRDefault="007518E4" w:rsidP="00A37969">
            <w:pPr>
              <w:spacing w:before="0"/>
              <w:ind w:left="0"/>
              <w:rPr>
                <w:sz w:val="22"/>
                <w:szCs w:val="22"/>
              </w:rPr>
            </w:pPr>
            <w:r w:rsidRPr="00E91C03">
              <w:rPr>
                <w:sz w:val="22"/>
                <w:szCs w:val="22"/>
              </w:rPr>
              <w:t>Bank (SOE) audit</w:t>
            </w:r>
          </w:p>
        </w:tc>
        <w:tc>
          <w:tcPr>
            <w:tcW w:w="1843" w:type="dxa"/>
          </w:tcPr>
          <w:p w14:paraId="216CA84E" w14:textId="77777777" w:rsidR="007518E4" w:rsidRPr="00E91C03" w:rsidRDefault="007518E4" w:rsidP="00A37969">
            <w:pPr>
              <w:spacing w:before="0"/>
              <w:ind w:left="0"/>
              <w:jc w:val="center"/>
              <w:rPr>
                <w:sz w:val="22"/>
                <w:szCs w:val="22"/>
              </w:rPr>
            </w:pPr>
            <w:r w:rsidRPr="00E91C03">
              <w:rPr>
                <w:sz w:val="22"/>
                <w:szCs w:val="22"/>
              </w:rPr>
              <w:t>5</w:t>
            </w:r>
          </w:p>
        </w:tc>
        <w:tc>
          <w:tcPr>
            <w:tcW w:w="2133" w:type="dxa"/>
          </w:tcPr>
          <w:p w14:paraId="60818D14" w14:textId="77777777" w:rsidR="007518E4" w:rsidRPr="00E91C03" w:rsidRDefault="007518E4" w:rsidP="00A37969">
            <w:pPr>
              <w:spacing w:before="0"/>
              <w:ind w:left="0"/>
              <w:jc w:val="center"/>
              <w:rPr>
                <w:sz w:val="22"/>
                <w:szCs w:val="22"/>
              </w:rPr>
            </w:pPr>
            <w:r w:rsidRPr="00E91C03">
              <w:rPr>
                <w:sz w:val="22"/>
                <w:szCs w:val="22"/>
              </w:rPr>
              <w:t>5</w:t>
            </w:r>
          </w:p>
        </w:tc>
        <w:tc>
          <w:tcPr>
            <w:tcW w:w="2261" w:type="dxa"/>
          </w:tcPr>
          <w:p w14:paraId="650E22D0" w14:textId="77777777" w:rsidR="007518E4" w:rsidRPr="00E91C03" w:rsidRDefault="007518E4" w:rsidP="00A37969">
            <w:pPr>
              <w:spacing w:before="0"/>
              <w:ind w:left="0"/>
              <w:jc w:val="center"/>
              <w:rPr>
                <w:sz w:val="22"/>
                <w:szCs w:val="22"/>
              </w:rPr>
            </w:pPr>
            <w:r w:rsidRPr="00E91C03">
              <w:rPr>
                <w:sz w:val="22"/>
                <w:szCs w:val="22"/>
              </w:rPr>
              <w:t>3</w:t>
            </w:r>
          </w:p>
        </w:tc>
      </w:tr>
      <w:tr w:rsidR="007518E4" w:rsidRPr="00C66180" w14:paraId="1C031F54" w14:textId="77777777" w:rsidTr="00E91C03">
        <w:trPr>
          <w:jc w:val="center"/>
        </w:trPr>
        <w:tc>
          <w:tcPr>
            <w:tcW w:w="2126" w:type="dxa"/>
          </w:tcPr>
          <w:p w14:paraId="29B9F0B1" w14:textId="77777777" w:rsidR="007518E4" w:rsidRPr="00E91C03" w:rsidRDefault="007518E4" w:rsidP="00A37969">
            <w:pPr>
              <w:spacing w:before="0"/>
              <w:ind w:left="0"/>
              <w:rPr>
                <w:sz w:val="22"/>
                <w:szCs w:val="22"/>
              </w:rPr>
            </w:pPr>
            <w:r w:rsidRPr="00E91C03">
              <w:rPr>
                <w:sz w:val="22"/>
                <w:szCs w:val="22"/>
              </w:rPr>
              <w:t>SOE</w:t>
            </w:r>
          </w:p>
        </w:tc>
        <w:tc>
          <w:tcPr>
            <w:tcW w:w="1843" w:type="dxa"/>
          </w:tcPr>
          <w:p w14:paraId="5D538B58" w14:textId="77777777" w:rsidR="007518E4" w:rsidRPr="00E91C03" w:rsidRDefault="007518E4" w:rsidP="00A37969">
            <w:pPr>
              <w:spacing w:before="0"/>
              <w:ind w:left="0"/>
              <w:jc w:val="center"/>
              <w:rPr>
                <w:sz w:val="22"/>
                <w:szCs w:val="22"/>
              </w:rPr>
            </w:pPr>
            <w:r w:rsidRPr="00E91C03">
              <w:rPr>
                <w:sz w:val="22"/>
                <w:szCs w:val="22"/>
              </w:rPr>
              <w:t>12</w:t>
            </w:r>
          </w:p>
        </w:tc>
        <w:tc>
          <w:tcPr>
            <w:tcW w:w="2133" w:type="dxa"/>
          </w:tcPr>
          <w:p w14:paraId="69158F06" w14:textId="77777777" w:rsidR="007518E4" w:rsidRPr="00E91C03" w:rsidRDefault="007518E4" w:rsidP="00A37969">
            <w:pPr>
              <w:spacing w:before="0"/>
              <w:ind w:left="0"/>
              <w:jc w:val="center"/>
              <w:rPr>
                <w:sz w:val="22"/>
                <w:szCs w:val="22"/>
              </w:rPr>
            </w:pPr>
            <w:r w:rsidRPr="00E91C03">
              <w:rPr>
                <w:sz w:val="22"/>
                <w:szCs w:val="22"/>
              </w:rPr>
              <w:t>12</w:t>
            </w:r>
          </w:p>
        </w:tc>
        <w:tc>
          <w:tcPr>
            <w:tcW w:w="2261" w:type="dxa"/>
          </w:tcPr>
          <w:p w14:paraId="7B1CD422" w14:textId="77777777" w:rsidR="007518E4" w:rsidRPr="00E91C03" w:rsidRDefault="007518E4" w:rsidP="00A37969">
            <w:pPr>
              <w:spacing w:before="0"/>
              <w:ind w:left="0"/>
              <w:jc w:val="center"/>
              <w:rPr>
                <w:sz w:val="22"/>
                <w:szCs w:val="22"/>
              </w:rPr>
            </w:pPr>
            <w:r w:rsidRPr="00E91C03">
              <w:rPr>
                <w:sz w:val="22"/>
                <w:szCs w:val="22"/>
              </w:rPr>
              <w:t>3</w:t>
            </w:r>
          </w:p>
        </w:tc>
      </w:tr>
      <w:tr w:rsidR="007518E4" w:rsidRPr="00C66180" w14:paraId="02815802" w14:textId="77777777" w:rsidTr="00E91C03">
        <w:trPr>
          <w:jc w:val="center"/>
        </w:trPr>
        <w:tc>
          <w:tcPr>
            <w:tcW w:w="2126" w:type="dxa"/>
            <w:shd w:val="clear" w:color="auto" w:fill="D9D9D9" w:themeFill="background1" w:themeFillShade="D9"/>
          </w:tcPr>
          <w:p w14:paraId="3ED5A079" w14:textId="77777777" w:rsidR="007518E4" w:rsidRPr="00F9206C" w:rsidRDefault="007518E4" w:rsidP="00A37969">
            <w:pPr>
              <w:spacing w:before="0"/>
              <w:ind w:left="0"/>
              <w:rPr>
                <w:sz w:val="22"/>
                <w:szCs w:val="22"/>
              </w:rPr>
            </w:pPr>
            <w:r w:rsidRPr="00F9206C">
              <w:rPr>
                <w:sz w:val="22"/>
                <w:szCs w:val="22"/>
              </w:rPr>
              <w:t>Total Central</w:t>
            </w:r>
          </w:p>
        </w:tc>
        <w:tc>
          <w:tcPr>
            <w:tcW w:w="1843" w:type="dxa"/>
            <w:shd w:val="clear" w:color="auto" w:fill="D9D9D9" w:themeFill="background1" w:themeFillShade="D9"/>
          </w:tcPr>
          <w:p w14:paraId="247A1C53" w14:textId="77777777" w:rsidR="007518E4" w:rsidRPr="00F9206C" w:rsidRDefault="007518E4" w:rsidP="00A37969">
            <w:pPr>
              <w:spacing w:before="0"/>
              <w:ind w:left="0"/>
              <w:jc w:val="center"/>
              <w:rPr>
                <w:sz w:val="22"/>
                <w:szCs w:val="22"/>
              </w:rPr>
            </w:pPr>
            <w:r w:rsidRPr="00F9206C">
              <w:rPr>
                <w:sz w:val="22"/>
                <w:szCs w:val="22"/>
              </w:rPr>
              <w:t>66</w:t>
            </w:r>
          </w:p>
        </w:tc>
        <w:tc>
          <w:tcPr>
            <w:tcW w:w="2133" w:type="dxa"/>
            <w:shd w:val="clear" w:color="auto" w:fill="D9D9D9" w:themeFill="background1" w:themeFillShade="D9"/>
          </w:tcPr>
          <w:p w14:paraId="7B9D51DF" w14:textId="77777777" w:rsidR="007518E4" w:rsidRPr="00F9206C" w:rsidRDefault="007518E4" w:rsidP="00A37969">
            <w:pPr>
              <w:spacing w:before="0"/>
              <w:ind w:left="0"/>
              <w:jc w:val="center"/>
              <w:rPr>
                <w:sz w:val="22"/>
                <w:szCs w:val="22"/>
              </w:rPr>
            </w:pPr>
            <w:r w:rsidRPr="00F9206C">
              <w:rPr>
                <w:sz w:val="22"/>
                <w:szCs w:val="22"/>
              </w:rPr>
              <w:t>61</w:t>
            </w:r>
          </w:p>
        </w:tc>
        <w:tc>
          <w:tcPr>
            <w:tcW w:w="2261" w:type="dxa"/>
            <w:shd w:val="clear" w:color="auto" w:fill="D9D9D9" w:themeFill="background1" w:themeFillShade="D9"/>
          </w:tcPr>
          <w:p w14:paraId="5D5AE147" w14:textId="77777777" w:rsidR="007518E4" w:rsidRPr="00F9206C" w:rsidRDefault="007518E4" w:rsidP="00A37969">
            <w:pPr>
              <w:spacing w:before="0"/>
              <w:ind w:left="0"/>
              <w:jc w:val="center"/>
              <w:rPr>
                <w:sz w:val="22"/>
                <w:szCs w:val="22"/>
              </w:rPr>
            </w:pPr>
            <w:r w:rsidRPr="00F9206C">
              <w:rPr>
                <w:sz w:val="22"/>
                <w:szCs w:val="22"/>
              </w:rPr>
              <w:t>12</w:t>
            </w:r>
          </w:p>
        </w:tc>
      </w:tr>
      <w:tr w:rsidR="007518E4" w:rsidRPr="00C66180" w14:paraId="2D34849D" w14:textId="77777777" w:rsidTr="00E91C03">
        <w:trPr>
          <w:jc w:val="center"/>
        </w:trPr>
        <w:tc>
          <w:tcPr>
            <w:tcW w:w="2126" w:type="dxa"/>
          </w:tcPr>
          <w:p w14:paraId="3719F7D4" w14:textId="77777777" w:rsidR="007518E4" w:rsidRPr="00F9206C" w:rsidRDefault="007518E4" w:rsidP="00A37969">
            <w:pPr>
              <w:spacing w:before="0"/>
              <w:ind w:left="0"/>
              <w:rPr>
                <w:sz w:val="22"/>
                <w:szCs w:val="22"/>
              </w:rPr>
            </w:pPr>
            <w:r w:rsidRPr="00F9206C">
              <w:rPr>
                <w:sz w:val="22"/>
                <w:szCs w:val="22"/>
              </w:rPr>
              <w:lastRenderedPageBreak/>
              <w:t>Northern region</w:t>
            </w:r>
          </w:p>
        </w:tc>
        <w:tc>
          <w:tcPr>
            <w:tcW w:w="1843" w:type="dxa"/>
          </w:tcPr>
          <w:p w14:paraId="7A455535" w14:textId="77777777" w:rsidR="007518E4" w:rsidRPr="00F9206C" w:rsidRDefault="007518E4" w:rsidP="00A37969">
            <w:pPr>
              <w:spacing w:before="0"/>
              <w:ind w:left="0"/>
              <w:jc w:val="center"/>
              <w:rPr>
                <w:sz w:val="22"/>
                <w:szCs w:val="22"/>
              </w:rPr>
            </w:pPr>
            <w:r w:rsidRPr="00F9206C">
              <w:rPr>
                <w:sz w:val="22"/>
                <w:szCs w:val="22"/>
              </w:rPr>
              <w:t>17</w:t>
            </w:r>
          </w:p>
        </w:tc>
        <w:tc>
          <w:tcPr>
            <w:tcW w:w="2133" w:type="dxa"/>
          </w:tcPr>
          <w:p w14:paraId="50E2D740" w14:textId="77777777" w:rsidR="007518E4" w:rsidRPr="00F9206C" w:rsidRDefault="007518E4" w:rsidP="00A37969">
            <w:pPr>
              <w:spacing w:before="0"/>
              <w:ind w:left="0"/>
              <w:jc w:val="center"/>
              <w:rPr>
                <w:sz w:val="22"/>
                <w:szCs w:val="22"/>
              </w:rPr>
            </w:pPr>
            <w:r w:rsidRPr="00F9206C">
              <w:rPr>
                <w:sz w:val="22"/>
                <w:szCs w:val="22"/>
              </w:rPr>
              <w:t>15</w:t>
            </w:r>
          </w:p>
        </w:tc>
        <w:tc>
          <w:tcPr>
            <w:tcW w:w="2261" w:type="dxa"/>
          </w:tcPr>
          <w:p w14:paraId="29689BFA" w14:textId="77777777" w:rsidR="007518E4" w:rsidRPr="00F9206C" w:rsidRDefault="007518E4" w:rsidP="00A37969">
            <w:pPr>
              <w:spacing w:before="0"/>
              <w:ind w:left="0"/>
              <w:jc w:val="center"/>
              <w:rPr>
                <w:sz w:val="22"/>
                <w:szCs w:val="22"/>
              </w:rPr>
            </w:pPr>
            <w:r w:rsidRPr="00F9206C">
              <w:rPr>
                <w:sz w:val="22"/>
                <w:szCs w:val="22"/>
              </w:rPr>
              <w:t>1</w:t>
            </w:r>
          </w:p>
        </w:tc>
      </w:tr>
      <w:tr w:rsidR="007518E4" w:rsidRPr="00C66180" w14:paraId="31FD873D" w14:textId="77777777" w:rsidTr="00E91C03">
        <w:trPr>
          <w:jc w:val="center"/>
        </w:trPr>
        <w:tc>
          <w:tcPr>
            <w:tcW w:w="2126" w:type="dxa"/>
          </w:tcPr>
          <w:p w14:paraId="52D036C1" w14:textId="77777777" w:rsidR="007518E4" w:rsidRPr="00F9206C" w:rsidRDefault="007518E4" w:rsidP="00A37969">
            <w:pPr>
              <w:spacing w:before="0"/>
              <w:ind w:left="0"/>
              <w:rPr>
                <w:sz w:val="22"/>
                <w:szCs w:val="22"/>
              </w:rPr>
            </w:pPr>
            <w:r w:rsidRPr="00F9206C">
              <w:rPr>
                <w:sz w:val="22"/>
                <w:szCs w:val="22"/>
              </w:rPr>
              <w:t xml:space="preserve">Central Region </w:t>
            </w:r>
          </w:p>
        </w:tc>
        <w:tc>
          <w:tcPr>
            <w:tcW w:w="1843" w:type="dxa"/>
          </w:tcPr>
          <w:p w14:paraId="18D15B0A" w14:textId="77777777" w:rsidR="007518E4" w:rsidRPr="00F9206C" w:rsidRDefault="007518E4" w:rsidP="00A37969">
            <w:pPr>
              <w:spacing w:before="0"/>
              <w:ind w:left="0"/>
              <w:jc w:val="center"/>
              <w:rPr>
                <w:sz w:val="22"/>
                <w:szCs w:val="22"/>
              </w:rPr>
            </w:pPr>
            <w:r w:rsidRPr="00F9206C">
              <w:rPr>
                <w:sz w:val="22"/>
                <w:szCs w:val="22"/>
              </w:rPr>
              <w:t>15</w:t>
            </w:r>
          </w:p>
        </w:tc>
        <w:tc>
          <w:tcPr>
            <w:tcW w:w="2133" w:type="dxa"/>
          </w:tcPr>
          <w:p w14:paraId="329E48B4" w14:textId="77777777" w:rsidR="007518E4" w:rsidRPr="00F9206C" w:rsidRDefault="007518E4" w:rsidP="00A37969">
            <w:pPr>
              <w:spacing w:before="0"/>
              <w:ind w:left="0"/>
              <w:jc w:val="center"/>
              <w:rPr>
                <w:sz w:val="22"/>
                <w:szCs w:val="22"/>
              </w:rPr>
            </w:pPr>
            <w:r w:rsidRPr="00F9206C">
              <w:rPr>
                <w:sz w:val="22"/>
                <w:szCs w:val="22"/>
              </w:rPr>
              <w:t>14</w:t>
            </w:r>
          </w:p>
        </w:tc>
        <w:tc>
          <w:tcPr>
            <w:tcW w:w="2261" w:type="dxa"/>
          </w:tcPr>
          <w:p w14:paraId="7D57F276" w14:textId="77777777" w:rsidR="007518E4" w:rsidRPr="00F9206C" w:rsidRDefault="007518E4" w:rsidP="00A37969">
            <w:pPr>
              <w:spacing w:before="0"/>
              <w:ind w:left="0"/>
              <w:jc w:val="center"/>
              <w:rPr>
                <w:sz w:val="22"/>
                <w:szCs w:val="22"/>
              </w:rPr>
            </w:pPr>
            <w:r w:rsidRPr="00F9206C">
              <w:rPr>
                <w:sz w:val="22"/>
                <w:szCs w:val="22"/>
              </w:rPr>
              <w:t>6</w:t>
            </w:r>
          </w:p>
        </w:tc>
      </w:tr>
      <w:tr w:rsidR="007518E4" w:rsidRPr="00C66180" w14:paraId="3556864E" w14:textId="77777777" w:rsidTr="00E91C03">
        <w:trPr>
          <w:jc w:val="center"/>
        </w:trPr>
        <w:tc>
          <w:tcPr>
            <w:tcW w:w="2126" w:type="dxa"/>
          </w:tcPr>
          <w:p w14:paraId="6639F810" w14:textId="77777777" w:rsidR="007518E4" w:rsidRPr="00F9206C" w:rsidRDefault="007518E4" w:rsidP="00A37969">
            <w:pPr>
              <w:spacing w:before="0"/>
              <w:ind w:left="0"/>
              <w:rPr>
                <w:sz w:val="22"/>
                <w:szCs w:val="22"/>
              </w:rPr>
            </w:pPr>
            <w:r w:rsidRPr="00F9206C">
              <w:rPr>
                <w:sz w:val="22"/>
                <w:szCs w:val="22"/>
              </w:rPr>
              <w:t>Southern Region</w:t>
            </w:r>
          </w:p>
        </w:tc>
        <w:tc>
          <w:tcPr>
            <w:tcW w:w="1843" w:type="dxa"/>
          </w:tcPr>
          <w:p w14:paraId="58EE73E6" w14:textId="77777777" w:rsidR="007518E4" w:rsidRPr="00F9206C" w:rsidRDefault="007518E4" w:rsidP="00A37969">
            <w:pPr>
              <w:spacing w:before="0"/>
              <w:ind w:left="0"/>
              <w:jc w:val="center"/>
              <w:rPr>
                <w:sz w:val="22"/>
                <w:szCs w:val="22"/>
              </w:rPr>
            </w:pPr>
            <w:r w:rsidRPr="00F9206C">
              <w:rPr>
                <w:sz w:val="22"/>
                <w:szCs w:val="22"/>
              </w:rPr>
              <w:t>12</w:t>
            </w:r>
          </w:p>
        </w:tc>
        <w:tc>
          <w:tcPr>
            <w:tcW w:w="2133" w:type="dxa"/>
          </w:tcPr>
          <w:p w14:paraId="4EE12295" w14:textId="77777777" w:rsidR="007518E4" w:rsidRPr="00F9206C" w:rsidRDefault="007518E4" w:rsidP="00A37969">
            <w:pPr>
              <w:spacing w:before="0"/>
              <w:ind w:left="0"/>
              <w:jc w:val="center"/>
              <w:rPr>
                <w:sz w:val="22"/>
                <w:szCs w:val="22"/>
              </w:rPr>
            </w:pPr>
            <w:r w:rsidRPr="00F9206C">
              <w:rPr>
                <w:sz w:val="22"/>
                <w:szCs w:val="22"/>
              </w:rPr>
              <w:t>12</w:t>
            </w:r>
          </w:p>
        </w:tc>
        <w:tc>
          <w:tcPr>
            <w:tcW w:w="2261" w:type="dxa"/>
          </w:tcPr>
          <w:p w14:paraId="2DF89AC7" w14:textId="77777777" w:rsidR="007518E4" w:rsidRPr="00F9206C" w:rsidRDefault="007518E4" w:rsidP="00A37969">
            <w:pPr>
              <w:spacing w:before="0"/>
              <w:ind w:left="0"/>
              <w:jc w:val="center"/>
              <w:rPr>
                <w:sz w:val="22"/>
                <w:szCs w:val="22"/>
              </w:rPr>
            </w:pPr>
            <w:r w:rsidRPr="00F9206C">
              <w:rPr>
                <w:sz w:val="22"/>
                <w:szCs w:val="22"/>
              </w:rPr>
              <w:t>0</w:t>
            </w:r>
          </w:p>
        </w:tc>
      </w:tr>
      <w:tr w:rsidR="007518E4" w:rsidRPr="00C66180" w14:paraId="08C2363D" w14:textId="77777777" w:rsidTr="00E91C03">
        <w:trPr>
          <w:jc w:val="center"/>
        </w:trPr>
        <w:tc>
          <w:tcPr>
            <w:tcW w:w="2126" w:type="dxa"/>
            <w:shd w:val="clear" w:color="auto" w:fill="D9D9D9" w:themeFill="background1" w:themeFillShade="D9"/>
          </w:tcPr>
          <w:p w14:paraId="536B3926" w14:textId="77777777" w:rsidR="007518E4" w:rsidRPr="00F9206C" w:rsidRDefault="007518E4" w:rsidP="00A37969">
            <w:pPr>
              <w:spacing w:before="0"/>
              <w:ind w:left="0"/>
              <w:rPr>
                <w:sz w:val="22"/>
                <w:szCs w:val="22"/>
              </w:rPr>
            </w:pPr>
            <w:r w:rsidRPr="00F9206C">
              <w:rPr>
                <w:sz w:val="22"/>
                <w:szCs w:val="22"/>
              </w:rPr>
              <w:t>Total Regions</w:t>
            </w:r>
          </w:p>
        </w:tc>
        <w:tc>
          <w:tcPr>
            <w:tcW w:w="1843" w:type="dxa"/>
            <w:shd w:val="clear" w:color="auto" w:fill="D9D9D9" w:themeFill="background1" w:themeFillShade="D9"/>
          </w:tcPr>
          <w:p w14:paraId="537C4656" w14:textId="77777777" w:rsidR="007518E4" w:rsidRPr="00F9206C" w:rsidRDefault="007518E4" w:rsidP="00A37969">
            <w:pPr>
              <w:spacing w:before="0"/>
              <w:ind w:left="0"/>
              <w:jc w:val="center"/>
              <w:rPr>
                <w:sz w:val="22"/>
                <w:szCs w:val="22"/>
              </w:rPr>
            </w:pPr>
            <w:r w:rsidRPr="00F9206C">
              <w:rPr>
                <w:sz w:val="22"/>
                <w:szCs w:val="22"/>
              </w:rPr>
              <w:t>44</w:t>
            </w:r>
          </w:p>
        </w:tc>
        <w:tc>
          <w:tcPr>
            <w:tcW w:w="2133" w:type="dxa"/>
            <w:shd w:val="clear" w:color="auto" w:fill="D9D9D9" w:themeFill="background1" w:themeFillShade="D9"/>
          </w:tcPr>
          <w:p w14:paraId="61A341C8" w14:textId="77777777" w:rsidR="007518E4" w:rsidRPr="00F9206C" w:rsidRDefault="007518E4" w:rsidP="00A37969">
            <w:pPr>
              <w:spacing w:before="0"/>
              <w:ind w:left="0"/>
              <w:jc w:val="center"/>
              <w:rPr>
                <w:sz w:val="22"/>
                <w:szCs w:val="22"/>
              </w:rPr>
            </w:pPr>
            <w:r w:rsidRPr="00F9206C">
              <w:rPr>
                <w:sz w:val="22"/>
                <w:szCs w:val="22"/>
              </w:rPr>
              <w:t>41</w:t>
            </w:r>
          </w:p>
        </w:tc>
        <w:tc>
          <w:tcPr>
            <w:tcW w:w="2261" w:type="dxa"/>
            <w:shd w:val="clear" w:color="auto" w:fill="D9D9D9" w:themeFill="background1" w:themeFillShade="D9"/>
          </w:tcPr>
          <w:p w14:paraId="4F1F8F1D" w14:textId="77777777" w:rsidR="007518E4" w:rsidRPr="00F9206C" w:rsidRDefault="007518E4" w:rsidP="00A37969">
            <w:pPr>
              <w:spacing w:before="0"/>
              <w:ind w:left="0"/>
              <w:jc w:val="center"/>
              <w:rPr>
                <w:sz w:val="22"/>
                <w:szCs w:val="22"/>
              </w:rPr>
            </w:pPr>
            <w:r w:rsidRPr="00F9206C">
              <w:rPr>
                <w:sz w:val="22"/>
                <w:szCs w:val="22"/>
              </w:rPr>
              <w:t>7</w:t>
            </w:r>
          </w:p>
        </w:tc>
      </w:tr>
      <w:tr w:rsidR="007518E4" w:rsidRPr="00C66180" w14:paraId="75ABDCD3" w14:textId="77777777" w:rsidTr="00E91C03">
        <w:trPr>
          <w:jc w:val="center"/>
        </w:trPr>
        <w:tc>
          <w:tcPr>
            <w:tcW w:w="2126" w:type="dxa"/>
            <w:shd w:val="clear" w:color="auto" w:fill="F2F2F2" w:themeFill="background1" w:themeFillShade="F2"/>
          </w:tcPr>
          <w:p w14:paraId="1DA76873" w14:textId="77777777" w:rsidR="007518E4" w:rsidRPr="00F9206C" w:rsidRDefault="007518E4" w:rsidP="00A37969">
            <w:pPr>
              <w:spacing w:before="0"/>
              <w:ind w:left="0"/>
              <w:rPr>
                <w:sz w:val="22"/>
                <w:szCs w:val="22"/>
              </w:rPr>
            </w:pPr>
            <w:r w:rsidRPr="00F9206C">
              <w:rPr>
                <w:sz w:val="22"/>
                <w:szCs w:val="22"/>
              </w:rPr>
              <w:t xml:space="preserve">Total </w:t>
            </w:r>
          </w:p>
        </w:tc>
        <w:tc>
          <w:tcPr>
            <w:tcW w:w="1843" w:type="dxa"/>
            <w:shd w:val="clear" w:color="auto" w:fill="F2F2F2" w:themeFill="background1" w:themeFillShade="F2"/>
          </w:tcPr>
          <w:p w14:paraId="3A5ED6A6" w14:textId="77777777" w:rsidR="007518E4" w:rsidRPr="00F9206C" w:rsidRDefault="007518E4" w:rsidP="00A37969">
            <w:pPr>
              <w:spacing w:before="0"/>
              <w:ind w:left="0"/>
              <w:jc w:val="center"/>
              <w:rPr>
                <w:sz w:val="22"/>
                <w:szCs w:val="22"/>
              </w:rPr>
            </w:pPr>
            <w:r w:rsidRPr="00F9206C">
              <w:rPr>
                <w:sz w:val="22"/>
                <w:szCs w:val="22"/>
              </w:rPr>
              <w:t>110</w:t>
            </w:r>
          </w:p>
        </w:tc>
        <w:tc>
          <w:tcPr>
            <w:tcW w:w="2133" w:type="dxa"/>
            <w:shd w:val="clear" w:color="auto" w:fill="F2F2F2" w:themeFill="background1" w:themeFillShade="F2"/>
          </w:tcPr>
          <w:p w14:paraId="635D7419" w14:textId="77777777" w:rsidR="007518E4" w:rsidRPr="00F9206C" w:rsidRDefault="007518E4" w:rsidP="00A37969">
            <w:pPr>
              <w:spacing w:before="0"/>
              <w:ind w:left="0"/>
              <w:jc w:val="center"/>
              <w:rPr>
                <w:sz w:val="22"/>
                <w:szCs w:val="22"/>
              </w:rPr>
            </w:pPr>
            <w:r w:rsidRPr="00F9206C">
              <w:rPr>
                <w:sz w:val="22"/>
                <w:szCs w:val="22"/>
              </w:rPr>
              <w:t>102</w:t>
            </w:r>
          </w:p>
        </w:tc>
        <w:tc>
          <w:tcPr>
            <w:tcW w:w="2261" w:type="dxa"/>
            <w:shd w:val="clear" w:color="auto" w:fill="F2F2F2" w:themeFill="background1" w:themeFillShade="F2"/>
          </w:tcPr>
          <w:p w14:paraId="133BBC1A" w14:textId="77777777" w:rsidR="007518E4" w:rsidRPr="00F9206C" w:rsidRDefault="007518E4" w:rsidP="00A37969">
            <w:pPr>
              <w:spacing w:before="0"/>
              <w:ind w:left="0"/>
              <w:jc w:val="center"/>
              <w:rPr>
                <w:sz w:val="22"/>
                <w:szCs w:val="22"/>
              </w:rPr>
            </w:pPr>
            <w:r w:rsidRPr="00F9206C">
              <w:rPr>
                <w:sz w:val="22"/>
                <w:szCs w:val="22"/>
              </w:rPr>
              <w:t>19</w:t>
            </w:r>
          </w:p>
        </w:tc>
      </w:tr>
    </w:tbl>
    <w:p w14:paraId="5D43915F" w14:textId="77777777" w:rsidR="007518E4" w:rsidRPr="003A6C8B" w:rsidRDefault="007518E4" w:rsidP="007518E4">
      <w:pPr>
        <w:spacing w:before="0"/>
        <w:ind w:left="1440"/>
        <w:rPr>
          <w:rFonts w:ascii="Times New Roman" w:hAnsi="Times New Roman"/>
        </w:rPr>
      </w:pPr>
      <w:r w:rsidRPr="003A6C8B">
        <w:rPr>
          <w:rFonts w:ascii="Times New Roman" w:hAnsi="Times New Roman"/>
        </w:rPr>
        <w:t>Source: SAO for 201</w:t>
      </w:r>
      <w:r w:rsidR="009C6DD7">
        <w:rPr>
          <w:rFonts w:ascii="Times New Roman" w:hAnsi="Times New Roman"/>
        </w:rPr>
        <w:t>4</w:t>
      </w:r>
      <w:r w:rsidRPr="003A6C8B">
        <w:rPr>
          <w:rFonts w:ascii="Times New Roman" w:hAnsi="Times New Roman"/>
        </w:rPr>
        <w:t>/2015</w:t>
      </w:r>
    </w:p>
    <w:p w14:paraId="042CDA22" w14:textId="77777777" w:rsidR="007518E4" w:rsidRDefault="007518E4" w:rsidP="00005321">
      <w:pPr>
        <w:pStyle w:val="ListParagraph"/>
        <w:numPr>
          <w:ilvl w:val="0"/>
          <w:numId w:val="113"/>
        </w:numPr>
        <w:ind w:left="0" w:firstLine="0"/>
        <w:contextualSpacing w:val="0"/>
        <w:rPr>
          <w:rFonts w:ascii="Times New Roman" w:hAnsi="Times New Roman"/>
          <w:sz w:val="24"/>
        </w:rPr>
      </w:pPr>
      <w:r w:rsidRPr="00A37969">
        <w:rPr>
          <w:rFonts w:ascii="Times New Roman" w:hAnsi="Times New Roman"/>
          <w:b/>
          <w:sz w:val="24"/>
        </w:rPr>
        <w:t>The information was also provided for 2017 but before the final submission of the report to the NA</w:t>
      </w:r>
      <w:r w:rsidRPr="003A6C8B">
        <w:rPr>
          <w:rFonts w:ascii="Times New Roman" w:hAnsi="Times New Roman"/>
          <w:sz w:val="24"/>
        </w:rPr>
        <w:t xml:space="preserve">. It is difficult to estimate the coverage of the audits in the absence of the detailed budget for all audited entities (such as Ministry of Defense and provincial entities) but based on the available data from the SAO report published for 2014/2015 and the data provided by SAO for 2015/16 and 2017, </w:t>
      </w:r>
      <w:proofErr w:type="gramStart"/>
      <w:r w:rsidRPr="003A6C8B">
        <w:rPr>
          <w:rFonts w:ascii="Times New Roman" w:hAnsi="Times New Roman"/>
          <w:sz w:val="24"/>
        </w:rPr>
        <w:t>the majority of</w:t>
      </w:r>
      <w:proofErr w:type="gramEnd"/>
      <w:r w:rsidRPr="003A6C8B">
        <w:rPr>
          <w:rFonts w:ascii="Times New Roman" w:hAnsi="Times New Roman"/>
          <w:sz w:val="24"/>
        </w:rPr>
        <w:t xml:space="preserve"> total state budget expenditures is covered by the SAO financial audit. This data is confirmed by the 2016 WB report on Self-assessment of Progress under SAO Action Plan 2009-2020. </w:t>
      </w:r>
    </w:p>
    <w:p w14:paraId="47B8FE0D" w14:textId="77777777" w:rsidR="007518E4" w:rsidRDefault="007518E4" w:rsidP="00005321">
      <w:pPr>
        <w:pStyle w:val="ListParagraph"/>
        <w:numPr>
          <w:ilvl w:val="0"/>
          <w:numId w:val="113"/>
        </w:numPr>
        <w:ind w:left="0" w:firstLine="0"/>
        <w:contextualSpacing w:val="0"/>
        <w:rPr>
          <w:rFonts w:ascii="Times New Roman" w:hAnsi="Times New Roman"/>
          <w:sz w:val="24"/>
        </w:rPr>
      </w:pPr>
      <w:r w:rsidRPr="00A37969">
        <w:rPr>
          <w:rFonts w:ascii="Times New Roman" w:hAnsi="Times New Roman"/>
          <w:b/>
          <w:sz w:val="24"/>
        </w:rPr>
        <w:t>The SAO has started the process of introducing the international auditing standards for SAIs (ISSAIs) into its auditing methodology</w:t>
      </w:r>
      <w:r w:rsidR="00E91C03">
        <w:rPr>
          <w:rFonts w:ascii="Times New Roman" w:hAnsi="Times New Roman"/>
          <w:sz w:val="24"/>
        </w:rPr>
        <w:t xml:space="preserve">. </w:t>
      </w:r>
      <w:r w:rsidR="00A37969">
        <w:rPr>
          <w:rFonts w:ascii="Times New Roman" w:hAnsi="Times New Roman"/>
          <w:sz w:val="24"/>
        </w:rPr>
        <w:t>However,</w:t>
      </w:r>
      <w:r w:rsidRPr="003A6C8B">
        <w:rPr>
          <w:rFonts w:ascii="Times New Roman" w:hAnsi="Times New Roman"/>
          <w:sz w:val="24"/>
        </w:rPr>
        <w:t xml:space="preserve"> its capacity to carry out, and report on, audits in full accordance with the ISSAI framework remains limited. </w:t>
      </w:r>
      <w:r w:rsidRPr="009D4A92">
        <w:rPr>
          <w:rFonts w:ascii="Times New Roman" w:hAnsi="Times New Roman"/>
          <w:sz w:val="24"/>
        </w:rPr>
        <w:t>The SAO regulatory framework does not include any definition of standards that can be</w:t>
      </w:r>
      <w:r>
        <w:rPr>
          <w:rFonts w:ascii="Times New Roman" w:hAnsi="Times New Roman"/>
          <w:sz w:val="24"/>
        </w:rPr>
        <w:t xml:space="preserve"> considered acceptable (ref. article </w:t>
      </w:r>
      <w:r w:rsidRPr="009D4A92">
        <w:rPr>
          <w:rFonts w:ascii="Times New Roman" w:hAnsi="Times New Roman"/>
          <w:sz w:val="24"/>
        </w:rPr>
        <w:t>6 State Audit Law)</w:t>
      </w:r>
      <w:r w:rsidR="00E91C03">
        <w:rPr>
          <w:rFonts w:ascii="Times New Roman" w:hAnsi="Times New Roman"/>
          <w:sz w:val="24"/>
        </w:rPr>
        <w:t xml:space="preserve">. </w:t>
      </w:r>
      <w:r w:rsidRPr="003A6C8B">
        <w:rPr>
          <w:rFonts w:ascii="Times New Roman" w:hAnsi="Times New Roman"/>
          <w:sz w:val="24"/>
        </w:rPr>
        <w:t>At present, it has limited coverage and limited to levels 2 and 3 of the ISSAI standards. Manuals, standards and methodologies in place are old and are in the process of being updated Audit reports are comprehensive, with findings and recommendations, including management letters, but the SAI issues only a limited number of audit reports complying with the Level 4 ISSAI reporting standards. Quality control systems and procedures are in place supporting the audit work. It is established within the SAO structure, in all departments but with limited staff.</w:t>
      </w:r>
    </w:p>
    <w:p w14:paraId="1EF71F4D" w14:textId="77777777" w:rsidR="007518E4" w:rsidRDefault="007518E4" w:rsidP="00005321">
      <w:pPr>
        <w:pStyle w:val="ListParagraph"/>
        <w:numPr>
          <w:ilvl w:val="0"/>
          <w:numId w:val="113"/>
        </w:numPr>
        <w:ind w:left="0" w:firstLine="0"/>
        <w:contextualSpacing w:val="0"/>
        <w:rPr>
          <w:rFonts w:ascii="Times New Roman" w:hAnsi="Times New Roman"/>
          <w:sz w:val="24"/>
        </w:rPr>
      </w:pPr>
      <w:r w:rsidRPr="00A37969">
        <w:rPr>
          <w:rFonts w:ascii="Times New Roman" w:hAnsi="Times New Roman"/>
          <w:b/>
          <w:sz w:val="24"/>
        </w:rPr>
        <w:t xml:space="preserve">SAO is member of INTOSAI, ASOSAI, </w:t>
      </w:r>
      <w:r w:rsidR="00A37969">
        <w:rPr>
          <w:rFonts w:ascii="Times New Roman" w:hAnsi="Times New Roman"/>
          <w:b/>
          <w:sz w:val="24"/>
        </w:rPr>
        <w:t xml:space="preserve">and </w:t>
      </w:r>
      <w:r w:rsidRPr="00A37969">
        <w:rPr>
          <w:rFonts w:ascii="Times New Roman" w:hAnsi="Times New Roman"/>
          <w:b/>
          <w:sz w:val="24"/>
        </w:rPr>
        <w:t>ASEANSAI</w:t>
      </w:r>
      <w:r w:rsidR="00E91C03">
        <w:rPr>
          <w:rFonts w:ascii="Times New Roman" w:hAnsi="Times New Roman"/>
          <w:sz w:val="24"/>
        </w:rPr>
        <w:t xml:space="preserve">. </w:t>
      </w:r>
      <w:r w:rsidR="00434460">
        <w:rPr>
          <w:rFonts w:ascii="Times New Roman" w:hAnsi="Times New Roman"/>
          <w:sz w:val="24"/>
        </w:rPr>
        <w:t>It</w:t>
      </w:r>
      <w:r w:rsidRPr="003A6C8B">
        <w:rPr>
          <w:rFonts w:ascii="Times New Roman" w:hAnsi="Times New Roman"/>
          <w:sz w:val="24"/>
        </w:rPr>
        <w:t xml:space="preserve"> participates extensively in cooperation and capacity development activities.</w:t>
      </w:r>
    </w:p>
    <w:p w14:paraId="09789A01" w14:textId="77777777" w:rsidR="007518E4" w:rsidRPr="001E0B51" w:rsidRDefault="007518E4" w:rsidP="00005321">
      <w:pPr>
        <w:pStyle w:val="ListParagraph"/>
        <w:numPr>
          <w:ilvl w:val="0"/>
          <w:numId w:val="113"/>
        </w:numPr>
        <w:ind w:left="0" w:firstLine="0"/>
        <w:contextualSpacing w:val="0"/>
        <w:rPr>
          <w:rFonts w:ascii="Times New Roman" w:eastAsia="Calibri" w:hAnsi="Times New Roman"/>
          <w:sz w:val="24"/>
        </w:rPr>
      </w:pPr>
      <w:r w:rsidRPr="00434460">
        <w:rPr>
          <w:rFonts w:ascii="Times New Roman" w:hAnsi="Times New Roman"/>
          <w:b/>
          <w:sz w:val="24"/>
        </w:rPr>
        <w:t>The SAO recognizes that its capacity and resources are still too limited to carry out annual financial audits of all entities in accordance with its legal responsibilities.</w:t>
      </w:r>
      <w:r w:rsidRPr="003A6C8B">
        <w:rPr>
          <w:rFonts w:ascii="Times New Roman" w:hAnsi="Times New Roman"/>
          <w:sz w:val="24"/>
        </w:rPr>
        <w:t xml:space="preserve"> An increasing number of CPA-qualified auditors are involved in performing financial audits, but capacity to apply a consistent and documented risk-based approach and undertake performance audit is still lacking, except in the context of the support provided by t</w:t>
      </w:r>
      <w:r w:rsidR="00E91C03">
        <w:rPr>
          <w:rFonts w:ascii="Times New Roman" w:hAnsi="Times New Roman"/>
          <w:sz w:val="24"/>
        </w:rPr>
        <w:t xml:space="preserve">he international cooperation.  </w:t>
      </w:r>
    </w:p>
    <w:p w14:paraId="72B8C159" w14:textId="77777777" w:rsidR="001E0B51" w:rsidRPr="001E0B51" w:rsidRDefault="001E0B51" w:rsidP="001E0B51">
      <w:pPr>
        <w:pStyle w:val="ListParagraph"/>
        <w:numPr>
          <w:ilvl w:val="0"/>
          <w:numId w:val="113"/>
        </w:numPr>
        <w:ind w:left="0" w:firstLine="0"/>
        <w:contextualSpacing w:val="0"/>
        <w:rPr>
          <w:rFonts w:ascii="Times New Roman" w:eastAsia="Calibri" w:hAnsi="Times New Roman"/>
          <w:sz w:val="24"/>
        </w:rPr>
      </w:pPr>
      <w:r>
        <w:rPr>
          <w:rFonts w:ascii="Times New Roman" w:eastAsia="Calibri" w:hAnsi="Times New Roman"/>
          <w:sz w:val="24"/>
        </w:rPr>
        <w:t>T</w:t>
      </w:r>
      <w:r w:rsidRPr="001E0B51">
        <w:rPr>
          <w:rFonts w:ascii="Times New Roman" w:hAnsi="Times New Roman"/>
          <w:b/>
          <w:sz w:val="24"/>
        </w:rPr>
        <w:t xml:space="preserve">he coverage of the SAO audits </w:t>
      </w:r>
      <w:r w:rsidR="009C6DD7">
        <w:rPr>
          <w:rFonts w:ascii="Times New Roman" w:hAnsi="Times New Roman"/>
          <w:b/>
          <w:sz w:val="24"/>
        </w:rPr>
        <w:t xml:space="preserve">for the last completed fiscal years </w:t>
      </w:r>
      <w:r w:rsidRPr="001E0B51">
        <w:rPr>
          <w:rFonts w:ascii="Times New Roman" w:hAnsi="Times New Roman"/>
          <w:b/>
          <w:sz w:val="24"/>
        </w:rPr>
        <w:t>has been reported</w:t>
      </w:r>
      <w:r w:rsidR="009C6DD7">
        <w:rPr>
          <w:rFonts w:ascii="Times New Roman" w:hAnsi="Times New Roman"/>
          <w:b/>
          <w:sz w:val="24"/>
        </w:rPr>
        <w:t xml:space="preserve"> and calculated</w:t>
      </w:r>
      <w:r w:rsidRPr="001E0B51">
        <w:rPr>
          <w:rFonts w:ascii="Times New Roman" w:hAnsi="Times New Roman"/>
          <w:b/>
          <w:sz w:val="24"/>
        </w:rPr>
        <w:t xml:space="preserve"> as follows:</w:t>
      </w:r>
    </w:p>
    <w:p w14:paraId="34DE5AE2" w14:textId="77777777" w:rsidR="004B1F4E" w:rsidRDefault="004B1F4E">
      <w:pPr>
        <w:spacing w:after="240" w:line="276" w:lineRule="auto"/>
        <w:rPr>
          <w:rFonts w:ascii="Times New Roman" w:eastAsia="Calibri" w:hAnsi="Times New Roman"/>
          <w:sz w:val="24"/>
        </w:rPr>
      </w:pPr>
      <w:r>
        <w:rPr>
          <w:rFonts w:ascii="Times New Roman" w:eastAsia="Calibri" w:hAnsi="Times New Roman"/>
          <w:sz w:val="24"/>
        </w:rPr>
        <w:br w:type="page"/>
      </w:r>
    </w:p>
    <w:p w14:paraId="51516B24" w14:textId="77777777" w:rsidR="00D737E9" w:rsidRDefault="00D737E9">
      <w:pPr>
        <w:pStyle w:val="ListParagraph"/>
        <w:ind w:left="0"/>
        <w:contextualSpacing w:val="0"/>
        <w:rPr>
          <w:rFonts w:ascii="Times New Roman" w:eastAsia="Calibri" w:hAnsi="Times New Roman"/>
          <w:sz w:val="24"/>
        </w:rPr>
      </w:pPr>
    </w:p>
    <w:tbl>
      <w:tblPr>
        <w:tblStyle w:val="TableGrid"/>
        <w:tblW w:w="0" w:type="auto"/>
        <w:tblLook w:val="04A0" w:firstRow="1" w:lastRow="0" w:firstColumn="1" w:lastColumn="0" w:noHBand="0" w:noVBand="1"/>
      </w:tblPr>
      <w:tblGrid>
        <w:gridCol w:w="1804"/>
        <w:gridCol w:w="1803"/>
        <w:gridCol w:w="1803"/>
        <w:gridCol w:w="1803"/>
        <w:gridCol w:w="1803"/>
      </w:tblGrid>
      <w:tr w:rsidR="001E0B51" w14:paraId="0A5B3368" w14:textId="77777777" w:rsidTr="001E0B51">
        <w:tc>
          <w:tcPr>
            <w:tcW w:w="1804" w:type="dxa"/>
          </w:tcPr>
          <w:p w14:paraId="3B881227" w14:textId="77777777" w:rsidR="00D737E9" w:rsidRDefault="001E0B51">
            <w:pPr>
              <w:pStyle w:val="ListParagraph"/>
              <w:ind w:left="0"/>
              <w:contextualSpacing w:val="0"/>
              <w:rPr>
                <w:rFonts w:asciiTheme="minorHAnsi" w:eastAsia="Calibri" w:hAnsiTheme="minorHAnsi"/>
                <w:sz w:val="22"/>
              </w:rPr>
            </w:pPr>
            <w:r>
              <w:rPr>
                <w:rFonts w:eastAsia="Calibri"/>
              </w:rPr>
              <w:t>Audit period</w:t>
            </w:r>
            <w:r w:rsidR="00762FDF">
              <w:rPr>
                <w:rFonts w:eastAsia="Calibri"/>
              </w:rPr>
              <w:t xml:space="preserve"> (covering previous FY)</w:t>
            </w:r>
          </w:p>
        </w:tc>
        <w:tc>
          <w:tcPr>
            <w:tcW w:w="1803" w:type="dxa"/>
          </w:tcPr>
          <w:p w14:paraId="6E2D4658" w14:textId="77777777" w:rsidR="00D737E9" w:rsidRDefault="001E0B51">
            <w:pPr>
              <w:pStyle w:val="ListParagraph"/>
              <w:ind w:left="0"/>
              <w:contextualSpacing w:val="0"/>
              <w:rPr>
                <w:rFonts w:asciiTheme="minorHAnsi" w:eastAsia="Calibri" w:hAnsiTheme="minorHAnsi"/>
                <w:sz w:val="22"/>
              </w:rPr>
            </w:pPr>
            <w:r>
              <w:rPr>
                <w:rFonts w:eastAsia="Calibri"/>
              </w:rPr>
              <w:t xml:space="preserve">Number of entities Planned </w:t>
            </w:r>
          </w:p>
        </w:tc>
        <w:tc>
          <w:tcPr>
            <w:tcW w:w="1803" w:type="dxa"/>
          </w:tcPr>
          <w:p w14:paraId="59F0988D" w14:textId="77777777" w:rsidR="00D737E9" w:rsidRDefault="001E0B51">
            <w:pPr>
              <w:pStyle w:val="ListParagraph"/>
              <w:ind w:left="0"/>
              <w:contextualSpacing w:val="0"/>
              <w:rPr>
                <w:rFonts w:asciiTheme="minorHAnsi" w:eastAsia="Calibri" w:hAnsiTheme="minorHAnsi"/>
                <w:sz w:val="22"/>
              </w:rPr>
            </w:pPr>
            <w:r>
              <w:rPr>
                <w:rFonts w:eastAsia="Calibri"/>
              </w:rPr>
              <w:t xml:space="preserve">Number of entities covered </w:t>
            </w:r>
          </w:p>
        </w:tc>
        <w:tc>
          <w:tcPr>
            <w:tcW w:w="1803" w:type="dxa"/>
          </w:tcPr>
          <w:p w14:paraId="7E19395A" w14:textId="77777777" w:rsidR="00D737E9" w:rsidRDefault="001E0B51">
            <w:pPr>
              <w:ind w:left="18"/>
              <w:rPr>
                <w:rFonts w:asciiTheme="minorHAnsi" w:eastAsia="Calibri" w:hAnsiTheme="minorHAnsi"/>
                <w:sz w:val="22"/>
              </w:rPr>
            </w:pPr>
            <w:r>
              <w:rPr>
                <w:rFonts w:eastAsia="Calibri"/>
              </w:rPr>
              <w:t>Total expenditure coverage planned</w:t>
            </w:r>
          </w:p>
        </w:tc>
        <w:tc>
          <w:tcPr>
            <w:tcW w:w="1803" w:type="dxa"/>
          </w:tcPr>
          <w:p w14:paraId="28BA339F" w14:textId="77777777" w:rsidR="00D737E9" w:rsidRDefault="00762FDF">
            <w:pPr>
              <w:pStyle w:val="ListParagraph"/>
              <w:ind w:left="0"/>
              <w:contextualSpacing w:val="0"/>
              <w:rPr>
                <w:rFonts w:asciiTheme="minorHAnsi" w:eastAsia="Calibri" w:hAnsiTheme="minorHAnsi"/>
                <w:sz w:val="22"/>
              </w:rPr>
            </w:pPr>
            <w:r>
              <w:rPr>
                <w:rFonts w:eastAsia="Calibri"/>
              </w:rPr>
              <w:t>Estimated t</w:t>
            </w:r>
            <w:r w:rsidR="001E0B51">
              <w:rPr>
                <w:rFonts w:eastAsia="Calibri"/>
              </w:rPr>
              <w:t xml:space="preserve">otal expenditure </w:t>
            </w:r>
            <w:proofErr w:type="gramStart"/>
            <w:r w:rsidR="001E0B51">
              <w:rPr>
                <w:rFonts w:eastAsia="Calibri"/>
              </w:rPr>
              <w:t>actually covered</w:t>
            </w:r>
            <w:proofErr w:type="gramEnd"/>
            <w:r w:rsidR="009C6DD7">
              <w:rPr>
                <w:rStyle w:val="FootnoteReference"/>
                <w:rFonts w:eastAsia="Calibri"/>
              </w:rPr>
              <w:footnoteReference w:id="54"/>
            </w:r>
          </w:p>
        </w:tc>
      </w:tr>
      <w:tr w:rsidR="001E0B51" w14:paraId="242E48D1" w14:textId="77777777" w:rsidTr="001E0B51">
        <w:tc>
          <w:tcPr>
            <w:tcW w:w="1804" w:type="dxa"/>
          </w:tcPr>
          <w:p w14:paraId="67CFCBAF" w14:textId="77777777" w:rsidR="00D737E9" w:rsidRDefault="001E0B51">
            <w:pPr>
              <w:pStyle w:val="ListParagraph"/>
              <w:ind w:left="0"/>
              <w:contextualSpacing w:val="0"/>
              <w:rPr>
                <w:rFonts w:asciiTheme="minorHAnsi" w:eastAsia="Calibri" w:hAnsiTheme="minorHAnsi"/>
                <w:sz w:val="22"/>
              </w:rPr>
            </w:pPr>
            <w:r>
              <w:rPr>
                <w:rFonts w:eastAsia="Calibri"/>
              </w:rPr>
              <w:t>2014-15</w:t>
            </w:r>
          </w:p>
        </w:tc>
        <w:tc>
          <w:tcPr>
            <w:tcW w:w="1803" w:type="dxa"/>
          </w:tcPr>
          <w:p w14:paraId="29C5ED8A" w14:textId="77777777" w:rsidR="00D737E9" w:rsidRDefault="00762FDF">
            <w:pPr>
              <w:pStyle w:val="ListParagraph"/>
              <w:ind w:left="0"/>
              <w:contextualSpacing w:val="0"/>
              <w:rPr>
                <w:rFonts w:asciiTheme="minorHAnsi" w:eastAsia="Calibri" w:hAnsiTheme="minorHAnsi"/>
                <w:sz w:val="22"/>
              </w:rPr>
            </w:pPr>
            <w:r>
              <w:rPr>
                <w:rFonts w:eastAsia="Calibri"/>
              </w:rPr>
              <w:t>89</w:t>
            </w:r>
          </w:p>
        </w:tc>
        <w:tc>
          <w:tcPr>
            <w:tcW w:w="1803" w:type="dxa"/>
          </w:tcPr>
          <w:p w14:paraId="29368F5E" w14:textId="77777777" w:rsidR="00D737E9" w:rsidRDefault="00762FDF">
            <w:pPr>
              <w:pStyle w:val="ListParagraph"/>
              <w:ind w:left="0"/>
              <w:contextualSpacing w:val="0"/>
              <w:rPr>
                <w:rFonts w:asciiTheme="minorHAnsi" w:eastAsia="Calibri" w:hAnsiTheme="minorHAnsi"/>
                <w:sz w:val="22"/>
              </w:rPr>
            </w:pPr>
            <w:r>
              <w:rPr>
                <w:rFonts w:eastAsia="Calibri"/>
              </w:rPr>
              <w:t>93</w:t>
            </w:r>
          </w:p>
        </w:tc>
        <w:tc>
          <w:tcPr>
            <w:tcW w:w="1803" w:type="dxa"/>
          </w:tcPr>
          <w:p w14:paraId="2D26C086" w14:textId="77777777" w:rsidR="00D737E9" w:rsidRDefault="00762FDF">
            <w:pPr>
              <w:pStyle w:val="ListParagraph"/>
              <w:ind w:left="0"/>
              <w:contextualSpacing w:val="0"/>
              <w:rPr>
                <w:rFonts w:asciiTheme="minorHAnsi" w:eastAsia="Calibri" w:hAnsiTheme="minorHAnsi"/>
                <w:sz w:val="22"/>
              </w:rPr>
            </w:pPr>
            <w:r>
              <w:rPr>
                <w:rFonts w:eastAsia="Calibri"/>
              </w:rPr>
              <w:t>14,395,271</w:t>
            </w:r>
          </w:p>
        </w:tc>
        <w:tc>
          <w:tcPr>
            <w:tcW w:w="1803" w:type="dxa"/>
          </w:tcPr>
          <w:p w14:paraId="42B49112" w14:textId="77777777" w:rsidR="00D737E9" w:rsidRDefault="00762FDF">
            <w:pPr>
              <w:pStyle w:val="ListParagraph"/>
              <w:ind w:left="0"/>
              <w:contextualSpacing w:val="0"/>
              <w:rPr>
                <w:rFonts w:asciiTheme="minorHAnsi" w:eastAsia="Calibri" w:hAnsiTheme="minorHAnsi"/>
                <w:sz w:val="22"/>
              </w:rPr>
            </w:pPr>
            <w:r>
              <w:rPr>
                <w:rFonts w:eastAsia="Calibri"/>
              </w:rPr>
              <w:t>51%</w:t>
            </w:r>
          </w:p>
        </w:tc>
      </w:tr>
      <w:tr w:rsidR="001E0B51" w14:paraId="690D1289" w14:textId="77777777" w:rsidTr="001E0B51">
        <w:tc>
          <w:tcPr>
            <w:tcW w:w="1804" w:type="dxa"/>
          </w:tcPr>
          <w:p w14:paraId="1EAC3545" w14:textId="77777777" w:rsidR="00D737E9" w:rsidRDefault="001E0B51">
            <w:pPr>
              <w:pStyle w:val="ListParagraph"/>
              <w:ind w:left="0"/>
              <w:contextualSpacing w:val="0"/>
              <w:rPr>
                <w:rFonts w:asciiTheme="minorHAnsi" w:eastAsia="Calibri" w:hAnsiTheme="minorHAnsi"/>
                <w:sz w:val="22"/>
              </w:rPr>
            </w:pPr>
            <w:r>
              <w:rPr>
                <w:rFonts w:eastAsia="Calibri"/>
              </w:rPr>
              <w:t>2015-16</w:t>
            </w:r>
          </w:p>
        </w:tc>
        <w:tc>
          <w:tcPr>
            <w:tcW w:w="1803" w:type="dxa"/>
          </w:tcPr>
          <w:p w14:paraId="4F846C83" w14:textId="77777777" w:rsidR="00D737E9" w:rsidRDefault="00762FDF">
            <w:pPr>
              <w:pStyle w:val="ListParagraph"/>
              <w:ind w:left="0"/>
              <w:contextualSpacing w:val="0"/>
              <w:rPr>
                <w:rFonts w:asciiTheme="minorHAnsi" w:eastAsia="Calibri" w:hAnsiTheme="minorHAnsi"/>
                <w:sz w:val="22"/>
              </w:rPr>
            </w:pPr>
            <w:r>
              <w:rPr>
                <w:rFonts w:eastAsia="Calibri"/>
              </w:rPr>
              <w:t>108</w:t>
            </w:r>
          </w:p>
        </w:tc>
        <w:tc>
          <w:tcPr>
            <w:tcW w:w="1803" w:type="dxa"/>
          </w:tcPr>
          <w:p w14:paraId="2643AC44" w14:textId="77777777" w:rsidR="00D737E9" w:rsidRDefault="00762FDF">
            <w:pPr>
              <w:pStyle w:val="ListParagraph"/>
              <w:ind w:left="0"/>
              <w:contextualSpacing w:val="0"/>
              <w:rPr>
                <w:rFonts w:asciiTheme="minorHAnsi" w:eastAsia="Calibri" w:hAnsiTheme="minorHAnsi"/>
                <w:sz w:val="22"/>
              </w:rPr>
            </w:pPr>
            <w:r>
              <w:rPr>
                <w:rFonts w:eastAsia="Calibri"/>
              </w:rPr>
              <w:t>118</w:t>
            </w:r>
          </w:p>
        </w:tc>
        <w:tc>
          <w:tcPr>
            <w:tcW w:w="1803" w:type="dxa"/>
          </w:tcPr>
          <w:p w14:paraId="0D347BE8" w14:textId="77777777" w:rsidR="00D737E9" w:rsidRDefault="00762FDF">
            <w:pPr>
              <w:pStyle w:val="ListParagraph"/>
              <w:ind w:left="0"/>
              <w:contextualSpacing w:val="0"/>
              <w:rPr>
                <w:rFonts w:asciiTheme="minorHAnsi" w:eastAsia="Calibri" w:hAnsiTheme="minorHAnsi"/>
                <w:sz w:val="22"/>
              </w:rPr>
            </w:pPr>
            <w:r>
              <w:rPr>
                <w:rFonts w:eastAsia="Calibri"/>
              </w:rPr>
              <w:t>17,174,782</w:t>
            </w:r>
          </w:p>
        </w:tc>
        <w:tc>
          <w:tcPr>
            <w:tcW w:w="1803" w:type="dxa"/>
          </w:tcPr>
          <w:p w14:paraId="31822689" w14:textId="77777777" w:rsidR="00D737E9" w:rsidRDefault="00762FDF">
            <w:pPr>
              <w:pStyle w:val="ListParagraph"/>
              <w:ind w:left="0"/>
              <w:contextualSpacing w:val="0"/>
              <w:rPr>
                <w:rFonts w:asciiTheme="minorHAnsi" w:eastAsia="Calibri" w:hAnsiTheme="minorHAnsi"/>
                <w:sz w:val="22"/>
              </w:rPr>
            </w:pPr>
            <w:r>
              <w:rPr>
                <w:rFonts w:eastAsia="Calibri"/>
              </w:rPr>
              <w:t>54%</w:t>
            </w:r>
          </w:p>
        </w:tc>
      </w:tr>
      <w:tr w:rsidR="001E0B51" w14:paraId="2564328D" w14:textId="77777777" w:rsidTr="001E0B51">
        <w:tc>
          <w:tcPr>
            <w:tcW w:w="1804" w:type="dxa"/>
          </w:tcPr>
          <w:p w14:paraId="358CF786" w14:textId="77777777" w:rsidR="00D737E9" w:rsidRDefault="001E0B51">
            <w:pPr>
              <w:pStyle w:val="ListParagraph"/>
              <w:ind w:left="0"/>
              <w:contextualSpacing w:val="0"/>
              <w:rPr>
                <w:rFonts w:asciiTheme="minorHAnsi" w:eastAsia="Calibri" w:hAnsiTheme="minorHAnsi"/>
                <w:sz w:val="22"/>
              </w:rPr>
            </w:pPr>
            <w:r>
              <w:rPr>
                <w:rFonts w:eastAsia="Calibri"/>
              </w:rPr>
              <w:t>2017</w:t>
            </w:r>
          </w:p>
        </w:tc>
        <w:tc>
          <w:tcPr>
            <w:tcW w:w="1803" w:type="dxa"/>
          </w:tcPr>
          <w:p w14:paraId="7C009CC7" w14:textId="77777777" w:rsidR="00D737E9" w:rsidRDefault="00762FDF">
            <w:pPr>
              <w:pStyle w:val="ListParagraph"/>
              <w:ind w:left="0"/>
              <w:contextualSpacing w:val="0"/>
              <w:rPr>
                <w:rFonts w:asciiTheme="minorHAnsi" w:eastAsia="Calibri" w:hAnsiTheme="minorHAnsi"/>
                <w:sz w:val="22"/>
              </w:rPr>
            </w:pPr>
            <w:r>
              <w:rPr>
                <w:rFonts w:eastAsia="Calibri"/>
              </w:rPr>
              <w:t>110</w:t>
            </w:r>
          </w:p>
        </w:tc>
        <w:tc>
          <w:tcPr>
            <w:tcW w:w="1803" w:type="dxa"/>
          </w:tcPr>
          <w:p w14:paraId="3E8B7AF9" w14:textId="77777777" w:rsidR="00D737E9" w:rsidRDefault="00762FDF">
            <w:pPr>
              <w:pStyle w:val="ListParagraph"/>
              <w:ind w:left="0"/>
              <w:contextualSpacing w:val="0"/>
              <w:rPr>
                <w:rFonts w:asciiTheme="minorHAnsi" w:eastAsia="Calibri" w:hAnsiTheme="minorHAnsi"/>
                <w:sz w:val="22"/>
              </w:rPr>
            </w:pPr>
            <w:r>
              <w:rPr>
                <w:rFonts w:eastAsia="Calibri"/>
              </w:rPr>
              <w:t>121</w:t>
            </w:r>
          </w:p>
        </w:tc>
        <w:tc>
          <w:tcPr>
            <w:tcW w:w="1803" w:type="dxa"/>
          </w:tcPr>
          <w:p w14:paraId="07F985E4" w14:textId="77777777" w:rsidR="00D737E9" w:rsidRDefault="00762FDF">
            <w:pPr>
              <w:pStyle w:val="ListParagraph"/>
              <w:ind w:left="0"/>
              <w:contextualSpacing w:val="0"/>
              <w:rPr>
                <w:rFonts w:asciiTheme="minorHAnsi" w:eastAsia="Calibri" w:hAnsiTheme="minorHAnsi"/>
                <w:sz w:val="22"/>
              </w:rPr>
            </w:pPr>
            <w:r>
              <w:rPr>
                <w:rFonts w:eastAsia="Calibri"/>
              </w:rPr>
              <w:t>9,624,289</w:t>
            </w:r>
          </w:p>
        </w:tc>
        <w:tc>
          <w:tcPr>
            <w:tcW w:w="1803" w:type="dxa"/>
          </w:tcPr>
          <w:p w14:paraId="0A9230BB" w14:textId="77777777" w:rsidR="00D737E9" w:rsidRDefault="00762FDF">
            <w:pPr>
              <w:pStyle w:val="ListParagraph"/>
              <w:ind w:left="0"/>
              <w:contextualSpacing w:val="0"/>
              <w:rPr>
                <w:rFonts w:asciiTheme="minorHAnsi" w:eastAsia="Calibri" w:hAnsiTheme="minorHAnsi"/>
                <w:sz w:val="22"/>
              </w:rPr>
            </w:pPr>
            <w:r>
              <w:rPr>
                <w:rFonts w:eastAsia="Calibri"/>
              </w:rPr>
              <w:t>30%</w:t>
            </w:r>
          </w:p>
        </w:tc>
      </w:tr>
    </w:tbl>
    <w:p w14:paraId="0FF4230B" w14:textId="77777777" w:rsidR="00D737E9" w:rsidRDefault="00310D44">
      <w:pPr>
        <w:pStyle w:val="ListParagraph"/>
        <w:ind w:left="0"/>
        <w:contextualSpacing w:val="0"/>
        <w:rPr>
          <w:rFonts w:ascii="Times New Roman" w:eastAsia="Calibri" w:hAnsi="Times New Roman"/>
          <w:sz w:val="20"/>
        </w:rPr>
      </w:pPr>
      <w:r w:rsidRPr="00310D44">
        <w:rPr>
          <w:rFonts w:ascii="Times New Roman" w:eastAsia="Calibri" w:hAnsi="Times New Roman"/>
          <w:sz w:val="20"/>
        </w:rPr>
        <w:t>Source: Budget data reported by MoF (allocation per entities) and SAO list of entities covered by SAO audit plans 2014-15, 2015-16 and 2017.</w:t>
      </w:r>
    </w:p>
    <w:p w14:paraId="23F10BFA" w14:textId="77777777" w:rsidR="007518E4" w:rsidRPr="003A6C8B" w:rsidRDefault="007518E4" w:rsidP="00005321">
      <w:pPr>
        <w:pStyle w:val="CommentText"/>
        <w:numPr>
          <w:ilvl w:val="0"/>
          <w:numId w:val="113"/>
        </w:numPr>
        <w:spacing w:after="240"/>
        <w:ind w:left="0" w:firstLine="0"/>
        <w:rPr>
          <w:rFonts w:ascii="Times New Roman" w:eastAsia="Calibri" w:hAnsi="Times New Roman"/>
          <w:sz w:val="24"/>
          <w:szCs w:val="24"/>
        </w:rPr>
      </w:pPr>
      <w:r w:rsidRPr="00434460">
        <w:rPr>
          <w:rFonts w:ascii="Times New Roman" w:eastAsia="Calibri" w:hAnsi="Times New Roman"/>
          <w:b/>
          <w:sz w:val="24"/>
          <w:szCs w:val="24"/>
        </w:rPr>
        <w:t xml:space="preserve">Financial reports of central government are audited by the SAO representing </w:t>
      </w:r>
      <w:proofErr w:type="gramStart"/>
      <w:r w:rsidRPr="00434460">
        <w:rPr>
          <w:rFonts w:ascii="Times New Roman" w:eastAsia="Calibri" w:hAnsi="Times New Roman"/>
          <w:b/>
          <w:sz w:val="24"/>
          <w:szCs w:val="24"/>
        </w:rPr>
        <w:t>the majority of</w:t>
      </w:r>
      <w:proofErr w:type="gramEnd"/>
      <w:r w:rsidRPr="00434460">
        <w:rPr>
          <w:rFonts w:ascii="Times New Roman" w:eastAsia="Calibri" w:hAnsi="Times New Roman"/>
          <w:b/>
          <w:sz w:val="24"/>
          <w:szCs w:val="24"/>
        </w:rPr>
        <w:t xml:space="preserve"> the total expenditures and revenues and SAO reports identify significant issues reported and endorsed by the NA</w:t>
      </w:r>
      <w:r w:rsidRPr="003A6C8B">
        <w:rPr>
          <w:rFonts w:ascii="Times New Roman" w:eastAsia="Calibri" w:hAnsi="Times New Roman"/>
          <w:sz w:val="24"/>
          <w:szCs w:val="24"/>
        </w:rPr>
        <w:t>. The implementation of national standards in line with ISSAIs is at a very initial stage: Score D.</w:t>
      </w:r>
    </w:p>
    <w:p w14:paraId="71654B63" w14:textId="77777777" w:rsidR="007518E4" w:rsidRPr="008E2470" w:rsidRDefault="007518E4" w:rsidP="00434460">
      <w:pPr>
        <w:spacing w:after="240"/>
        <w:ind w:left="0"/>
        <w:rPr>
          <w:rFonts w:ascii="Times New Roman" w:eastAsia="Calibri" w:hAnsi="Times New Roman"/>
          <w:b/>
          <w:bCs/>
          <w:color w:val="B34384"/>
          <w:spacing w:val="-1"/>
          <w:sz w:val="24"/>
        </w:rPr>
      </w:pPr>
      <w:r w:rsidRPr="008E2470">
        <w:rPr>
          <w:rFonts w:ascii="Times New Roman" w:eastAsia="Calibri" w:hAnsi="Times New Roman"/>
          <w:b/>
          <w:bCs/>
          <w:color w:val="B34384"/>
          <w:spacing w:val="-1"/>
          <w:sz w:val="24"/>
        </w:rPr>
        <w:t>30.2. Submi</w:t>
      </w:r>
      <w:r>
        <w:rPr>
          <w:rFonts w:ascii="Times New Roman" w:eastAsia="Calibri" w:hAnsi="Times New Roman"/>
          <w:b/>
          <w:bCs/>
          <w:color w:val="B34384"/>
          <w:spacing w:val="-1"/>
          <w:sz w:val="24"/>
        </w:rPr>
        <w:t>ssion of audit reports to the legislature</w:t>
      </w:r>
    </w:p>
    <w:p w14:paraId="5609FF70" w14:textId="77777777" w:rsidR="007518E4" w:rsidRDefault="007518E4" w:rsidP="008037D9">
      <w:pPr>
        <w:pStyle w:val="ListParagraph"/>
        <w:widowControl w:val="0"/>
        <w:numPr>
          <w:ilvl w:val="0"/>
          <w:numId w:val="91"/>
        </w:numPr>
        <w:autoSpaceDE w:val="0"/>
        <w:autoSpaceDN w:val="0"/>
        <w:adjustRightInd w:val="0"/>
        <w:spacing w:after="240"/>
        <w:ind w:left="0"/>
        <w:contextualSpacing w:val="0"/>
        <w:rPr>
          <w:rFonts w:ascii="Times New Roman" w:hAnsi="Times New Roman"/>
          <w:bCs/>
          <w:color w:val="000000"/>
          <w:sz w:val="24"/>
        </w:rPr>
      </w:pPr>
      <w:r w:rsidRPr="00434460">
        <w:rPr>
          <w:rFonts w:ascii="Times New Roman" w:hAnsi="Times New Roman"/>
          <w:b/>
          <w:bCs/>
          <w:color w:val="000000"/>
          <w:sz w:val="24"/>
        </w:rPr>
        <w:t>According to the State Audit Law 2016 the MoF Treasury is to prepare, sign and submit the State financial report to the SAO within a period of two months of the final closing of the accounts of each financial year</w:t>
      </w:r>
      <w:r w:rsidR="00E91C03">
        <w:rPr>
          <w:rFonts w:ascii="Times New Roman" w:hAnsi="Times New Roman"/>
          <w:bCs/>
          <w:color w:val="000000"/>
          <w:sz w:val="24"/>
        </w:rPr>
        <w:t xml:space="preserve">. </w:t>
      </w:r>
      <w:r w:rsidR="00434460">
        <w:rPr>
          <w:rFonts w:ascii="Times New Roman" w:hAnsi="Times New Roman"/>
          <w:bCs/>
          <w:color w:val="000000"/>
          <w:sz w:val="24"/>
        </w:rPr>
        <w:t xml:space="preserve">This should be </w:t>
      </w:r>
      <w:r w:rsidRPr="00EB66D4">
        <w:rPr>
          <w:rFonts w:ascii="Times New Roman" w:hAnsi="Times New Roman"/>
          <w:bCs/>
          <w:color w:val="000000"/>
          <w:sz w:val="24"/>
        </w:rPr>
        <w:t>no later than 31</w:t>
      </w:r>
      <w:r w:rsidRPr="00EB66D4">
        <w:rPr>
          <w:rFonts w:ascii="Times New Roman" w:hAnsi="Times New Roman"/>
          <w:bCs/>
          <w:color w:val="000000"/>
          <w:sz w:val="24"/>
          <w:vertAlign w:val="superscript"/>
        </w:rPr>
        <w:t>st</w:t>
      </w:r>
      <w:r w:rsidRPr="00EB66D4">
        <w:rPr>
          <w:rFonts w:ascii="Times New Roman" w:hAnsi="Times New Roman"/>
          <w:bCs/>
          <w:color w:val="000000"/>
          <w:sz w:val="24"/>
        </w:rPr>
        <w:t xml:space="preserve"> May so that the SAO report is submitted to the NA for the second session in October-November. The exact dates for the submission of the financial reports to the SAO were not available but could be estimated from the formal presentation of</w:t>
      </w:r>
      <w:r>
        <w:rPr>
          <w:rFonts w:ascii="Times New Roman" w:hAnsi="Times New Roman"/>
          <w:bCs/>
          <w:color w:val="000000"/>
          <w:sz w:val="24"/>
        </w:rPr>
        <w:t xml:space="preserve"> the f</w:t>
      </w:r>
      <w:r w:rsidRPr="00EB66D4">
        <w:rPr>
          <w:rFonts w:ascii="Times New Roman" w:hAnsi="Times New Roman"/>
          <w:bCs/>
          <w:color w:val="000000"/>
          <w:sz w:val="24"/>
        </w:rPr>
        <w:t xml:space="preserve">inancial reports and SAO reports to the NA. Based on the information available and presented in the table below, it has taken on average 6 to 7 months for the SAO to receive the State Budget implementation report from the government, SAO reports to the NA were delayed by more than </w:t>
      </w:r>
      <w:r>
        <w:rPr>
          <w:rFonts w:ascii="Times New Roman" w:hAnsi="Times New Roman"/>
          <w:bCs/>
          <w:color w:val="000000"/>
          <w:sz w:val="24"/>
        </w:rPr>
        <w:t xml:space="preserve">9 months </w:t>
      </w:r>
      <w:r w:rsidRPr="00EB66D4">
        <w:rPr>
          <w:rFonts w:ascii="Times New Roman" w:hAnsi="Times New Roman"/>
          <w:bCs/>
          <w:color w:val="000000"/>
          <w:sz w:val="24"/>
        </w:rPr>
        <w:t xml:space="preserve">until 2014/2015 and </w:t>
      </w:r>
      <w:r w:rsidR="004447CD">
        <w:rPr>
          <w:rFonts w:ascii="Times New Roman" w:hAnsi="Times New Roman"/>
          <w:bCs/>
          <w:color w:val="000000"/>
          <w:sz w:val="24"/>
        </w:rPr>
        <w:t>it took approximately</w:t>
      </w:r>
      <w:r w:rsidRPr="00EB66D4">
        <w:rPr>
          <w:rFonts w:ascii="Times New Roman" w:hAnsi="Times New Roman"/>
          <w:bCs/>
          <w:color w:val="000000"/>
          <w:sz w:val="24"/>
        </w:rPr>
        <w:t xml:space="preserve"> 4 months to undertake audit and issue a report to the NA in the last two years. The Auditor General’s report on the accounts for the fiscal year 17 has just yet been endorsed by the NA and the issuance of the NA resolution is in the process.</w:t>
      </w:r>
    </w:p>
    <w:p w14:paraId="589949DF" w14:textId="77777777" w:rsidR="007518E4" w:rsidRPr="00BC34FB" w:rsidRDefault="007518E4" w:rsidP="00F9206C">
      <w:pPr>
        <w:spacing w:before="0"/>
        <w:jc w:val="center"/>
        <w:rPr>
          <w:rFonts w:ascii="Times New Roman" w:eastAsia="Calibri" w:hAnsi="Times New Roman"/>
          <w:b/>
        </w:rPr>
      </w:pPr>
      <w:r w:rsidRPr="00BC34FB">
        <w:rPr>
          <w:rFonts w:ascii="Times New Roman" w:hAnsi="Times New Roman"/>
          <w:b/>
        </w:rPr>
        <w:t>Table 30.2 - Timeliness of the submission of the SAO reports to 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2839"/>
        <w:gridCol w:w="2558"/>
        <w:gridCol w:w="1725"/>
      </w:tblGrid>
      <w:tr w:rsidR="007518E4" w:rsidRPr="00EB66D4" w14:paraId="711F0B63" w14:textId="77777777" w:rsidTr="007518E4">
        <w:tc>
          <w:tcPr>
            <w:tcW w:w="1895" w:type="dxa"/>
            <w:shd w:val="clear" w:color="auto" w:fill="D9D9D9" w:themeFill="background1" w:themeFillShade="D9"/>
          </w:tcPr>
          <w:p w14:paraId="0BB3D638"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Year covered by Audit*</w:t>
            </w:r>
          </w:p>
        </w:tc>
        <w:tc>
          <w:tcPr>
            <w:tcW w:w="2843" w:type="dxa"/>
            <w:shd w:val="clear" w:color="auto" w:fill="D9D9D9" w:themeFill="background1" w:themeFillShade="D9"/>
          </w:tcPr>
          <w:p w14:paraId="0D2DCC88"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Date of Receipt of draft financial statements (estimated)</w:t>
            </w:r>
          </w:p>
        </w:tc>
        <w:tc>
          <w:tcPr>
            <w:tcW w:w="2561" w:type="dxa"/>
            <w:shd w:val="clear" w:color="auto" w:fill="D9D9D9" w:themeFill="background1" w:themeFillShade="D9"/>
          </w:tcPr>
          <w:p w14:paraId="310C3B00"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Date of SAO Report</w:t>
            </w:r>
          </w:p>
          <w:p w14:paraId="3D402E51"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to NA</w:t>
            </w:r>
          </w:p>
        </w:tc>
        <w:tc>
          <w:tcPr>
            <w:tcW w:w="1727" w:type="dxa"/>
            <w:shd w:val="clear" w:color="auto" w:fill="D9D9D9" w:themeFill="background1" w:themeFillShade="D9"/>
          </w:tcPr>
          <w:p w14:paraId="623D9F8F"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No. of months</w:t>
            </w:r>
          </w:p>
        </w:tc>
      </w:tr>
      <w:tr w:rsidR="007518E4" w:rsidRPr="00EB66D4" w14:paraId="4C1C18AC" w14:textId="77777777" w:rsidTr="007518E4">
        <w:tc>
          <w:tcPr>
            <w:tcW w:w="1895" w:type="dxa"/>
          </w:tcPr>
          <w:p w14:paraId="4F04B805" w14:textId="77777777" w:rsidR="007518E4" w:rsidRPr="00EB66D4" w:rsidRDefault="007518E4" w:rsidP="00434460">
            <w:pPr>
              <w:spacing w:before="0"/>
              <w:ind w:left="0"/>
              <w:rPr>
                <w:rFonts w:ascii="Times New Roman" w:hAnsi="Times New Roman"/>
              </w:rPr>
            </w:pPr>
            <w:r w:rsidRPr="00EB66D4">
              <w:rPr>
                <w:rFonts w:ascii="Times New Roman" w:hAnsi="Times New Roman"/>
              </w:rPr>
              <w:t>2013/14</w:t>
            </w:r>
          </w:p>
        </w:tc>
        <w:tc>
          <w:tcPr>
            <w:tcW w:w="2843" w:type="dxa"/>
          </w:tcPr>
          <w:p w14:paraId="031476C1" w14:textId="77777777" w:rsidR="007518E4" w:rsidRPr="00EB66D4" w:rsidRDefault="007518E4" w:rsidP="00434460">
            <w:pPr>
              <w:spacing w:before="0"/>
              <w:ind w:left="0"/>
              <w:jc w:val="center"/>
              <w:rPr>
                <w:rFonts w:ascii="Times New Roman" w:hAnsi="Times New Roman"/>
              </w:rPr>
            </w:pPr>
            <w:r>
              <w:rPr>
                <w:rFonts w:ascii="Times New Roman" w:hAnsi="Times New Roman"/>
              </w:rPr>
              <w:t xml:space="preserve">March </w:t>
            </w:r>
            <w:r w:rsidRPr="00EB66D4">
              <w:rPr>
                <w:rFonts w:ascii="Times New Roman" w:hAnsi="Times New Roman"/>
              </w:rPr>
              <w:t>2015</w:t>
            </w:r>
          </w:p>
        </w:tc>
        <w:tc>
          <w:tcPr>
            <w:tcW w:w="2561" w:type="dxa"/>
          </w:tcPr>
          <w:p w14:paraId="431C82E9"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November 2016</w:t>
            </w:r>
          </w:p>
        </w:tc>
        <w:tc>
          <w:tcPr>
            <w:tcW w:w="1727" w:type="dxa"/>
          </w:tcPr>
          <w:p w14:paraId="37D6F259"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1</w:t>
            </w:r>
            <w:r>
              <w:rPr>
                <w:rFonts w:ascii="Times New Roman" w:hAnsi="Times New Roman"/>
              </w:rPr>
              <w:t>8</w:t>
            </w:r>
            <w:r w:rsidRPr="00EB66D4">
              <w:rPr>
                <w:rFonts w:ascii="Times New Roman" w:hAnsi="Times New Roman"/>
              </w:rPr>
              <w:t xml:space="preserve"> months</w:t>
            </w:r>
          </w:p>
        </w:tc>
      </w:tr>
      <w:tr w:rsidR="007518E4" w:rsidRPr="00EB66D4" w14:paraId="32C9AF81" w14:textId="77777777" w:rsidTr="007518E4">
        <w:tc>
          <w:tcPr>
            <w:tcW w:w="1895" w:type="dxa"/>
          </w:tcPr>
          <w:p w14:paraId="6CEB5E3E" w14:textId="77777777" w:rsidR="007518E4" w:rsidRPr="00EB66D4" w:rsidRDefault="007518E4" w:rsidP="00434460">
            <w:pPr>
              <w:spacing w:before="0"/>
              <w:ind w:left="0"/>
              <w:rPr>
                <w:rFonts w:ascii="Times New Roman" w:hAnsi="Times New Roman"/>
              </w:rPr>
            </w:pPr>
            <w:r w:rsidRPr="00EB66D4">
              <w:rPr>
                <w:rFonts w:ascii="Times New Roman" w:hAnsi="Times New Roman"/>
              </w:rPr>
              <w:t>2014/15</w:t>
            </w:r>
          </w:p>
        </w:tc>
        <w:tc>
          <w:tcPr>
            <w:tcW w:w="2843" w:type="dxa"/>
          </w:tcPr>
          <w:p w14:paraId="1C8B4F9C" w14:textId="77777777" w:rsidR="007518E4" w:rsidRPr="00EB66D4" w:rsidRDefault="007518E4" w:rsidP="00434460">
            <w:pPr>
              <w:spacing w:before="0"/>
              <w:ind w:left="0"/>
              <w:jc w:val="center"/>
              <w:rPr>
                <w:rFonts w:ascii="Times New Roman" w:hAnsi="Times New Roman"/>
              </w:rPr>
            </w:pPr>
            <w:r>
              <w:rPr>
                <w:rFonts w:ascii="Times New Roman" w:hAnsi="Times New Roman"/>
              </w:rPr>
              <w:t xml:space="preserve">March </w:t>
            </w:r>
            <w:r w:rsidRPr="00EB66D4">
              <w:rPr>
                <w:rFonts w:ascii="Times New Roman" w:hAnsi="Times New Roman"/>
              </w:rPr>
              <w:t>201</w:t>
            </w:r>
            <w:r>
              <w:rPr>
                <w:rFonts w:ascii="Times New Roman" w:hAnsi="Times New Roman"/>
              </w:rPr>
              <w:t>6</w:t>
            </w:r>
          </w:p>
        </w:tc>
        <w:tc>
          <w:tcPr>
            <w:tcW w:w="2561" w:type="dxa"/>
          </w:tcPr>
          <w:p w14:paraId="2779DA7B"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November 2016</w:t>
            </w:r>
          </w:p>
        </w:tc>
        <w:tc>
          <w:tcPr>
            <w:tcW w:w="1727" w:type="dxa"/>
          </w:tcPr>
          <w:p w14:paraId="08BF6D1D" w14:textId="77777777" w:rsidR="007518E4" w:rsidRPr="00EB66D4" w:rsidRDefault="007518E4" w:rsidP="00434460">
            <w:pPr>
              <w:spacing w:before="0"/>
              <w:ind w:left="0"/>
              <w:jc w:val="center"/>
              <w:rPr>
                <w:rFonts w:ascii="Times New Roman" w:hAnsi="Times New Roman"/>
              </w:rPr>
            </w:pPr>
            <w:r>
              <w:rPr>
                <w:rFonts w:ascii="Times New Roman" w:hAnsi="Times New Roman"/>
              </w:rPr>
              <w:t>9</w:t>
            </w:r>
            <w:r w:rsidRPr="00EB66D4">
              <w:rPr>
                <w:rFonts w:ascii="Times New Roman" w:hAnsi="Times New Roman"/>
              </w:rPr>
              <w:t xml:space="preserve"> months</w:t>
            </w:r>
          </w:p>
        </w:tc>
      </w:tr>
      <w:tr w:rsidR="007518E4" w:rsidRPr="00EB66D4" w14:paraId="6874ED92" w14:textId="77777777" w:rsidTr="007518E4">
        <w:tc>
          <w:tcPr>
            <w:tcW w:w="1895" w:type="dxa"/>
          </w:tcPr>
          <w:p w14:paraId="7E5EA3A7" w14:textId="77777777" w:rsidR="007518E4" w:rsidRPr="00EB66D4" w:rsidRDefault="007518E4" w:rsidP="00434460">
            <w:pPr>
              <w:spacing w:before="0"/>
              <w:ind w:left="0"/>
              <w:rPr>
                <w:rFonts w:ascii="Times New Roman" w:hAnsi="Times New Roman"/>
              </w:rPr>
            </w:pPr>
            <w:r w:rsidRPr="00EB66D4">
              <w:rPr>
                <w:rFonts w:ascii="Times New Roman" w:hAnsi="Times New Roman"/>
              </w:rPr>
              <w:t xml:space="preserve">2015/16** </w:t>
            </w:r>
          </w:p>
        </w:tc>
        <w:tc>
          <w:tcPr>
            <w:tcW w:w="2843" w:type="dxa"/>
          </w:tcPr>
          <w:p w14:paraId="0FB93BED"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July 2017</w:t>
            </w:r>
          </w:p>
        </w:tc>
        <w:tc>
          <w:tcPr>
            <w:tcW w:w="2561" w:type="dxa"/>
          </w:tcPr>
          <w:p w14:paraId="503CA91F"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November 2017</w:t>
            </w:r>
          </w:p>
        </w:tc>
        <w:tc>
          <w:tcPr>
            <w:tcW w:w="1727" w:type="dxa"/>
          </w:tcPr>
          <w:p w14:paraId="4230E2AD"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Approx. 4 months</w:t>
            </w:r>
          </w:p>
        </w:tc>
      </w:tr>
      <w:tr w:rsidR="007518E4" w:rsidRPr="00EB66D4" w14:paraId="72E62BD9" w14:textId="77777777" w:rsidTr="007518E4">
        <w:tc>
          <w:tcPr>
            <w:tcW w:w="1895" w:type="dxa"/>
          </w:tcPr>
          <w:p w14:paraId="68CAFB5D" w14:textId="77777777" w:rsidR="007518E4" w:rsidRPr="00EB66D4" w:rsidRDefault="007518E4" w:rsidP="00434460">
            <w:pPr>
              <w:spacing w:before="0"/>
              <w:ind w:left="0"/>
              <w:rPr>
                <w:rFonts w:ascii="Times New Roman" w:hAnsi="Times New Roman"/>
              </w:rPr>
            </w:pPr>
            <w:r w:rsidRPr="00EB66D4">
              <w:rPr>
                <w:rFonts w:ascii="Times New Roman" w:hAnsi="Times New Roman"/>
              </w:rPr>
              <w:t>2017</w:t>
            </w:r>
          </w:p>
        </w:tc>
        <w:tc>
          <w:tcPr>
            <w:tcW w:w="2843" w:type="dxa"/>
          </w:tcPr>
          <w:p w14:paraId="4E1A0C41"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July 2018 (tbc)</w:t>
            </w:r>
          </w:p>
        </w:tc>
        <w:tc>
          <w:tcPr>
            <w:tcW w:w="2561" w:type="dxa"/>
          </w:tcPr>
          <w:p w14:paraId="585501EA"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16</w:t>
            </w:r>
            <w:r w:rsidRPr="00EB66D4">
              <w:rPr>
                <w:rFonts w:ascii="Times New Roman" w:hAnsi="Times New Roman"/>
                <w:vertAlign w:val="superscript"/>
              </w:rPr>
              <w:t>th</w:t>
            </w:r>
            <w:r w:rsidRPr="00EB66D4">
              <w:rPr>
                <w:rFonts w:ascii="Times New Roman" w:hAnsi="Times New Roman"/>
              </w:rPr>
              <w:t xml:space="preserve"> November 2018</w:t>
            </w:r>
          </w:p>
        </w:tc>
        <w:tc>
          <w:tcPr>
            <w:tcW w:w="1727" w:type="dxa"/>
          </w:tcPr>
          <w:p w14:paraId="503741DA" w14:textId="77777777" w:rsidR="007518E4" w:rsidRPr="00EB66D4" w:rsidRDefault="007518E4" w:rsidP="00434460">
            <w:pPr>
              <w:spacing w:before="0"/>
              <w:ind w:left="0"/>
              <w:jc w:val="center"/>
              <w:rPr>
                <w:rFonts w:ascii="Times New Roman" w:hAnsi="Times New Roman"/>
              </w:rPr>
            </w:pPr>
            <w:r w:rsidRPr="00EB66D4">
              <w:rPr>
                <w:rFonts w:ascii="Times New Roman" w:hAnsi="Times New Roman"/>
              </w:rPr>
              <w:t>Approx. 4 months</w:t>
            </w:r>
          </w:p>
        </w:tc>
      </w:tr>
    </w:tbl>
    <w:p w14:paraId="032D1401" w14:textId="77777777" w:rsidR="007518E4" w:rsidRPr="00434460" w:rsidRDefault="007518E4" w:rsidP="007518E4">
      <w:pPr>
        <w:pStyle w:val="ListParagraph"/>
        <w:spacing w:before="0"/>
        <w:ind w:left="0"/>
        <w:contextualSpacing w:val="0"/>
        <w:rPr>
          <w:rFonts w:ascii="Times New Roman" w:hAnsi="Times New Roman"/>
          <w:bCs/>
          <w:color w:val="000000"/>
          <w:sz w:val="20"/>
          <w:szCs w:val="20"/>
        </w:rPr>
      </w:pPr>
      <w:r w:rsidRPr="00EB66D4">
        <w:rPr>
          <w:rFonts w:ascii="Times New Roman" w:hAnsi="Times New Roman"/>
          <w:b/>
          <w:bCs/>
          <w:color w:val="000000"/>
          <w:sz w:val="24"/>
        </w:rPr>
        <w:lastRenderedPageBreak/>
        <w:t>*</w:t>
      </w:r>
      <w:r w:rsidRPr="00434460">
        <w:rPr>
          <w:rFonts w:ascii="Times New Roman" w:hAnsi="Times New Roman"/>
          <w:bCs/>
          <w:color w:val="000000"/>
          <w:sz w:val="20"/>
          <w:szCs w:val="20"/>
        </w:rPr>
        <w:t>the calendar for the fiscal year was changed from 1</w:t>
      </w:r>
      <w:r w:rsidRPr="00434460">
        <w:rPr>
          <w:rFonts w:ascii="Times New Roman" w:hAnsi="Times New Roman"/>
          <w:bCs/>
          <w:color w:val="000000"/>
          <w:sz w:val="20"/>
          <w:szCs w:val="20"/>
          <w:vertAlign w:val="superscript"/>
        </w:rPr>
        <w:t>st</w:t>
      </w:r>
      <w:r w:rsidRPr="00434460">
        <w:rPr>
          <w:rFonts w:ascii="Times New Roman" w:hAnsi="Times New Roman"/>
          <w:bCs/>
          <w:color w:val="000000"/>
          <w:sz w:val="20"/>
          <w:szCs w:val="20"/>
        </w:rPr>
        <w:t xml:space="preserve"> October to 20</w:t>
      </w:r>
      <w:r w:rsidRPr="00434460">
        <w:rPr>
          <w:rFonts w:ascii="Times New Roman" w:hAnsi="Times New Roman"/>
          <w:bCs/>
          <w:color w:val="000000"/>
          <w:sz w:val="20"/>
          <w:szCs w:val="20"/>
          <w:vertAlign w:val="superscript"/>
        </w:rPr>
        <w:t>th</w:t>
      </w:r>
      <w:r w:rsidRPr="00434460">
        <w:rPr>
          <w:rFonts w:ascii="Times New Roman" w:hAnsi="Times New Roman"/>
          <w:bCs/>
          <w:color w:val="000000"/>
          <w:sz w:val="20"/>
          <w:szCs w:val="20"/>
        </w:rPr>
        <w:t xml:space="preserve"> September to 1</w:t>
      </w:r>
      <w:r w:rsidRPr="00434460">
        <w:rPr>
          <w:rFonts w:ascii="Times New Roman" w:hAnsi="Times New Roman"/>
          <w:bCs/>
          <w:color w:val="000000"/>
          <w:sz w:val="20"/>
          <w:szCs w:val="20"/>
          <w:vertAlign w:val="superscript"/>
        </w:rPr>
        <w:t>st</w:t>
      </w:r>
      <w:r w:rsidRPr="00434460">
        <w:rPr>
          <w:rFonts w:ascii="Times New Roman" w:hAnsi="Times New Roman"/>
          <w:bCs/>
          <w:color w:val="000000"/>
          <w:sz w:val="20"/>
          <w:szCs w:val="20"/>
        </w:rPr>
        <w:t xml:space="preserve"> January to 32st December as of 2017.</w:t>
      </w:r>
    </w:p>
    <w:p w14:paraId="73651AB0" w14:textId="77777777" w:rsidR="007518E4" w:rsidRPr="00EB66D4" w:rsidRDefault="007518E4" w:rsidP="007518E4">
      <w:pPr>
        <w:pStyle w:val="ListParagraph"/>
        <w:spacing w:before="0"/>
        <w:ind w:left="0"/>
        <w:contextualSpacing w:val="0"/>
        <w:rPr>
          <w:rFonts w:ascii="Times New Roman" w:hAnsi="Times New Roman"/>
          <w:b/>
          <w:bCs/>
          <w:color w:val="000000"/>
          <w:sz w:val="24"/>
        </w:rPr>
      </w:pPr>
      <w:r w:rsidRPr="00434460">
        <w:rPr>
          <w:rFonts w:ascii="Times New Roman" w:hAnsi="Times New Roman"/>
          <w:b/>
          <w:bCs/>
          <w:color w:val="000000"/>
          <w:sz w:val="20"/>
          <w:szCs w:val="20"/>
        </w:rPr>
        <w:t>**</w:t>
      </w:r>
      <w:r w:rsidRPr="00434460">
        <w:rPr>
          <w:rFonts w:ascii="Times New Roman" w:hAnsi="Times New Roman"/>
          <w:color w:val="000000"/>
          <w:sz w:val="20"/>
          <w:szCs w:val="20"/>
        </w:rPr>
        <w:t>including the 3 last months of 2016 transition period</w:t>
      </w:r>
    </w:p>
    <w:p w14:paraId="08BDD837" w14:textId="77777777" w:rsidR="007518E4" w:rsidRPr="00EB66D4" w:rsidRDefault="007518E4" w:rsidP="008037D9">
      <w:pPr>
        <w:pStyle w:val="ListParagraph"/>
        <w:numPr>
          <w:ilvl w:val="0"/>
          <w:numId w:val="91"/>
        </w:numPr>
        <w:spacing w:after="240"/>
        <w:ind w:left="0"/>
        <w:contextualSpacing w:val="0"/>
        <w:rPr>
          <w:rFonts w:ascii="Times New Roman" w:hAnsi="Times New Roman"/>
          <w:bCs/>
          <w:color w:val="000000"/>
          <w:sz w:val="24"/>
        </w:rPr>
      </w:pPr>
      <w:r w:rsidRPr="00434460">
        <w:rPr>
          <w:rFonts w:ascii="Times New Roman" w:hAnsi="Times New Roman"/>
          <w:b/>
          <w:bCs/>
          <w:color w:val="000000"/>
          <w:sz w:val="24"/>
        </w:rPr>
        <w:t>SAO reports were submitted to the NA twelve months from receipt of the State Budget Implementation report in 2013/2014 and 2014/2015 and within six months from receipt in the following years</w:t>
      </w:r>
      <w:r w:rsidRPr="00EB66D4">
        <w:rPr>
          <w:rFonts w:ascii="Times New Roman" w:hAnsi="Times New Roman"/>
          <w:bCs/>
          <w:color w:val="000000"/>
          <w:sz w:val="24"/>
        </w:rPr>
        <w:t>: Score D.</w:t>
      </w:r>
    </w:p>
    <w:p w14:paraId="761C6D59" w14:textId="77777777" w:rsidR="007518E4" w:rsidRPr="008E2470" w:rsidRDefault="007518E4" w:rsidP="00434460">
      <w:pPr>
        <w:spacing w:after="240"/>
        <w:ind w:left="0"/>
        <w:rPr>
          <w:rFonts w:ascii="Times New Roman" w:eastAsia="Calibri" w:hAnsi="Times New Roman"/>
          <w:b/>
          <w:bCs/>
          <w:color w:val="B34384"/>
          <w:spacing w:val="-1"/>
          <w:sz w:val="24"/>
        </w:rPr>
      </w:pPr>
      <w:r w:rsidRPr="008E2470">
        <w:rPr>
          <w:rFonts w:ascii="Times New Roman" w:eastAsia="Calibri" w:hAnsi="Times New Roman"/>
          <w:b/>
          <w:bCs/>
          <w:color w:val="B34384"/>
          <w:spacing w:val="-1"/>
          <w:sz w:val="24"/>
        </w:rPr>
        <w:t xml:space="preserve">30.3. </w:t>
      </w:r>
      <w:r>
        <w:rPr>
          <w:rFonts w:ascii="Times New Roman" w:eastAsia="Calibri" w:hAnsi="Times New Roman"/>
          <w:b/>
          <w:bCs/>
          <w:color w:val="B34384"/>
          <w:spacing w:val="-1"/>
          <w:sz w:val="24"/>
        </w:rPr>
        <w:t>External audit follow-up</w:t>
      </w:r>
    </w:p>
    <w:p w14:paraId="3B9BF874" w14:textId="77777777" w:rsidR="007518E4" w:rsidRPr="00EB66D4" w:rsidRDefault="007518E4" w:rsidP="00434460">
      <w:pPr>
        <w:pStyle w:val="ListParagraph"/>
        <w:numPr>
          <w:ilvl w:val="0"/>
          <w:numId w:val="91"/>
        </w:numPr>
        <w:spacing w:after="240"/>
        <w:ind w:left="0"/>
        <w:contextualSpacing w:val="0"/>
        <w:rPr>
          <w:rFonts w:ascii="Times New Roman" w:hAnsi="Times New Roman"/>
          <w:sz w:val="24"/>
        </w:rPr>
      </w:pPr>
      <w:r w:rsidRPr="00434460">
        <w:rPr>
          <w:rFonts w:ascii="Times New Roman" w:hAnsi="Times New Roman"/>
          <w:b/>
          <w:sz w:val="24"/>
        </w:rPr>
        <w:t>The SAO has developed a formal system for monitoring and follow-up of audit recommendations</w:t>
      </w:r>
      <w:r w:rsidR="00F9206C">
        <w:rPr>
          <w:rFonts w:ascii="Times New Roman" w:hAnsi="Times New Roman"/>
          <w:b/>
          <w:sz w:val="24"/>
        </w:rPr>
        <w:t>.</w:t>
      </w:r>
      <w:r w:rsidR="00434460">
        <w:rPr>
          <w:rFonts w:ascii="Times New Roman" w:hAnsi="Times New Roman"/>
          <w:b/>
          <w:sz w:val="24"/>
        </w:rPr>
        <w:t xml:space="preserve"> </w:t>
      </w:r>
      <w:r w:rsidR="00434460" w:rsidRPr="00434460">
        <w:rPr>
          <w:rFonts w:ascii="Times New Roman" w:hAnsi="Times New Roman"/>
          <w:sz w:val="24"/>
        </w:rPr>
        <w:t>It</w:t>
      </w:r>
      <w:r w:rsidRPr="00434460">
        <w:rPr>
          <w:rFonts w:ascii="Times New Roman" w:hAnsi="Times New Roman"/>
          <w:sz w:val="24"/>
        </w:rPr>
        <w:t xml:space="preserve"> reports on the follow up in the report of the following fiscal year.</w:t>
      </w:r>
      <w:r w:rsidRPr="00EB66D4">
        <w:rPr>
          <w:rFonts w:ascii="Times New Roman" w:hAnsi="Times New Roman"/>
          <w:sz w:val="24"/>
        </w:rPr>
        <w:t xml:space="preserve"> All audited entities are formally responding to the SAO observations and Inspection departments of respective ministries </w:t>
      </w:r>
      <w:proofErr w:type="gramStart"/>
      <w:r w:rsidRPr="00EB66D4">
        <w:rPr>
          <w:rFonts w:ascii="Times New Roman" w:hAnsi="Times New Roman"/>
          <w:sz w:val="24"/>
        </w:rPr>
        <w:t>are in charge of</w:t>
      </w:r>
      <w:proofErr w:type="gramEnd"/>
      <w:r w:rsidRPr="00EB66D4">
        <w:rPr>
          <w:rFonts w:ascii="Times New Roman" w:hAnsi="Times New Roman"/>
          <w:sz w:val="24"/>
        </w:rPr>
        <w:t xml:space="preserve"> coordinating the responses with the relevant departments. A consistent tracking system is in place at SAO central level to report on each recommendation by the SAO as evidenced from the information received from </w:t>
      </w:r>
      <w:r>
        <w:rPr>
          <w:rFonts w:ascii="Times New Roman" w:hAnsi="Times New Roman"/>
          <w:sz w:val="24"/>
        </w:rPr>
        <w:t>SAO</w:t>
      </w:r>
      <w:r w:rsidRPr="00EB66D4">
        <w:rPr>
          <w:rFonts w:ascii="Times New Roman" w:hAnsi="Times New Roman"/>
          <w:sz w:val="24"/>
        </w:rPr>
        <w:t xml:space="preserve"> and presented below.</w:t>
      </w:r>
    </w:p>
    <w:p w14:paraId="69973D33" w14:textId="77777777" w:rsidR="007518E4" w:rsidRPr="00EB66D4" w:rsidRDefault="007518E4" w:rsidP="00E91C03">
      <w:pPr>
        <w:jc w:val="center"/>
        <w:rPr>
          <w:rFonts w:ascii="Times New Roman" w:hAnsi="Times New Roman"/>
        </w:rPr>
      </w:pPr>
      <w:r w:rsidRPr="00EB66D4">
        <w:rPr>
          <w:rFonts w:ascii="Times New Roman" w:hAnsi="Times New Roman"/>
          <w:b/>
          <w:bCs/>
          <w:color w:val="26282A"/>
          <w:shd w:val="clear" w:color="auto" w:fill="FFFFFF"/>
          <w:lang w:val="en-MY"/>
        </w:rPr>
        <w:t>Table 30.3: Follow up on SAO reports in 2015/2016</w:t>
      </w:r>
      <w:r w:rsidR="00661512">
        <w:rPr>
          <w:rFonts w:ascii="Times New Roman" w:hAnsi="Times New Roman"/>
          <w:b/>
          <w:bCs/>
          <w:color w:val="26282A"/>
          <w:shd w:val="clear" w:color="auto" w:fill="FFFFFF"/>
          <w:lang w:val="en-MY"/>
        </w:rPr>
        <w:t xml:space="preserve"> (latest available)</w:t>
      </w:r>
    </w:p>
    <w:tbl>
      <w:tblPr>
        <w:tblStyle w:val="TableGrid"/>
        <w:tblW w:w="0" w:type="auto"/>
        <w:tblInd w:w="-5" w:type="dxa"/>
        <w:tblLook w:val="04A0" w:firstRow="1" w:lastRow="0" w:firstColumn="1" w:lastColumn="0" w:noHBand="0" w:noVBand="1"/>
      </w:tblPr>
      <w:tblGrid>
        <w:gridCol w:w="1312"/>
        <w:gridCol w:w="935"/>
        <w:gridCol w:w="1362"/>
        <w:gridCol w:w="1039"/>
        <w:gridCol w:w="1338"/>
        <w:gridCol w:w="989"/>
        <w:gridCol w:w="1195"/>
        <w:gridCol w:w="851"/>
      </w:tblGrid>
      <w:tr w:rsidR="007518E4" w:rsidRPr="00E24C00" w14:paraId="164B94D2" w14:textId="77777777" w:rsidTr="007518E4">
        <w:tc>
          <w:tcPr>
            <w:tcW w:w="1369" w:type="dxa"/>
            <w:vMerge w:val="restart"/>
            <w:shd w:val="clear" w:color="auto" w:fill="auto"/>
          </w:tcPr>
          <w:p w14:paraId="6A13BD2B" w14:textId="77777777" w:rsidR="007518E4" w:rsidRPr="00E91C03" w:rsidRDefault="007518E4" w:rsidP="00434460">
            <w:pPr>
              <w:spacing w:before="0"/>
              <w:ind w:left="0"/>
              <w:rPr>
                <w:rFonts w:eastAsia="Calibri"/>
                <w:sz w:val="22"/>
                <w:szCs w:val="22"/>
              </w:rPr>
            </w:pPr>
            <w:r w:rsidRPr="00E91C03">
              <w:rPr>
                <w:rFonts w:eastAsia="Calibri"/>
                <w:sz w:val="22"/>
                <w:szCs w:val="22"/>
              </w:rPr>
              <w:t>Inspection from ministry</w:t>
            </w:r>
          </w:p>
        </w:tc>
        <w:tc>
          <w:tcPr>
            <w:tcW w:w="2462" w:type="dxa"/>
            <w:gridSpan w:val="2"/>
            <w:shd w:val="clear" w:color="auto" w:fill="auto"/>
          </w:tcPr>
          <w:p w14:paraId="124D0D3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Number of Financial recommendations</w:t>
            </w:r>
          </w:p>
        </w:tc>
        <w:tc>
          <w:tcPr>
            <w:tcW w:w="2566" w:type="dxa"/>
            <w:gridSpan w:val="2"/>
            <w:shd w:val="clear" w:color="auto" w:fill="auto"/>
          </w:tcPr>
          <w:p w14:paraId="30FFB9DD"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Number of Systemic/internal control recommendations</w:t>
            </w:r>
          </w:p>
        </w:tc>
        <w:tc>
          <w:tcPr>
            <w:tcW w:w="3184" w:type="dxa"/>
            <w:gridSpan w:val="3"/>
            <w:shd w:val="clear" w:color="auto" w:fill="auto"/>
          </w:tcPr>
          <w:p w14:paraId="5D8A1B7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 xml:space="preserve">Number of findings/recommendations </w:t>
            </w:r>
          </w:p>
        </w:tc>
      </w:tr>
      <w:tr w:rsidR="007518E4" w:rsidRPr="00E24C00" w14:paraId="6E1B6FCA" w14:textId="77777777" w:rsidTr="007518E4">
        <w:tc>
          <w:tcPr>
            <w:tcW w:w="1369" w:type="dxa"/>
            <w:vMerge/>
            <w:shd w:val="clear" w:color="auto" w:fill="auto"/>
          </w:tcPr>
          <w:p w14:paraId="6C98FCCD" w14:textId="77777777" w:rsidR="007518E4" w:rsidRPr="00E91C03" w:rsidRDefault="007518E4" w:rsidP="00434460">
            <w:pPr>
              <w:spacing w:before="0"/>
              <w:ind w:left="0"/>
              <w:rPr>
                <w:rFonts w:eastAsia="Calibri"/>
                <w:sz w:val="22"/>
                <w:szCs w:val="22"/>
              </w:rPr>
            </w:pPr>
          </w:p>
        </w:tc>
        <w:tc>
          <w:tcPr>
            <w:tcW w:w="957" w:type="dxa"/>
            <w:shd w:val="clear" w:color="auto" w:fill="auto"/>
          </w:tcPr>
          <w:p w14:paraId="44272D5F"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Issued</w:t>
            </w:r>
          </w:p>
        </w:tc>
        <w:tc>
          <w:tcPr>
            <w:tcW w:w="1505" w:type="dxa"/>
            <w:shd w:val="clear" w:color="auto" w:fill="auto"/>
          </w:tcPr>
          <w:p w14:paraId="2E047ABE"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Follow up</w:t>
            </w:r>
          </w:p>
        </w:tc>
        <w:tc>
          <w:tcPr>
            <w:tcW w:w="1092" w:type="dxa"/>
            <w:shd w:val="clear" w:color="auto" w:fill="auto"/>
          </w:tcPr>
          <w:p w14:paraId="7CE58DB5"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Issued</w:t>
            </w:r>
          </w:p>
        </w:tc>
        <w:tc>
          <w:tcPr>
            <w:tcW w:w="1474" w:type="dxa"/>
            <w:shd w:val="clear" w:color="auto" w:fill="auto"/>
          </w:tcPr>
          <w:p w14:paraId="0D7A4BEC"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 xml:space="preserve">Follow up </w:t>
            </w:r>
          </w:p>
        </w:tc>
        <w:tc>
          <w:tcPr>
            <w:tcW w:w="1003" w:type="dxa"/>
            <w:shd w:val="clear" w:color="auto" w:fill="auto"/>
          </w:tcPr>
          <w:p w14:paraId="27BF574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issued</w:t>
            </w:r>
          </w:p>
        </w:tc>
        <w:tc>
          <w:tcPr>
            <w:tcW w:w="1260" w:type="dxa"/>
            <w:shd w:val="clear" w:color="auto" w:fill="auto"/>
          </w:tcPr>
          <w:p w14:paraId="72832D2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Follow up</w:t>
            </w:r>
          </w:p>
        </w:tc>
        <w:tc>
          <w:tcPr>
            <w:tcW w:w="921" w:type="dxa"/>
            <w:shd w:val="clear" w:color="auto" w:fill="auto"/>
          </w:tcPr>
          <w:p w14:paraId="2D6746FF"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w:t>
            </w:r>
          </w:p>
        </w:tc>
      </w:tr>
      <w:tr w:rsidR="007518E4" w:rsidRPr="00E24C00" w14:paraId="5B3869EA" w14:textId="77777777" w:rsidTr="007518E4">
        <w:tc>
          <w:tcPr>
            <w:tcW w:w="1369" w:type="dxa"/>
            <w:shd w:val="clear" w:color="auto" w:fill="auto"/>
          </w:tcPr>
          <w:p w14:paraId="2D9C7957" w14:textId="77777777" w:rsidR="007518E4" w:rsidRPr="00E91C03" w:rsidRDefault="007518E4" w:rsidP="00434460">
            <w:pPr>
              <w:spacing w:before="0"/>
              <w:ind w:left="0"/>
              <w:rPr>
                <w:rFonts w:eastAsia="Calibri"/>
                <w:sz w:val="22"/>
                <w:szCs w:val="22"/>
              </w:rPr>
            </w:pPr>
            <w:r w:rsidRPr="00E91C03">
              <w:rPr>
                <w:rFonts w:eastAsia="Calibri"/>
                <w:sz w:val="22"/>
                <w:szCs w:val="22"/>
              </w:rPr>
              <w:t>MOF</w:t>
            </w:r>
          </w:p>
        </w:tc>
        <w:tc>
          <w:tcPr>
            <w:tcW w:w="957" w:type="dxa"/>
            <w:shd w:val="clear" w:color="auto" w:fill="auto"/>
          </w:tcPr>
          <w:p w14:paraId="66E7DA3E"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29</w:t>
            </w:r>
          </w:p>
        </w:tc>
        <w:tc>
          <w:tcPr>
            <w:tcW w:w="1505" w:type="dxa"/>
            <w:shd w:val="clear" w:color="auto" w:fill="auto"/>
          </w:tcPr>
          <w:p w14:paraId="67AC5BFB"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29</w:t>
            </w:r>
          </w:p>
        </w:tc>
        <w:tc>
          <w:tcPr>
            <w:tcW w:w="1092" w:type="dxa"/>
            <w:shd w:val="clear" w:color="auto" w:fill="auto"/>
          </w:tcPr>
          <w:p w14:paraId="5A5195C2"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15</w:t>
            </w:r>
          </w:p>
        </w:tc>
        <w:tc>
          <w:tcPr>
            <w:tcW w:w="1474" w:type="dxa"/>
            <w:shd w:val="clear" w:color="auto" w:fill="auto"/>
          </w:tcPr>
          <w:p w14:paraId="06EB0AB2"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15</w:t>
            </w:r>
          </w:p>
        </w:tc>
        <w:tc>
          <w:tcPr>
            <w:tcW w:w="1003" w:type="dxa"/>
            <w:shd w:val="clear" w:color="auto" w:fill="auto"/>
          </w:tcPr>
          <w:p w14:paraId="020612A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44</w:t>
            </w:r>
          </w:p>
        </w:tc>
        <w:tc>
          <w:tcPr>
            <w:tcW w:w="1260" w:type="dxa"/>
            <w:shd w:val="clear" w:color="auto" w:fill="auto"/>
          </w:tcPr>
          <w:p w14:paraId="3E05544C"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44</w:t>
            </w:r>
          </w:p>
        </w:tc>
        <w:tc>
          <w:tcPr>
            <w:tcW w:w="921" w:type="dxa"/>
            <w:shd w:val="clear" w:color="auto" w:fill="auto"/>
          </w:tcPr>
          <w:p w14:paraId="6D7FCF16"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100</w:t>
            </w:r>
          </w:p>
        </w:tc>
      </w:tr>
      <w:tr w:rsidR="007518E4" w:rsidRPr="00E24C00" w14:paraId="13662EE0" w14:textId="77777777" w:rsidTr="007518E4">
        <w:tc>
          <w:tcPr>
            <w:tcW w:w="1369" w:type="dxa"/>
            <w:shd w:val="clear" w:color="auto" w:fill="auto"/>
          </w:tcPr>
          <w:p w14:paraId="1E4417A4" w14:textId="77777777" w:rsidR="007518E4" w:rsidRPr="00E91C03" w:rsidRDefault="007518E4" w:rsidP="00434460">
            <w:pPr>
              <w:spacing w:before="0"/>
              <w:ind w:left="0"/>
              <w:rPr>
                <w:rFonts w:eastAsia="Calibri"/>
                <w:sz w:val="22"/>
                <w:szCs w:val="22"/>
              </w:rPr>
            </w:pPr>
            <w:r w:rsidRPr="00E91C03">
              <w:rPr>
                <w:rFonts w:eastAsia="Calibri"/>
                <w:sz w:val="22"/>
                <w:szCs w:val="22"/>
              </w:rPr>
              <w:t>MOE</w:t>
            </w:r>
          </w:p>
        </w:tc>
        <w:tc>
          <w:tcPr>
            <w:tcW w:w="957" w:type="dxa"/>
            <w:shd w:val="clear" w:color="auto" w:fill="auto"/>
          </w:tcPr>
          <w:p w14:paraId="354BBC0E"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8</w:t>
            </w:r>
          </w:p>
        </w:tc>
        <w:tc>
          <w:tcPr>
            <w:tcW w:w="1505" w:type="dxa"/>
            <w:shd w:val="clear" w:color="auto" w:fill="auto"/>
          </w:tcPr>
          <w:p w14:paraId="357A37E2"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8</w:t>
            </w:r>
          </w:p>
        </w:tc>
        <w:tc>
          <w:tcPr>
            <w:tcW w:w="1092" w:type="dxa"/>
            <w:shd w:val="clear" w:color="auto" w:fill="auto"/>
          </w:tcPr>
          <w:p w14:paraId="2CBEA7ED"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3</w:t>
            </w:r>
          </w:p>
        </w:tc>
        <w:tc>
          <w:tcPr>
            <w:tcW w:w="1474" w:type="dxa"/>
            <w:shd w:val="clear" w:color="auto" w:fill="auto"/>
          </w:tcPr>
          <w:p w14:paraId="293D0C3C"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3</w:t>
            </w:r>
          </w:p>
        </w:tc>
        <w:tc>
          <w:tcPr>
            <w:tcW w:w="1003" w:type="dxa"/>
            <w:shd w:val="clear" w:color="auto" w:fill="auto"/>
          </w:tcPr>
          <w:p w14:paraId="260B2B2C"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11</w:t>
            </w:r>
          </w:p>
        </w:tc>
        <w:tc>
          <w:tcPr>
            <w:tcW w:w="1260" w:type="dxa"/>
            <w:shd w:val="clear" w:color="auto" w:fill="auto"/>
          </w:tcPr>
          <w:p w14:paraId="1583F48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11</w:t>
            </w:r>
          </w:p>
        </w:tc>
        <w:tc>
          <w:tcPr>
            <w:tcW w:w="921" w:type="dxa"/>
            <w:shd w:val="clear" w:color="auto" w:fill="auto"/>
          </w:tcPr>
          <w:p w14:paraId="0247B137"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100</w:t>
            </w:r>
          </w:p>
        </w:tc>
      </w:tr>
      <w:tr w:rsidR="007518E4" w:rsidRPr="00E24C00" w14:paraId="5469D884" w14:textId="77777777" w:rsidTr="007518E4">
        <w:tc>
          <w:tcPr>
            <w:tcW w:w="1369" w:type="dxa"/>
            <w:shd w:val="clear" w:color="auto" w:fill="auto"/>
          </w:tcPr>
          <w:p w14:paraId="5220FB14" w14:textId="77777777" w:rsidR="007518E4" w:rsidRPr="00E91C03" w:rsidRDefault="007518E4" w:rsidP="00434460">
            <w:pPr>
              <w:spacing w:before="0"/>
              <w:ind w:left="0"/>
              <w:rPr>
                <w:rFonts w:eastAsia="Calibri"/>
                <w:sz w:val="22"/>
                <w:szCs w:val="22"/>
              </w:rPr>
            </w:pPr>
            <w:r w:rsidRPr="00E91C03">
              <w:rPr>
                <w:rFonts w:eastAsia="Calibri"/>
                <w:sz w:val="22"/>
                <w:szCs w:val="22"/>
              </w:rPr>
              <w:t>MOH</w:t>
            </w:r>
          </w:p>
        </w:tc>
        <w:tc>
          <w:tcPr>
            <w:tcW w:w="957" w:type="dxa"/>
            <w:shd w:val="clear" w:color="auto" w:fill="auto"/>
          </w:tcPr>
          <w:p w14:paraId="564D057B"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3</w:t>
            </w:r>
          </w:p>
        </w:tc>
        <w:tc>
          <w:tcPr>
            <w:tcW w:w="1505" w:type="dxa"/>
            <w:shd w:val="clear" w:color="auto" w:fill="auto"/>
          </w:tcPr>
          <w:p w14:paraId="63D82A01"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3</w:t>
            </w:r>
          </w:p>
        </w:tc>
        <w:tc>
          <w:tcPr>
            <w:tcW w:w="1092" w:type="dxa"/>
            <w:shd w:val="clear" w:color="auto" w:fill="auto"/>
          </w:tcPr>
          <w:p w14:paraId="76D05EE6"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2</w:t>
            </w:r>
          </w:p>
        </w:tc>
        <w:tc>
          <w:tcPr>
            <w:tcW w:w="1474" w:type="dxa"/>
            <w:shd w:val="clear" w:color="auto" w:fill="auto"/>
          </w:tcPr>
          <w:p w14:paraId="32D58508"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2</w:t>
            </w:r>
          </w:p>
        </w:tc>
        <w:tc>
          <w:tcPr>
            <w:tcW w:w="1003" w:type="dxa"/>
            <w:shd w:val="clear" w:color="auto" w:fill="auto"/>
          </w:tcPr>
          <w:p w14:paraId="445D57E7"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5</w:t>
            </w:r>
          </w:p>
        </w:tc>
        <w:tc>
          <w:tcPr>
            <w:tcW w:w="1260" w:type="dxa"/>
            <w:shd w:val="clear" w:color="auto" w:fill="auto"/>
          </w:tcPr>
          <w:p w14:paraId="4C020425"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5</w:t>
            </w:r>
          </w:p>
        </w:tc>
        <w:tc>
          <w:tcPr>
            <w:tcW w:w="921" w:type="dxa"/>
            <w:shd w:val="clear" w:color="auto" w:fill="auto"/>
          </w:tcPr>
          <w:p w14:paraId="0465E75F"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100</w:t>
            </w:r>
          </w:p>
        </w:tc>
      </w:tr>
      <w:tr w:rsidR="007518E4" w:rsidRPr="00E24C00" w14:paraId="1C20FE65" w14:textId="77777777" w:rsidTr="007518E4">
        <w:tc>
          <w:tcPr>
            <w:tcW w:w="1369" w:type="dxa"/>
            <w:shd w:val="clear" w:color="auto" w:fill="auto"/>
          </w:tcPr>
          <w:p w14:paraId="7BA411D9" w14:textId="77777777" w:rsidR="007518E4" w:rsidRPr="00E91C03" w:rsidRDefault="007518E4" w:rsidP="00434460">
            <w:pPr>
              <w:spacing w:before="0"/>
              <w:ind w:left="0"/>
              <w:rPr>
                <w:rFonts w:eastAsia="Calibri"/>
                <w:sz w:val="22"/>
                <w:szCs w:val="22"/>
              </w:rPr>
            </w:pPr>
            <w:r w:rsidRPr="00E91C03">
              <w:rPr>
                <w:rFonts w:eastAsia="Calibri"/>
                <w:sz w:val="22"/>
                <w:szCs w:val="22"/>
              </w:rPr>
              <w:t>MOPW</w:t>
            </w:r>
          </w:p>
        </w:tc>
        <w:tc>
          <w:tcPr>
            <w:tcW w:w="957" w:type="dxa"/>
            <w:shd w:val="clear" w:color="auto" w:fill="auto"/>
          </w:tcPr>
          <w:p w14:paraId="604DA020"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6</w:t>
            </w:r>
          </w:p>
        </w:tc>
        <w:tc>
          <w:tcPr>
            <w:tcW w:w="1505" w:type="dxa"/>
            <w:shd w:val="clear" w:color="auto" w:fill="auto"/>
          </w:tcPr>
          <w:p w14:paraId="1D04D3DA"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6</w:t>
            </w:r>
          </w:p>
        </w:tc>
        <w:tc>
          <w:tcPr>
            <w:tcW w:w="1092" w:type="dxa"/>
            <w:shd w:val="clear" w:color="auto" w:fill="auto"/>
          </w:tcPr>
          <w:p w14:paraId="5D401F12"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2</w:t>
            </w:r>
          </w:p>
        </w:tc>
        <w:tc>
          <w:tcPr>
            <w:tcW w:w="1474" w:type="dxa"/>
            <w:shd w:val="clear" w:color="auto" w:fill="auto"/>
          </w:tcPr>
          <w:p w14:paraId="7FF4DD50"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2</w:t>
            </w:r>
          </w:p>
        </w:tc>
        <w:tc>
          <w:tcPr>
            <w:tcW w:w="1003" w:type="dxa"/>
            <w:shd w:val="clear" w:color="auto" w:fill="auto"/>
          </w:tcPr>
          <w:p w14:paraId="6FDB35DA"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8</w:t>
            </w:r>
          </w:p>
        </w:tc>
        <w:tc>
          <w:tcPr>
            <w:tcW w:w="1260" w:type="dxa"/>
            <w:shd w:val="clear" w:color="auto" w:fill="auto"/>
          </w:tcPr>
          <w:p w14:paraId="47ADECB2"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8</w:t>
            </w:r>
          </w:p>
        </w:tc>
        <w:tc>
          <w:tcPr>
            <w:tcW w:w="921" w:type="dxa"/>
            <w:shd w:val="clear" w:color="auto" w:fill="auto"/>
          </w:tcPr>
          <w:p w14:paraId="765E5648" w14:textId="77777777" w:rsidR="007518E4" w:rsidRPr="00E91C03" w:rsidRDefault="007518E4" w:rsidP="00434460">
            <w:pPr>
              <w:spacing w:before="0"/>
              <w:ind w:left="0"/>
              <w:jc w:val="center"/>
              <w:rPr>
                <w:rFonts w:eastAsia="Calibri"/>
                <w:sz w:val="22"/>
                <w:szCs w:val="22"/>
              </w:rPr>
            </w:pPr>
            <w:r w:rsidRPr="00E91C03">
              <w:rPr>
                <w:rFonts w:eastAsia="Calibri"/>
                <w:sz w:val="22"/>
                <w:szCs w:val="22"/>
              </w:rPr>
              <w:t>100</w:t>
            </w:r>
          </w:p>
        </w:tc>
      </w:tr>
    </w:tbl>
    <w:p w14:paraId="38CC3472" w14:textId="77777777" w:rsidR="007518E4" w:rsidRPr="00EB66D4" w:rsidRDefault="007518E4" w:rsidP="007518E4">
      <w:pPr>
        <w:spacing w:before="0"/>
        <w:rPr>
          <w:rFonts w:ascii="Times New Roman" w:hAnsi="Times New Roman"/>
        </w:rPr>
      </w:pPr>
      <w:r w:rsidRPr="00EB66D4">
        <w:rPr>
          <w:rFonts w:ascii="Times New Roman" w:hAnsi="Times New Roman"/>
        </w:rPr>
        <w:t>Source: SAO data</w:t>
      </w:r>
    </w:p>
    <w:p w14:paraId="0D04C565" w14:textId="77777777" w:rsidR="007518E4" w:rsidRPr="00787774" w:rsidRDefault="007518E4" w:rsidP="008037D9">
      <w:pPr>
        <w:pStyle w:val="ListParagraph"/>
        <w:numPr>
          <w:ilvl w:val="0"/>
          <w:numId w:val="91"/>
        </w:numPr>
        <w:spacing w:after="240"/>
        <w:ind w:left="0"/>
        <w:contextualSpacing w:val="0"/>
        <w:rPr>
          <w:rFonts w:ascii="Times New Roman" w:eastAsia="Calibri" w:hAnsi="Times New Roman"/>
          <w:sz w:val="24"/>
        </w:rPr>
      </w:pPr>
      <w:r w:rsidRPr="00434460">
        <w:rPr>
          <w:rFonts w:ascii="Times New Roman" w:hAnsi="Times New Roman"/>
          <w:b/>
          <w:sz w:val="24"/>
        </w:rPr>
        <w:t>Article 46 of the State Audit Law instructs each audited entity to follow up and report on implementation of external audit observations in the subsequent year</w:t>
      </w:r>
      <w:r w:rsidRPr="00EB66D4">
        <w:rPr>
          <w:rFonts w:ascii="Times New Roman" w:hAnsi="Times New Roman"/>
          <w:sz w:val="24"/>
        </w:rPr>
        <w:t xml:space="preserve">. The SAO has </w:t>
      </w:r>
      <w:r>
        <w:rPr>
          <w:rFonts w:ascii="Times New Roman" w:hAnsi="Times New Roman"/>
          <w:sz w:val="24"/>
        </w:rPr>
        <w:t xml:space="preserve">a </w:t>
      </w:r>
      <w:r w:rsidRPr="00EB66D4">
        <w:rPr>
          <w:rFonts w:ascii="Times New Roman" w:hAnsi="Times New Roman"/>
          <w:sz w:val="24"/>
        </w:rPr>
        <w:t xml:space="preserve">manually maintained </w:t>
      </w:r>
      <w:r>
        <w:rPr>
          <w:rFonts w:ascii="Times New Roman" w:hAnsi="Times New Roman"/>
          <w:sz w:val="24"/>
        </w:rPr>
        <w:t>system to follow</w:t>
      </w:r>
      <w:r w:rsidRPr="00EB66D4">
        <w:rPr>
          <w:rFonts w:ascii="Times New Roman" w:hAnsi="Times New Roman"/>
          <w:sz w:val="24"/>
        </w:rPr>
        <w:t xml:space="preserve"> up on the audit observations in the subsequent years’ audit engagements. The final conclusions of each audit are formally included in a Memorandum of Understanding signed between the SAO and the audited entity, and a summary of the major findings is consolidated in the SAO report to the NA. The system is established comprehensively across all departments and agencies. </w:t>
      </w:r>
    </w:p>
    <w:p w14:paraId="0B156E37" w14:textId="77777777" w:rsidR="007518E4" w:rsidRPr="00EB66D4" w:rsidRDefault="007518E4" w:rsidP="008037D9">
      <w:pPr>
        <w:pStyle w:val="ListParagraph"/>
        <w:numPr>
          <w:ilvl w:val="0"/>
          <w:numId w:val="91"/>
        </w:numPr>
        <w:spacing w:after="240"/>
        <w:ind w:left="0"/>
        <w:contextualSpacing w:val="0"/>
        <w:rPr>
          <w:rFonts w:ascii="Times New Roman" w:eastAsia="Calibri" w:hAnsi="Times New Roman"/>
          <w:sz w:val="24"/>
        </w:rPr>
      </w:pPr>
      <w:r w:rsidRPr="00434460">
        <w:rPr>
          <w:rFonts w:ascii="Times New Roman" w:hAnsi="Times New Roman"/>
          <w:b/>
          <w:sz w:val="24"/>
        </w:rPr>
        <w:t>However, t</w:t>
      </w:r>
      <w:r w:rsidRPr="00434460">
        <w:rPr>
          <w:rFonts w:ascii="Times New Roman" w:eastAsia="Calibri" w:hAnsi="Times New Roman"/>
          <w:b/>
          <w:sz w:val="24"/>
        </w:rPr>
        <w:t>he system still lacks effectiveness</w:t>
      </w:r>
      <w:r w:rsidR="00434460">
        <w:rPr>
          <w:rFonts w:ascii="Times New Roman" w:eastAsia="Calibri" w:hAnsi="Times New Roman"/>
          <w:sz w:val="24"/>
        </w:rPr>
        <w:t>. It</w:t>
      </w:r>
      <w:r w:rsidRPr="00EB66D4">
        <w:rPr>
          <w:rFonts w:ascii="Times New Roman" w:eastAsia="Calibri" w:hAnsi="Times New Roman"/>
          <w:sz w:val="24"/>
        </w:rPr>
        <w:t xml:space="preserve"> does not produce comprehensive and reliable information</w:t>
      </w:r>
      <w:r>
        <w:rPr>
          <w:rFonts w:ascii="Times New Roman" w:eastAsia="Calibri" w:hAnsi="Times New Roman"/>
          <w:sz w:val="24"/>
        </w:rPr>
        <w:t xml:space="preserve"> on actual implementation of follow up actions by the audited agencies</w:t>
      </w:r>
      <w:r w:rsidRPr="00EB66D4">
        <w:rPr>
          <w:rFonts w:ascii="Times New Roman" w:eastAsia="Calibri" w:hAnsi="Times New Roman"/>
          <w:sz w:val="24"/>
        </w:rPr>
        <w:t xml:space="preserve">, due to </w:t>
      </w:r>
      <w:r w:rsidRPr="00EB66D4">
        <w:rPr>
          <w:rFonts w:ascii="Times New Roman" w:hAnsi="Times New Roman"/>
          <w:sz w:val="24"/>
        </w:rPr>
        <w:t xml:space="preserve">the lack of consistency and quality in the responses received from the audited entities, and the lack of effective means by SAO to verify the implementation of follow up actions in </w:t>
      </w:r>
      <w:r w:rsidRPr="00EB66D4">
        <w:rPr>
          <w:rFonts w:ascii="Times New Roman" w:eastAsia="Calibri" w:hAnsi="Times New Roman"/>
          <w:sz w:val="24"/>
        </w:rPr>
        <w:t xml:space="preserve">response to each audit recommendations. The SAO </w:t>
      </w:r>
      <w:r>
        <w:rPr>
          <w:rFonts w:ascii="Times New Roman" w:eastAsia="Calibri" w:hAnsi="Times New Roman"/>
          <w:sz w:val="24"/>
        </w:rPr>
        <w:t xml:space="preserve">had </w:t>
      </w:r>
      <w:r w:rsidRPr="00EB66D4">
        <w:rPr>
          <w:rFonts w:ascii="Times New Roman" w:eastAsia="Calibri" w:hAnsi="Times New Roman"/>
          <w:sz w:val="24"/>
        </w:rPr>
        <w:t>received the statements in hardcopy form</w:t>
      </w:r>
      <w:r>
        <w:rPr>
          <w:rFonts w:ascii="Times New Roman" w:eastAsia="Calibri" w:hAnsi="Times New Roman"/>
          <w:sz w:val="24"/>
        </w:rPr>
        <w:t>at</w:t>
      </w:r>
      <w:r w:rsidRPr="00EB66D4">
        <w:rPr>
          <w:rFonts w:ascii="Times New Roman" w:eastAsia="Calibri" w:hAnsi="Times New Roman"/>
          <w:sz w:val="24"/>
        </w:rPr>
        <w:t xml:space="preserve"> un</w:t>
      </w:r>
      <w:r>
        <w:rPr>
          <w:rFonts w:ascii="Times New Roman" w:eastAsia="Calibri" w:hAnsi="Times New Roman"/>
          <w:sz w:val="24"/>
        </w:rPr>
        <w:t>til 2017 but has been granted</w:t>
      </w:r>
      <w:r w:rsidRPr="00EB66D4">
        <w:rPr>
          <w:rFonts w:ascii="Times New Roman" w:eastAsia="Calibri" w:hAnsi="Times New Roman"/>
          <w:sz w:val="24"/>
        </w:rPr>
        <w:t xml:space="preserve"> access to GFIS in March 2018.</w:t>
      </w:r>
    </w:p>
    <w:p w14:paraId="5031E223" w14:textId="77777777" w:rsidR="007518E4" w:rsidRPr="00EB66D4" w:rsidRDefault="007518E4" w:rsidP="008037D9">
      <w:pPr>
        <w:pStyle w:val="ListParagraph"/>
        <w:numPr>
          <w:ilvl w:val="0"/>
          <w:numId w:val="91"/>
        </w:numPr>
        <w:spacing w:after="240"/>
        <w:ind w:left="0"/>
        <w:contextualSpacing w:val="0"/>
        <w:rPr>
          <w:rFonts w:ascii="Times New Roman" w:eastAsia="Calibri" w:hAnsi="Times New Roman"/>
          <w:sz w:val="24"/>
        </w:rPr>
      </w:pPr>
      <w:r w:rsidRPr="00434460">
        <w:rPr>
          <w:rFonts w:ascii="Times New Roman" w:eastAsia="Calibri" w:hAnsi="Times New Roman"/>
          <w:b/>
          <w:sz w:val="24"/>
        </w:rPr>
        <w:t xml:space="preserve">As evidenced by the recurring findings </w:t>
      </w:r>
      <w:r w:rsidRPr="00434460">
        <w:rPr>
          <w:rFonts w:ascii="Times New Roman" w:hAnsi="Times New Roman"/>
          <w:b/>
          <w:sz w:val="24"/>
        </w:rPr>
        <w:t xml:space="preserve">related to control weaknesses </w:t>
      </w:r>
      <w:r w:rsidRPr="00434460">
        <w:rPr>
          <w:rFonts w:ascii="Times New Roman" w:eastAsia="Calibri" w:hAnsi="Times New Roman"/>
          <w:b/>
          <w:sz w:val="24"/>
        </w:rPr>
        <w:t>as well as the statements by the SAO reports, the overall capacity for follow up actions is weak</w:t>
      </w:r>
      <w:r w:rsidR="00E91C03">
        <w:rPr>
          <w:rFonts w:ascii="Times New Roman" w:eastAsia="Calibri" w:hAnsi="Times New Roman"/>
          <w:sz w:val="24"/>
        </w:rPr>
        <w:t xml:space="preserve">. </w:t>
      </w:r>
      <w:r w:rsidR="00434460">
        <w:rPr>
          <w:rFonts w:ascii="Times New Roman" w:eastAsia="Calibri" w:hAnsi="Times New Roman"/>
          <w:sz w:val="24"/>
        </w:rPr>
        <w:t>T</w:t>
      </w:r>
      <w:r w:rsidRPr="00EB66D4">
        <w:rPr>
          <w:rFonts w:ascii="Times New Roman" w:eastAsia="Calibri" w:hAnsi="Times New Roman"/>
          <w:sz w:val="24"/>
        </w:rPr>
        <w:t xml:space="preserve">here is no clear </w:t>
      </w:r>
      <w:r w:rsidRPr="00EB66D4">
        <w:rPr>
          <w:rFonts w:ascii="Times New Roman" w:hAnsi="Times New Roman"/>
          <w:sz w:val="24"/>
        </w:rPr>
        <w:t xml:space="preserve">system in place where unresolved audit observations in prior years are repeatedly reported </w:t>
      </w:r>
      <w:r w:rsidR="00E91C03">
        <w:rPr>
          <w:rFonts w:ascii="Times New Roman" w:hAnsi="Times New Roman"/>
          <w:sz w:val="24"/>
        </w:rPr>
        <w:t xml:space="preserve">until satisfactorily resolved. </w:t>
      </w:r>
      <w:r w:rsidRPr="00EB66D4">
        <w:rPr>
          <w:rFonts w:ascii="Times New Roman" w:hAnsi="Times New Roman"/>
          <w:sz w:val="24"/>
        </w:rPr>
        <w:t>The government does not have the obligation to report on the implementation of the SAO findings to the NA.</w:t>
      </w:r>
    </w:p>
    <w:p w14:paraId="24BD2E5C" w14:textId="77777777" w:rsidR="007518E4" w:rsidRPr="00787774" w:rsidRDefault="007518E4" w:rsidP="00434460">
      <w:pPr>
        <w:pStyle w:val="ListParagraph"/>
        <w:widowControl w:val="0"/>
        <w:numPr>
          <w:ilvl w:val="0"/>
          <w:numId w:val="91"/>
        </w:numPr>
        <w:autoSpaceDE w:val="0"/>
        <w:autoSpaceDN w:val="0"/>
        <w:adjustRightInd w:val="0"/>
        <w:spacing w:after="240"/>
        <w:ind w:left="0"/>
        <w:contextualSpacing w:val="0"/>
        <w:rPr>
          <w:rFonts w:ascii="Times New Roman" w:eastAsia="Calibri" w:hAnsi="Times New Roman"/>
          <w:color w:val="000000"/>
          <w:sz w:val="24"/>
        </w:rPr>
      </w:pPr>
      <w:r w:rsidRPr="00434460">
        <w:rPr>
          <w:rFonts w:ascii="Times New Roman" w:eastAsia="Calibri" w:hAnsi="Times New Roman"/>
          <w:b/>
          <w:bCs/>
          <w:color w:val="000000"/>
          <w:sz w:val="24"/>
        </w:rPr>
        <w:lastRenderedPageBreak/>
        <w:t>Formal responses were formulated by the audited entities to the SAO observations and findings in the last three years</w:t>
      </w:r>
      <w:r w:rsidR="00E91C03">
        <w:rPr>
          <w:rFonts w:ascii="Times New Roman" w:eastAsia="Calibri" w:hAnsi="Times New Roman"/>
          <w:bCs/>
          <w:color w:val="000000"/>
          <w:sz w:val="24"/>
        </w:rPr>
        <w:t xml:space="preserve">. </w:t>
      </w:r>
      <w:r w:rsidR="00434460">
        <w:rPr>
          <w:rFonts w:ascii="Times New Roman" w:eastAsia="Calibri" w:hAnsi="Times New Roman"/>
          <w:bCs/>
          <w:color w:val="000000"/>
          <w:sz w:val="24"/>
        </w:rPr>
        <w:t>R</w:t>
      </w:r>
      <w:r w:rsidRPr="00787774">
        <w:rPr>
          <w:rFonts w:ascii="Times New Roman" w:eastAsia="Calibri" w:hAnsi="Times New Roman"/>
          <w:bCs/>
          <w:color w:val="000000"/>
          <w:sz w:val="24"/>
        </w:rPr>
        <w:t xml:space="preserve">esponses are not comprehensive and capacity to effectively implement follow up actions is weak: Score </w:t>
      </w:r>
      <w:r>
        <w:rPr>
          <w:rFonts w:ascii="Times New Roman" w:eastAsia="Calibri" w:hAnsi="Times New Roman"/>
          <w:bCs/>
          <w:color w:val="000000"/>
          <w:sz w:val="24"/>
        </w:rPr>
        <w:t>C</w:t>
      </w:r>
      <w:r w:rsidRPr="00787774">
        <w:rPr>
          <w:rFonts w:ascii="Times New Roman" w:eastAsia="Calibri" w:hAnsi="Times New Roman"/>
          <w:bCs/>
          <w:color w:val="000000"/>
          <w:sz w:val="24"/>
        </w:rPr>
        <w:t xml:space="preserve">. </w:t>
      </w:r>
    </w:p>
    <w:p w14:paraId="08A84A81" w14:textId="77777777" w:rsidR="007518E4" w:rsidRPr="008E2470" w:rsidRDefault="007518E4" w:rsidP="00434460">
      <w:pPr>
        <w:spacing w:after="240"/>
        <w:ind w:left="0"/>
        <w:rPr>
          <w:rFonts w:ascii="Times New Roman" w:eastAsia="Calibri" w:hAnsi="Times New Roman"/>
          <w:b/>
          <w:bCs/>
          <w:color w:val="B34384"/>
          <w:spacing w:val="-1"/>
          <w:sz w:val="24"/>
        </w:rPr>
      </w:pPr>
      <w:r w:rsidRPr="008E2470">
        <w:rPr>
          <w:rFonts w:ascii="Times New Roman" w:eastAsia="Calibri" w:hAnsi="Times New Roman"/>
          <w:b/>
          <w:bCs/>
          <w:color w:val="B34384"/>
          <w:spacing w:val="-1"/>
          <w:sz w:val="24"/>
        </w:rPr>
        <w:t xml:space="preserve">30.4. </w:t>
      </w:r>
      <w:r>
        <w:rPr>
          <w:rFonts w:ascii="Times New Roman" w:eastAsia="Calibri" w:hAnsi="Times New Roman"/>
          <w:b/>
          <w:bCs/>
          <w:color w:val="B34384"/>
          <w:spacing w:val="-1"/>
          <w:sz w:val="24"/>
        </w:rPr>
        <w:t>Supreme audit institution independence</w:t>
      </w:r>
    </w:p>
    <w:p w14:paraId="3B3EEA7D" w14:textId="77777777" w:rsidR="007518E4" w:rsidRPr="00CD4313" w:rsidRDefault="007518E4" w:rsidP="008037D9">
      <w:pPr>
        <w:pStyle w:val="ListParagraph"/>
        <w:numPr>
          <w:ilvl w:val="0"/>
          <w:numId w:val="91"/>
        </w:numPr>
        <w:autoSpaceDE w:val="0"/>
        <w:autoSpaceDN w:val="0"/>
        <w:adjustRightInd w:val="0"/>
        <w:spacing w:after="240"/>
        <w:ind w:left="0"/>
        <w:contextualSpacing w:val="0"/>
        <w:rPr>
          <w:rFonts w:ascii="Times New Roman" w:hAnsi="Times New Roman"/>
          <w:sz w:val="24"/>
          <w:lang w:val="en-MY"/>
        </w:rPr>
      </w:pPr>
      <w:r w:rsidRPr="00434460">
        <w:rPr>
          <w:rFonts w:ascii="Times New Roman" w:eastAsia="Calibri" w:hAnsi="Times New Roman"/>
          <w:b/>
          <w:sz w:val="24"/>
        </w:rPr>
        <w:t xml:space="preserve">Article 53 of the Lao PDR Constitution grants to the NA </w:t>
      </w:r>
      <w:r w:rsidR="00434460" w:rsidRPr="00434460">
        <w:rPr>
          <w:rFonts w:ascii="Times New Roman" w:eastAsia="Calibri" w:hAnsi="Times New Roman"/>
          <w:b/>
          <w:sz w:val="24"/>
        </w:rPr>
        <w:t xml:space="preserve">certain </w:t>
      </w:r>
      <w:r w:rsidRPr="00434460">
        <w:rPr>
          <w:rFonts w:ascii="Times New Roman" w:eastAsia="Calibri" w:hAnsi="Times New Roman"/>
          <w:b/>
          <w:sz w:val="24"/>
        </w:rPr>
        <w:t>power</w:t>
      </w:r>
      <w:r w:rsidR="00434460" w:rsidRPr="00434460">
        <w:rPr>
          <w:rFonts w:ascii="Times New Roman" w:eastAsia="Calibri" w:hAnsi="Times New Roman"/>
          <w:b/>
          <w:sz w:val="24"/>
        </w:rPr>
        <w:t>s</w:t>
      </w:r>
      <w:r w:rsidR="00434460">
        <w:rPr>
          <w:rFonts w:ascii="Times New Roman" w:eastAsia="Calibri" w:hAnsi="Times New Roman"/>
          <w:b/>
          <w:sz w:val="24"/>
        </w:rPr>
        <w:t xml:space="preserve">.  </w:t>
      </w:r>
      <w:r w:rsidR="00434460" w:rsidRPr="00434460">
        <w:rPr>
          <w:rFonts w:ascii="Times New Roman" w:eastAsia="Calibri" w:hAnsi="Times New Roman"/>
          <w:sz w:val="24"/>
        </w:rPr>
        <w:t>These include</w:t>
      </w:r>
      <w:r w:rsidRPr="00CD4313">
        <w:rPr>
          <w:rFonts w:ascii="Times New Roman" w:eastAsia="Calibri" w:hAnsi="Times New Roman"/>
          <w:sz w:val="24"/>
        </w:rPr>
        <w:t xml:space="preserve"> “to</w:t>
      </w:r>
      <w:r w:rsidRPr="00CD4313">
        <w:rPr>
          <w:rFonts w:ascii="Times New Roman" w:hAnsi="Times New Roman"/>
          <w:sz w:val="24"/>
          <w:lang w:val="en-MY"/>
        </w:rPr>
        <w:t xml:space="preserve"> elect or remove the President of the People's Supreme Court, the Supreme Public Prosecutor, and the President of the State Audit Organisation based on the recommendation of the President of the State” and Article 106 establishes that “The President of the State Audit Organisation reports directly to the National Assembly and to the President of the State, the Prime Minister, and National Assembly Standing Committee on all auditing activities.”</w:t>
      </w:r>
    </w:p>
    <w:p w14:paraId="77B69D04" w14:textId="77777777" w:rsidR="007518E4" w:rsidRPr="00CD4313" w:rsidRDefault="007518E4" w:rsidP="008037D9">
      <w:pPr>
        <w:pStyle w:val="ListParagraph"/>
        <w:numPr>
          <w:ilvl w:val="0"/>
          <w:numId w:val="91"/>
        </w:numPr>
        <w:spacing w:after="240"/>
        <w:ind w:left="0"/>
        <w:contextualSpacing w:val="0"/>
        <w:rPr>
          <w:rFonts w:ascii="Times New Roman" w:hAnsi="Times New Roman"/>
          <w:bCs/>
          <w:sz w:val="24"/>
        </w:rPr>
      </w:pPr>
      <w:r w:rsidRPr="00434460">
        <w:rPr>
          <w:rFonts w:ascii="Times New Roman" w:hAnsi="Times New Roman"/>
          <w:b/>
          <w:bCs/>
          <w:sz w:val="24"/>
        </w:rPr>
        <w:t xml:space="preserve">A comprehensive assessment of the SAO’s independence (with reference to the </w:t>
      </w:r>
      <w:r w:rsidRPr="00434460">
        <w:rPr>
          <w:rFonts w:ascii="Times New Roman" w:hAnsi="Times New Roman"/>
          <w:b/>
          <w:bCs/>
          <w:i/>
          <w:sz w:val="24"/>
        </w:rPr>
        <w:t>Mexico Declaration on SAI Independence</w:t>
      </w:r>
      <w:r w:rsidRPr="00434460">
        <w:rPr>
          <w:rFonts w:ascii="Times New Roman" w:hAnsi="Times New Roman"/>
          <w:b/>
          <w:bCs/>
          <w:sz w:val="24"/>
        </w:rPr>
        <w:t>) has not yet been undertaken in the framework of the assistance provided to the SAO.</w:t>
      </w:r>
      <w:r w:rsidRPr="00CD4313">
        <w:rPr>
          <w:rFonts w:ascii="Times New Roman" w:hAnsi="Times New Roman"/>
          <w:bCs/>
          <w:sz w:val="24"/>
        </w:rPr>
        <w:t xml:space="preserve"> The State Audit Law authorizes the SAO to work very closely with all the NA members and share the audit information to prepare for the formal submission at the ordinary session. The NA Committee for Planning, Finance and Audit</w:t>
      </w:r>
      <w:r>
        <w:rPr>
          <w:rFonts w:ascii="Times New Roman" w:hAnsi="Times New Roman"/>
          <w:bCs/>
          <w:sz w:val="24"/>
        </w:rPr>
        <w:t xml:space="preserve"> works with the SAO</w:t>
      </w:r>
      <w:r w:rsidRPr="00CD4313">
        <w:rPr>
          <w:rFonts w:ascii="Times New Roman" w:hAnsi="Times New Roman"/>
          <w:bCs/>
          <w:sz w:val="24"/>
        </w:rPr>
        <w:t xml:space="preserve"> on a regular basis to identify the major issues in the budget implementation and prioritize the annual audit plan. Effectively, when the SAO report is submitted to the President of the NA 15 days before the opening of the second ordinary NA session in November, all the issues have already been discussed.</w:t>
      </w:r>
    </w:p>
    <w:p w14:paraId="33B299F7" w14:textId="77777777" w:rsidR="007518E4" w:rsidRPr="00CD4313" w:rsidRDefault="007518E4" w:rsidP="008037D9">
      <w:pPr>
        <w:pStyle w:val="ListParagraph"/>
        <w:numPr>
          <w:ilvl w:val="0"/>
          <w:numId w:val="91"/>
        </w:numPr>
        <w:spacing w:after="240"/>
        <w:ind w:left="0"/>
        <w:contextualSpacing w:val="0"/>
        <w:rPr>
          <w:rFonts w:ascii="Times New Roman" w:hAnsi="Times New Roman"/>
          <w:bCs/>
          <w:sz w:val="24"/>
        </w:rPr>
      </w:pPr>
      <w:r w:rsidRPr="00434460">
        <w:rPr>
          <w:rFonts w:ascii="Times New Roman" w:hAnsi="Times New Roman"/>
          <w:b/>
          <w:bCs/>
          <w:sz w:val="24"/>
        </w:rPr>
        <w:t xml:space="preserve">The State Audit Law </w:t>
      </w:r>
      <w:r w:rsidRPr="00434460">
        <w:rPr>
          <w:rFonts w:ascii="Times New Roman" w:eastAsia="Calibri" w:hAnsi="Times New Roman"/>
          <w:b/>
          <w:sz w:val="24"/>
        </w:rPr>
        <w:t>requires the SAO to prepare a budget and business plan for its operations.</w:t>
      </w:r>
      <w:r w:rsidRPr="00CD4313">
        <w:rPr>
          <w:rFonts w:ascii="Times New Roman" w:eastAsia="Calibri" w:hAnsi="Times New Roman"/>
          <w:sz w:val="24"/>
        </w:rPr>
        <w:t xml:space="preserve"> </w:t>
      </w:r>
      <w:r w:rsidRPr="00CD4313">
        <w:rPr>
          <w:rFonts w:ascii="Times New Roman" w:hAnsi="Times New Roman"/>
          <w:bCs/>
          <w:sz w:val="24"/>
        </w:rPr>
        <w:t xml:space="preserve">SAO budget is prepared </w:t>
      </w:r>
      <w:r>
        <w:rPr>
          <w:rFonts w:ascii="Times New Roman" w:hAnsi="Times New Roman"/>
          <w:bCs/>
          <w:sz w:val="24"/>
        </w:rPr>
        <w:t xml:space="preserve">based on the work plan approved by the NA and as part of the overall State Budget </w:t>
      </w:r>
      <w:r w:rsidRPr="00CD4313">
        <w:rPr>
          <w:rFonts w:ascii="Times New Roman" w:hAnsi="Times New Roman"/>
          <w:bCs/>
          <w:sz w:val="24"/>
        </w:rPr>
        <w:t xml:space="preserve">and </w:t>
      </w:r>
      <w:r>
        <w:rPr>
          <w:rFonts w:ascii="Times New Roman" w:hAnsi="Times New Roman"/>
          <w:bCs/>
          <w:sz w:val="24"/>
        </w:rPr>
        <w:t xml:space="preserve">is </w:t>
      </w:r>
      <w:r w:rsidRPr="00CD4313">
        <w:rPr>
          <w:rFonts w:ascii="Times New Roman" w:hAnsi="Times New Roman"/>
          <w:bCs/>
          <w:sz w:val="24"/>
        </w:rPr>
        <w:t>submitted to the NA for approval</w:t>
      </w:r>
      <w:r w:rsidR="00E91C03">
        <w:rPr>
          <w:rFonts w:ascii="Times New Roman" w:hAnsi="Times New Roman"/>
          <w:bCs/>
          <w:sz w:val="24"/>
        </w:rPr>
        <w:t>.</w:t>
      </w:r>
      <w:r>
        <w:rPr>
          <w:rFonts w:ascii="Times New Roman" w:hAnsi="Times New Roman"/>
          <w:bCs/>
          <w:sz w:val="24"/>
        </w:rPr>
        <w:t xml:space="preserve"> In</w:t>
      </w:r>
      <w:r w:rsidRPr="00CD4313">
        <w:rPr>
          <w:rFonts w:ascii="Times New Roman" w:hAnsi="Times New Roman"/>
          <w:bCs/>
          <w:sz w:val="24"/>
        </w:rPr>
        <w:t xml:space="preserve"> 2018, the 2017 SAO work</w:t>
      </w:r>
      <w:r>
        <w:rPr>
          <w:rFonts w:ascii="Times New Roman" w:hAnsi="Times New Roman"/>
          <w:bCs/>
          <w:sz w:val="24"/>
        </w:rPr>
        <w:t xml:space="preserve"> </w:t>
      </w:r>
      <w:r w:rsidRPr="00CD4313">
        <w:rPr>
          <w:rFonts w:ascii="Times New Roman" w:hAnsi="Times New Roman"/>
          <w:bCs/>
          <w:sz w:val="24"/>
        </w:rPr>
        <w:t>plan was approved as part of the NA resolution on the approval of the SAO report for 2017.</w:t>
      </w:r>
      <w:r>
        <w:rPr>
          <w:rFonts w:ascii="Times New Roman" w:hAnsi="Times New Roman"/>
          <w:bCs/>
          <w:sz w:val="24"/>
        </w:rPr>
        <w:t xml:space="preserve"> </w:t>
      </w:r>
      <w:r w:rsidRPr="00CD4313">
        <w:rPr>
          <w:rFonts w:ascii="Times New Roman" w:eastAsia="Calibri" w:hAnsi="Times New Roman"/>
          <w:sz w:val="24"/>
        </w:rPr>
        <w:t xml:space="preserve">There is no specific status for the SAO auditors and salaries of employees of SAO are considered together with the civil service. The Law also empowers the Auditor General to publish any audit report in the Gazette and SAO website upon agreement with the audited entity. </w:t>
      </w:r>
    </w:p>
    <w:p w14:paraId="65C967C7" w14:textId="77777777" w:rsidR="007518E4" w:rsidRDefault="007518E4" w:rsidP="008037D9">
      <w:pPr>
        <w:pStyle w:val="ListParagraph"/>
        <w:widowControl w:val="0"/>
        <w:numPr>
          <w:ilvl w:val="0"/>
          <w:numId w:val="91"/>
        </w:numPr>
        <w:autoSpaceDE w:val="0"/>
        <w:autoSpaceDN w:val="0"/>
        <w:adjustRightInd w:val="0"/>
        <w:spacing w:after="240"/>
        <w:ind w:left="0"/>
        <w:contextualSpacing w:val="0"/>
        <w:rPr>
          <w:rFonts w:ascii="Times New Roman" w:eastAsia="Calibri" w:hAnsi="Times New Roman"/>
          <w:sz w:val="24"/>
        </w:rPr>
      </w:pPr>
      <w:r w:rsidRPr="00434460">
        <w:rPr>
          <w:rFonts w:ascii="Times New Roman" w:eastAsia="Calibri" w:hAnsi="Times New Roman"/>
          <w:b/>
          <w:sz w:val="24"/>
        </w:rPr>
        <w:t>The SAI operates independently from the executive with respect to the procedures for appointment as well as execution of the SAO budget</w:t>
      </w:r>
      <w:r w:rsidRPr="002E51D7">
        <w:rPr>
          <w:rFonts w:ascii="Times New Roman" w:eastAsia="Calibri" w:hAnsi="Times New Roman"/>
          <w:sz w:val="24"/>
        </w:rPr>
        <w:t xml:space="preserve">. The SAO has unrestricted and timely access to </w:t>
      </w:r>
      <w:proofErr w:type="gramStart"/>
      <w:r w:rsidRPr="002E51D7">
        <w:rPr>
          <w:rFonts w:ascii="Times New Roman" w:eastAsia="Calibri" w:hAnsi="Times New Roman"/>
          <w:sz w:val="24"/>
        </w:rPr>
        <w:t>the majority of</w:t>
      </w:r>
      <w:proofErr w:type="gramEnd"/>
      <w:r w:rsidRPr="002E51D7">
        <w:rPr>
          <w:rFonts w:ascii="Times New Roman" w:eastAsia="Calibri" w:hAnsi="Times New Roman"/>
          <w:sz w:val="24"/>
        </w:rPr>
        <w:t xml:space="preserve"> the requested records, documentation and information: Score </w:t>
      </w:r>
      <w:r>
        <w:rPr>
          <w:rFonts w:ascii="Times New Roman" w:eastAsia="Calibri" w:hAnsi="Times New Roman"/>
          <w:sz w:val="24"/>
        </w:rPr>
        <w:t>C</w:t>
      </w:r>
      <w:r w:rsidRPr="002E51D7">
        <w:rPr>
          <w:rFonts w:ascii="Times New Roman" w:eastAsia="Calibri" w:hAnsi="Times New Roman"/>
          <w:sz w:val="24"/>
        </w:rPr>
        <w:t>.</w:t>
      </w:r>
    </w:p>
    <w:p w14:paraId="7A9F2F55" w14:textId="77777777" w:rsidR="007518E4" w:rsidRPr="002C46B4" w:rsidRDefault="007518E4" w:rsidP="00E025B0">
      <w:pPr>
        <w:pStyle w:val="Heading3"/>
        <w:keepNext w:val="0"/>
        <w:widowControl w:val="0"/>
        <w:spacing w:after="240"/>
        <w:ind w:left="0"/>
        <w:rPr>
          <w:rFonts w:ascii="Times New Roman" w:eastAsia="Calibri" w:hAnsi="Times New Roman"/>
          <w:b w:val="0"/>
          <w:bCs w:val="0"/>
          <w:color w:val="B34384"/>
          <w:spacing w:val="-1"/>
          <w:szCs w:val="28"/>
        </w:rPr>
      </w:pPr>
      <w:bookmarkStart w:id="111" w:name="_Toc518901818"/>
      <w:bookmarkStart w:id="112" w:name="_Toc4149013"/>
      <w:r w:rsidRPr="002C46B4">
        <w:rPr>
          <w:rFonts w:ascii="Times New Roman" w:eastAsia="Calibri" w:hAnsi="Times New Roman"/>
          <w:color w:val="B34384"/>
          <w:spacing w:val="-1"/>
          <w:szCs w:val="28"/>
        </w:rPr>
        <w:t>PI-31. Legislative</w:t>
      </w:r>
      <w:r>
        <w:rPr>
          <w:rFonts w:ascii="Times New Roman" w:eastAsia="Calibri" w:hAnsi="Times New Roman"/>
          <w:color w:val="B34384"/>
          <w:spacing w:val="-1"/>
          <w:szCs w:val="28"/>
        </w:rPr>
        <w:t xml:space="preserve"> s</w:t>
      </w:r>
      <w:r w:rsidRPr="002C46B4">
        <w:rPr>
          <w:rFonts w:ascii="Times New Roman" w:eastAsia="Calibri" w:hAnsi="Times New Roman"/>
          <w:color w:val="B34384"/>
          <w:spacing w:val="-1"/>
          <w:szCs w:val="28"/>
        </w:rPr>
        <w:t xml:space="preserve">crutiny of </w:t>
      </w:r>
      <w:r>
        <w:rPr>
          <w:rFonts w:ascii="Times New Roman" w:eastAsia="Calibri" w:hAnsi="Times New Roman"/>
          <w:color w:val="B34384"/>
          <w:spacing w:val="-1"/>
          <w:szCs w:val="28"/>
        </w:rPr>
        <w:t>a</w:t>
      </w:r>
      <w:r w:rsidRPr="002C46B4">
        <w:rPr>
          <w:rFonts w:ascii="Times New Roman" w:eastAsia="Calibri" w:hAnsi="Times New Roman"/>
          <w:color w:val="B34384"/>
          <w:spacing w:val="-1"/>
          <w:szCs w:val="28"/>
        </w:rPr>
        <w:t xml:space="preserve">udit </w:t>
      </w:r>
      <w:r>
        <w:rPr>
          <w:rFonts w:ascii="Times New Roman" w:eastAsia="Calibri" w:hAnsi="Times New Roman"/>
          <w:color w:val="B34384"/>
          <w:spacing w:val="-1"/>
          <w:szCs w:val="28"/>
        </w:rPr>
        <w:t>r</w:t>
      </w:r>
      <w:r w:rsidRPr="002C46B4">
        <w:rPr>
          <w:rFonts w:ascii="Times New Roman" w:eastAsia="Calibri" w:hAnsi="Times New Roman"/>
          <w:color w:val="B34384"/>
          <w:spacing w:val="-1"/>
          <w:szCs w:val="28"/>
        </w:rPr>
        <w:t>eports</w:t>
      </w:r>
      <w:bookmarkEnd w:id="111"/>
      <w:bookmarkEnd w:id="112"/>
    </w:p>
    <w:p w14:paraId="47E7BB40" w14:textId="77777777" w:rsidR="007518E4" w:rsidRDefault="007518E4" w:rsidP="008037D9">
      <w:pPr>
        <w:pStyle w:val="ListParagraph"/>
        <w:numPr>
          <w:ilvl w:val="0"/>
          <w:numId w:val="91"/>
        </w:numPr>
        <w:spacing w:after="240"/>
        <w:ind w:left="0"/>
        <w:contextualSpacing w:val="0"/>
        <w:rPr>
          <w:rFonts w:ascii="Times New Roman" w:hAnsi="Times New Roman"/>
          <w:sz w:val="24"/>
        </w:rPr>
      </w:pPr>
      <w:r w:rsidRPr="00E025B0">
        <w:rPr>
          <w:rFonts w:ascii="Times New Roman" w:hAnsi="Times New Roman"/>
          <w:b/>
          <w:sz w:val="24"/>
        </w:rPr>
        <w:t xml:space="preserve">This indicator focuses on legislative scrutiny of the audited financial reports of central government, including institutional units, to the extent that either (a) they are required by law to submit audit reports to the legislature or (b) their parent or controlling unit must answer questions and </w:t>
      </w:r>
      <w:proofErr w:type="gramStart"/>
      <w:r w:rsidRPr="00E025B0">
        <w:rPr>
          <w:rFonts w:ascii="Times New Roman" w:hAnsi="Times New Roman"/>
          <w:b/>
          <w:sz w:val="24"/>
        </w:rPr>
        <w:t>take action</w:t>
      </w:r>
      <w:proofErr w:type="gramEnd"/>
      <w:r w:rsidRPr="00E025B0">
        <w:rPr>
          <w:rFonts w:ascii="Times New Roman" w:hAnsi="Times New Roman"/>
          <w:b/>
          <w:sz w:val="24"/>
        </w:rPr>
        <w:t xml:space="preserve"> on their behalf.</w:t>
      </w:r>
      <w:r w:rsidR="00E91C03">
        <w:rPr>
          <w:rFonts w:ascii="Times New Roman" w:hAnsi="Times New Roman"/>
          <w:sz w:val="24"/>
        </w:rPr>
        <w:t xml:space="preserve"> </w:t>
      </w:r>
      <w:r w:rsidRPr="00363F67">
        <w:rPr>
          <w:rFonts w:ascii="Times New Roman" w:hAnsi="Times New Roman"/>
          <w:sz w:val="24"/>
        </w:rPr>
        <w:t xml:space="preserve">The </w:t>
      </w:r>
      <w:proofErr w:type="gramStart"/>
      <w:r w:rsidRPr="00363F67">
        <w:rPr>
          <w:rFonts w:ascii="Times New Roman" w:hAnsi="Times New Roman"/>
          <w:sz w:val="24"/>
        </w:rPr>
        <w:t>time period</w:t>
      </w:r>
      <w:proofErr w:type="gramEnd"/>
      <w:r w:rsidRPr="00363F67">
        <w:rPr>
          <w:rFonts w:ascii="Times New Roman" w:hAnsi="Times New Roman"/>
          <w:sz w:val="24"/>
        </w:rPr>
        <w:t xml:space="preserve"> is for the last three completed fiscal years. Coverage is Central Government.</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5"/>
        <w:gridCol w:w="1271"/>
        <w:gridCol w:w="4847"/>
      </w:tblGrid>
      <w:tr w:rsidR="007518E4" w:rsidRPr="00EC7915" w14:paraId="6F101276" w14:textId="77777777" w:rsidTr="00E91C03">
        <w:trPr>
          <w:trHeight w:val="397"/>
          <w:jc w:val="center"/>
        </w:trPr>
        <w:tc>
          <w:tcPr>
            <w:tcW w:w="15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076B55" w14:textId="77777777" w:rsidR="007518E4" w:rsidRPr="003F7770" w:rsidRDefault="007518E4" w:rsidP="00E91C03">
            <w:pPr>
              <w:spacing w:before="0"/>
              <w:ind w:hanging="545"/>
              <w:jc w:val="center"/>
              <w:rPr>
                <w:rFonts w:ascii="Times New Roman" w:hAnsi="Times New Roman"/>
              </w:rPr>
            </w:pPr>
            <w:r w:rsidRPr="003F7770">
              <w:rPr>
                <w:rFonts w:ascii="Times New Roman" w:hAnsi="Times New Roman"/>
              </w:rPr>
              <w:t>Indicator/Dimension</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AD50A1" w14:textId="77777777" w:rsidR="007518E4" w:rsidRPr="003F7770" w:rsidRDefault="007518E4" w:rsidP="00E025B0">
            <w:pPr>
              <w:spacing w:before="0"/>
              <w:ind w:left="0"/>
              <w:jc w:val="center"/>
              <w:rPr>
                <w:rFonts w:ascii="Times New Roman" w:hAnsi="Times New Roman"/>
              </w:rPr>
            </w:pPr>
            <w:r w:rsidRPr="003F7770">
              <w:rPr>
                <w:rFonts w:ascii="Times New Roman" w:hAnsi="Times New Roman"/>
              </w:rPr>
              <w:t>Score</w:t>
            </w:r>
          </w:p>
        </w:tc>
        <w:tc>
          <w:tcPr>
            <w:tcW w:w="274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FB0589" w14:textId="77777777" w:rsidR="007518E4" w:rsidRPr="003F7770" w:rsidRDefault="007518E4" w:rsidP="00E91C03">
            <w:pPr>
              <w:spacing w:before="0"/>
              <w:ind w:hanging="485"/>
              <w:jc w:val="center"/>
              <w:rPr>
                <w:rFonts w:ascii="Times New Roman" w:hAnsi="Times New Roman"/>
              </w:rPr>
            </w:pPr>
            <w:r w:rsidRPr="003F7770">
              <w:rPr>
                <w:rFonts w:ascii="Times New Roman" w:hAnsi="Times New Roman"/>
              </w:rPr>
              <w:t>Brief Explanation</w:t>
            </w:r>
          </w:p>
        </w:tc>
      </w:tr>
      <w:tr w:rsidR="007518E4" w:rsidRPr="003F7770" w14:paraId="6527E4A6" w14:textId="77777777" w:rsidTr="00E91C03">
        <w:trPr>
          <w:trHeight w:val="953"/>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56A133D3" w14:textId="77777777" w:rsidR="007518E4" w:rsidRPr="003F7770" w:rsidRDefault="007518E4" w:rsidP="00E025B0">
            <w:pPr>
              <w:spacing w:before="0"/>
              <w:ind w:left="0"/>
              <w:rPr>
                <w:rFonts w:ascii="Times New Roman" w:hAnsi="Times New Roman"/>
              </w:rPr>
            </w:pPr>
            <w:r w:rsidRPr="003F7770">
              <w:rPr>
                <w:rFonts w:ascii="Times New Roman" w:hAnsi="Times New Roman"/>
              </w:rPr>
              <w:t xml:space="preserve">PI-31 Legislative scrutiny of audit reports </w:t>
            </w:r>
          </w:p>
        </w:tc>
        <w:tc>
          <w:tcPr>
            <w:tcW w:w="720" w:type="pct"/>
            <w:tcBorders>
              <w:top w:val="single" w:sz="4" w:space="0" w:color="auto"/>
              <w:left w:val="single" w:sz="4" w:space="0" w:color="auto"/>
              <w:bottom w:val="single" w:sz="4" w:space="0" w:color="auto"/>
              <w:right w:val="single" w:sz="4" w:space="0" w:color="auto"/>
            </w:tcBorders>
            <w:vAlign w:val="center"/>
          </w:tcPr>
          <w:p w14:paraId="014E0258" w14:textId="77777777" w:rsidR="007518E4" w:rsidRPr="003F7770" w:rsidRDefault="007518E4" w:rsidP="00E025B0">
            <w:pPr>
              <w:spacing w:before="0"/>
              <w:ind w:left="0"/>
              <w:jc w:val="center"/>
              <w:rPr>
                <w:rFonts w:ascii="Times New Roman" w:hAnsi="Times New Roman"/>
              </w:rPr>
            </w:pPr>
            <w:r w:rsidRPr="003F7770">
              <w:rPr>
                <w:rFonts w:ascii="Times New Roman" w:hAnsi="Times New Roman"/>
              </w:rPr>
              <w:t>C</w:t>
            </w:r>
          </w:p>
        </w:tc>
        <w:tc>
          <w:tcPr>
            <w:tcW w:w="2747" w:type="pct"/>
            <w:tcBorders>
              <w:top w:val="single" w:sz="4" w:space="0" w:color="auto"/>
              <w:left w:val="single" w:sz="4" w:space="0" w:color="auto"/>
              <w:bottom w:val="single" w:sz="4" w:space="0" w:color="auto"/>
              <w:right w:val="single" w:sz="4" w:space="0" w:color="auto"/>
            </w:tcBorders>
            <w:vAlign w:val="center"/>
            <w:hideMark/>
          </w:tcPr>
          <w:p w14:paraId="28BC9188" w14:textId="77777777" w:rsidR="007518E4" w:rsidRPr="003F7770" w:rsidRDefault="007518E4" w:rsidP="00E025B0">
            <w:pPr>
              <w:spacing w:before="0"/>
              <w:ind w:left="0"/>
              <w:rPr>
                <w:rFonts w:ascii="Times New Roman" w:hAnsi="Times New Roman"/>
              </w:rPr>
            </w:pPr>
            <w:r w:rsidRPr="003F7770">
              <w:rPr>
                <w:rFonts w:ascii="Times New Roman" w:eastAsia="Calibri" w:hAnsi="Times New Roman"/>
                <w:color w:val="000000"/>
              </w:rPr>
              <w:t>Dimension scores combined by method M2 (Average)</w:t>
            </w:r>
          </w:p>
        </w:tc>
      </w:tr>
      <w:tr w:rsidR="007518E4" w:rsidRPr="003F7770" w14:paraId="18B0C39A" w14:textId="77777777" w:rsidTr="00E91C03">
        <w:trPr>
          <w:trHeight w:val="530"/>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467B9C45" w14:textId="77777777" w:rsidR="007518E4" w:rsidRPr="003F7770" w:rsidRDefault="007518E4" w:rsidP="00E025B0">
            <w:pPr>
              <w:spacing w:before="0"/>
              <w:ind w:left="0"/>
              <w:rPr>
                <w:rFonts w:ascii="Times New Roman" w:hAnsi="Times New Roman"/>
              </w:rPr>
            </w:pPr>
            <w:r w:rsidRPr="003F7770">
              <w:rPr>
                <w:rFonts w:ascii="Times New Roman" w:hAnsi="Times New Roman"/>
              </w:rPr>
              <w:lastRenderedPageBreak/>
              <w:t>31.1 Timing of audit report scrutiny</w:t>
            </w:r>
          </w:p>
        </w:tc>
        <w:tc>
          <w:tcPr>
            <w:tcW w:w="720" w:type="pct"/>
            <w:tcBorders>
              <w:top w:val="single" w:sz="4" w:space="0" w:color="auto"/>
              <w:left w:val="single" w:sz="4" w:space="0" w:color="auto"/>
              <w:bottom w:val="single" w:sz="4" w:space="0" w:color="auto"/>
              <w:right w:val="single" w:sz="4" w:space="0" w:color="auto"/>
            </w:tcBorders>
            <w:vAlign w:val="center"/>
          </w:tcPr>
          <w:p w14:paraId="0F26CAB3" w14:textId="77777777" w:rsidR="007518E4" w:rsidRPr="003F7770" w:rsidRDefault="007518E4" w:rsidP="00E025B0">
            <w:pPr>
              <w:spacing w:before="0"/>
              <w:ind w:left="0"/>
              <w:jc w:val="center"/>
              <w:rPr>
                <w:rFonts w:ascii="Times New Roman" w:hAnsi="Times New Roman"/>
              </w:rPr>
            </w:pPr>
            <w:r w:rsidRPr="003F7770">
              <w:rPr>
                <w:rFonts w:ascii="Times New Roman" w:hAnsi="Times New Roman"/>
              </w:rPr>
              <w:t>A</w:t>
            </w:r>
          </w:p>
        </w:tc>
        <w:tc>
          <w:tcPr>
            <w:tcW w:w="2747" w:type="pct"/>
            <w:tcBorders>
              <w:top w:val="single" w:sz="4" w:space="0" w:color="auto"/>
              <w:left w:val="single" w:sz="4" w:space="0" w:color="auto"/>
              <w:bottom w:val="single" w:sz="4" w:space="0" w:color="auto"/>
              <w:right w:val="single" w:sz="4" w:space="0" w:color="auto"/>
            </w:tcBorders>
            <w:vAlign w:val="center"/>
          </w:tcPr>
          <w:p w14:paraId="5E3B0161" w14:textId="77777777" w:rsidR="007518E4" w:rsidRPr="003F7770" w:rsidRDefault="007518E4" w:rsidP="00E025B0">
            <w:pPr>
              <w:spacing w:before="0"/>
              <w:ind w:left="0"/>
              <w:rPr>
                <w:rFonts w:ascii="Times New Roman" w:eastAsia="Calibri" w:hAnsi="Times New Roman"/>
              </w:rPr>
            </w:pPr>
            <w:r w:rsidRPr="003F7770">
              <w:rPr>
                <w:rFonts w:ascii="Times New Roman" w:eastAsia="Calibri" w:hAnsi="Times New Roman"/>
                <w:color w:val="000000"/>
              </w:rPr>
              <w:t>Scrutiny of audit reports on annual financial reports is completed within three months from receipt of reports</w:t>
            </w:r>
            <w:r w:rsidRPr="003F7770">
              <w:rPr>
                <w:rFonts w:ascii="Times New Roman" w:eastAsia="Calibri" w:hAnsi="Times New Roman"/>
              </w:rPr>
              <w:t xml:space="preserve">. </w:t>
            </w:r>
          </w:p>
        </w:tc>
      </w:tr>
      <w:tr w:rsidR="007518E4" w:rsidRPr="003F7770" w14:paraId="09F0B55F" w14:textId="77777777" w:rsidTr="004603BA">
        <w:trPr>
          <w:trHeight w:val="530"/>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504CAADC" w14:textId="77777777" w:rsidR="007518E4" w:rsidRPr="003F7770" w:rsidRDefault="007518E4" w:rsidP="00E91C03">
            <w:pPr>
              <w:spacing w:before="0"/>
              <w:ind w:left="0"/>
              <w:jc w:val="left"/>
              <w:rPr>
                <w:rFonts w:ascii="Times New Roman" w:hAnsi="Times New Roman"/>
              </w:rPr>
            </w:pPr>
            <w:r w:rsidRPr="003F7770">
              <w:rPr>
                <w:rFonts w:ascii="Times New Roman" w:hAnsi="Times New Roman"/>
              </w:rPr>
              <w:t xml:space="preserve">31.2 </w:t>
            </w:r>
            <w:r w:rsidRPr="003F7770">
              <w:rPr>
                <w:rFonts w:ascii="Times New Roman" w:hAnsi="Times New Roman"/>
                <w:color w:val="000000"/>
              </w:rPr>
              <w:t>Hearings on audit findings</w:t>
            </w:r>
          </w:p>
        </w:tc>
        <w:tc>
          <w:tcPr>
            <w:tcW w:w="720" w:type="pct"/>
            <w:tcBorders>
              <w:top w:val="single" w:sz="4" w:space="0" w:color="auto"/>
              <w:left w:val="single" w:sz="4" w:space="0" w:color="auto"/>
              <w:bottom w:val="single" w:sz="4" w:space="0" w:color="auto"/>
              <w:right w:val="single" w:sz="4" w:space="0" w:color="auto"/>
            </w:tcBorders>
            <w:vAlign w:val="center"/>
          </w:tcPr>
          <w:p w14:paraId="28439171" w14:textId="77777777" w:rsidR="007518E4" w:rsidRPr="003F7770" w:rsidRDefault="004603BA" w:rsidP="00E025B0">
            <w:pPr>
              <w:spacing w:before="0"/>
              <w:ind w:left="0"/>
              <w:jc w:val="center"/>
              <w:rPr>
                <w:rFonts w:ascii="Times New Roman" w:hAnsi="Times New Roman"/>
              </w:rPr>
            </w:pPr>
            <w:r>
              <w:rPr>
                <w:rFonts w:ascii="Times New Roman" w:hAnsi="Times New Roman"/>
              </w:rPr>
              <w:t>D</w:t>
            </w:r>
          </w:p>
        </w:tc>
        <w:tc>
          <w:tcPr>
            <w:tcW w:w="2747" w:type="pct"/>
            <w:tcBorders>
              <w:top w:val="single" w:sz="4" w:space="0" w:color="auto"/>
              <w:left w:val="single" w:sz="4" w:space="0" w:color="auto"/>
              <w:bottom w:val="single" w:sz="4" w:space="0" w:color="auto"/>
              <w:right w:val="single" w:sz="4" w:space="0" w:color="auto"/>
            </w:tcBorders>
            <w:vAlign w:val="center"/>
          </w:tcPr>
          <w:p w14:paraId="432F5585" w14:textId="77777777" w:rsidR="007518E4" w:rsidRPr="003F7770" w:rsidRDefault="007518E4" w:rsidP="00E025B0">
            <w:pPr>
              <w:spacing w:before="0"/>
              <w:ind w:left="0"/>
              <w:rPr>
                <w:rFonts w:ascii="Times New Roman" w:hAnsi="Times New Roman"/>
              </w:rPr>
            </w:pPr>
            <w:r w:rsidRPr="003F7770">
              <w:rPr>
                <w:rFonts w:ascii="Times New Roman" w:eastAsia="Calibri" w:hAnsi="Times New Roman"/>
                <w:color w:val="000000"/>
              </w:rPr>
              <w:t>The NA Committee on Planning Finance and Audit analyzes the findings of the SAO prior to issuing its final resolution on the annual state budget implementation. However, the information scrutinized by the NA is based on the summary of findings reports by the SAO and there is no systematic process to summon the audited agencies to clarify or discuss the remedy actions to the SAO findings.</w:t>
            </w:r>
          </w:p>
        </w:tc>
      </w:tr>
      <w:tr w:rsidR="007518E4" w:rsidRPr="003F7770" w14:paraId="4346A180" w14:textId="77777777" w:rsidTr="00E91C03">
        <w:trPr>
          <w:trHeight w:val="881"/>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726AC01F" w14:textId="77777777" w:rsidR="007518E4" w:rsidRPr="003F7770" w:rsidRDefault="007518E4" w:rsidP="00E025B0">
            <w:pPr>
              <w:spacing w:before="0"/>
              <w:ind w:left="0"/>
              <w:rPr>
                <w:rFonts w:ascii="Times New Roman" w:hAnsi="Times New Roman"/>
              </w:rPr>
            </w:pPr>
            <w:r w:rsidRPr="003F7770">
              <w:rPr>
                <w:rFonts w:ascii="Times New Roman" w:hAnsi="Times New Roman"/>
              </w:rPr>
              <w:t xml:space="preserve">31.3 Recommendations on audit by the legislature </w:t>
            </w:r>
          </w:p>
        </w:tc>
        <w:tc>
          <w:tcPr>
            <w:tcW w:w="720" w:type="pct"/>
            <w:tcBorders>
              <w:top w:val="single" w:sz="4" w:space="0" w:color="auto"/>
              <w:left w:val="single" w:sz="4" w:space="0" w:color="auto"/>
              <w:bottom w:val="single" w:sz="4" w:space="0" w:color="auto"/>
              <w:right w:val="single" w:sz="4" w:space="0" w:color="auto"/>
            </w:tcBorders>
            <w:vAlign w:val="center"/>
          </w:tcPr>
          <w:p w14:paraId="04595176" w14:textId="77777777" w:rsidR="007518E4" w:rsidRPr="003F7770" w:rsidRDefault="007518E4" w:rsidP="00E025B0">
            <w:pPr>
              <w:spacing w:before="0"/>
              <w:ind w:left="0"/>
              <w:jc w:val="center"/>
              <w:rPr>
                <w:rFonts w:ascii="Times New Roman" w:hAnsi="Times New Roman"/>
              </w:rPr>
            </w:pPr>
            <w:r w:rsidRPr="003F7770">
              <w:rPr>
                <w:rFonts w:ascii="Times New Roman" w:hAnsi="Times New Roman"/>
              </w:rPr>
              <w:t>C</w:t>
            </w:r>
          </w:p>
        </w:tc>
        <w:tc>
          <w:tcPr>
            <w:tcW w:w="2747" w:type="pct"/>
            <w:tcBorders>
              <w:top w:val="single" w:sz="4" w:space="0" w:color="auto"/>
              <w:left w:val="single" w:sz="4" w:space="0" w:color="auto"/>
              <w:bottom w:val="single" w:sz="4" w:space="0" w:color="auto"/>
              <w:right w:val="single" w:sz="4" w:space="0" w:color="auto"/>
            </w:tcBorders>
            <w:vAlign w:val="center"/>
          </w:tcPr>
          <w:p w14:paraId="7196DA6E" w14:textId="77777777" w:rsidR="007518E4" w:rsidRPr="003F7770" w:rsidRDefault="007518E4" w:rsidP="00E025B0">
            <w:pPr>
              <w:spacing w:before="0"/>
              <w:ind w:left="0"/>
              <w:rPr>
                <w:rFonts w:ascii="Times New Roman" w:eastAsia="Calibri" w:hAnsi="Times New Roman"/>
                <w:color w:val="000000"/>
              </w:rPr>
            </w:pPr>
            <w:r w:rsidRPr="003F7770">
              <w:rPr>
                <w:rFonts w:ascii="Times New Roman" w:eastAsia="Calibri" w:hAnsi="Times New Roman"/>
                <w:color w:val="000000"/>
              </w:rPr>
              <w:t>The legislature issues recommendations on actions to be implemented by the executive but there is no systematic or only limited follow up on the implementation of actions by the MoF and audited agencies</w:t>
            </w:r>
          </w:p>
        </w:tc>
      </w:tr>
      <w:tr w:rsidR="007518E4" w:rsidRPr="003F7770" w14:paraId="6DC5D808" w14:textId="77777777" w:rsidTr="00E91C03">
        <w:trPr>
          <w:trHeight w:val="881"/>
          <w:jc w:val="center"/>
        </w:trPr>
        <w:tc>
          <w:tcPr>
            <w:tcW w:w="1533" w:type="pct"/>
            <w:tcBorders>
              <w:top w:val="single" w:sz="4" w:space="0" w:color="auto"/>
              <w:left w:val="single" w:sz="4" w:space="0" w:color="auto"/>
              <w:bottom w:val="single" w:sz="4" w:space="0" w:color="auto"/>
              <w:right w:val="single" w:sz="4" w:space="0" w:color="auto"/>
            </w:tcBorders>
            <w:vAlign w:val="center"/>
          </w:tcPr>
          <w:p w14:paraId="07AE88F0" w14:textId="77777777" w:rsidR="007518E4" w:rsidRPr="003F7770" w:rsidRDefault="007518E4" w:rsidP="00E91C03">
            <w:pPr>
              <w:spacing w:before="0"/>
              <w:ind w:left="0"/>
              <w:jc w:val="left"/>
              <w:rPr>
                <w:rFonts w:ascii="Times New Roman" w:hAnsi="Times New Roman"/>
              </w:rPr>
            </w:pPr>
            <w:r w:rsidRPr="003F7770">
              <w:rPr>
                <w:rFonts w:ascii="Times New Roman" w:hAnsi="Times New Roman"/>
              </w:rPr>
              <w:t>31.4 Transparency on legislative scrutiny of audit reports</w:t>
            </w:r>
          </w:p>
        </w:tc>
        <w:tc>
          <w:tcPr>
            <w:tcW w:w="720" w:type="pct"/>
            <w:tcBorders>
              <w:top w:val="single" w:sz="4" w:space="0" w:color="auto"/>
              <w:left w:val="single" w:sz="4" w:space="0" w:color="auto"/>
              <w:bottom w:val="single" w:sz="4" w:space="0" w:color="auto"/>
              <w:right w:val="single" w:sz="4" w:space="0" w:color="auto"/>
            </w:tcBorders>
            <w:vAlign w:val="center"/>
          </w:tcPr>
          <w:p w14:paraId="4DC82612" w14:textId="77777777" w:rsidR="007518E4" w:rsidRPr="003F7770" w:rsidRDefault="007518E4" w:rsidP="00E025B0">
            <w:pPr>
              <w:spacing w:before="0"/>
              <w:ind w:left="0"/>
              <w:jc w:val="center"/>
              <w:rPr>
                <w:rFonts w:ascii="Times New Roman" w:hAnsi="Times New Roman"/>
              </w:rPr>
            </w:pPr>
            <w:r w:rsidRPr="003F7770">
              <w:rPr>
                <w:rFonts w:ascii="Times New Roman" w:hAnsi="Times New Roman"/>
              </w:rPr>
              <w:t>D</w:t>
            </w:r>
          </w:p>
        </w:tc>
        <w:tc>
          <w:tcPr>
            <w:tcW w:w="2747" w:type="pct"/>
            <w:tcBorders>
              <w:top w:val="single" w:sz="4" w:space="0" w:color="auto"/>
              <w:left w:val="single" w:sz="4" w:space="0" w:color="auto"/>
              <w:bottom w:val="single" w:sz="4" w:space="0" w:color="auto"/>
              <w:right w:val="single" w:sz="4" w:space="0" w:color="auto"/>
            </w:tcBorders>
            <w:vAlign w:val="center"/>
          </w:tcPr>
          <w:p w14:paraId="126953F0" w14:textId="77777777" w:rsidR="007518E4" w:rsidRPr="003F7770" w:rsidRDefault="007518E4" w:rsidP="00E025B0">
            <w:pPr>
              <w:spacing w:before="0"/>
              <w:ind w:left="0"/>
              <w:rPr>
                <w:rFonts w:ascii="Times New Roman" w:eastAsia="Calibri" w:hAnsi="Times New Roman"/>
              </w:rPr>
            </w:pPr>
            <w:r w:rsidRPr="003F7770">
              <w:rPr>
                <w:rFonts w:ascii="Times New Roman" w:eastAsia="Calibri" w:hAnsi="Times New Roman"/>
                <w:color w:val="000000"/>
              </w:rPr>
              <w:t>The annual SAO reporting on the State Budget implementation is conducted in public through live TV broadcasts. Committee reports are debated in the full chamber of the NA but are not published on its official website and not available for public access</w:t>
            </w:r>
          </w:p>
        </w:tc>
      </w:tr>
    </w:tbl>
    <w:p w14:paraId="59FD8D70" w14:textId="77777777" w:rsidR="007518E4" w:rsidRDefault="007518E4" w:rsidP="00E025B0">
      <w:pPr>
        <w:spacing w:after="240"/>
        <w:ind w:left="0"/>
        <w:rPr>
          <w:rFonts w:ascii="Times New Roman" w:eastAsia="Calibri" w:hAnsi="Times New Roman"/>
          <w:b/>
          <w:bCs/>
          <w:color w:val="B34384"/>
          <w:spacing w:val="-1"/>
          <w:sz w:val="24"/>
        </w:rPr>
      </w:pPr>
      <w:r>
        <w:rPr>
          <w:rFonts w:ascii="Times New Roman" w:eastAsia="Calibri" w:hAnsi="Times New Roman"/>
          <w:b/>
          <w:bCs/>
          <w:color w:val="B34384"/>
          <w:spacing w:val="-1"/>
          <w:sz w:val="24"/>
        </w:rPr>
        <w:t xml:space="preserve">31.1. Timing of audit report scrutiny </w:t>
      </w:r>
    </w:p>
    <w:p w14:paraId="6F27D621" w14:textId="77777777" w:rsidR="007518E4" w:rsidRDefault="00E025B0" w:rsidP="008037D9">
      <w:pPr>
        <w:pStyle w:val="ListParagraph"/>
        <w:widowControl w:val="0"/>
        <w:numPr>
          <w:ilvl w:val="0"/>
          <w:numId w:val="91"/>
        </w:numPr>
        <w:autoSpaceDE w:val="0"/>
        <w:autoSpaceDN w:val="0"/>
        <w:adjustRightInd w:val="0"/>
        <w:spacing w:after="240"/>
        <w:ind w:left="0"/>
        <w:contextualSpacing w:val="0"/>
        <w:rPr>
          <w:rFonts w:ascii="Times New Roman" w:eastAsia="Calibri" w:hAnsi="Times New Roman"/>
          <w:sz w:val="24"/>
        </w:rPr>
      </w:pPr>
      <w:r w:rsidRPr="00E025B0">
        <w:rPr>
          <w:rFonts w:ascii="Times New Roman" w:eastAsia="Calibri" w:hAnsi="Times New Roman"/>
          <w:b/>
          <w:sz w:val="24"/>
        </w:rPr>
        <w:t xml:space="preserve">Scrutiny of the SAO reports </w:t>
      </w:r>
      <w:proofErr w:type="gramStart"/>
      <w:r w:rsidRPr="00E025B0">
        <w:rPr>
          <w:rFonts w:ascii="Times New Roman" w:eastAsia="Calibri" w:hAnsi="Times New Roman"/>
          <w:b/>
          <w:sz w:val="24"/>
        </w:rPr>
        <w:t>was</w:t>
      </w:r>
      <w:proofErr w:type="gramEnd"/>
      <w:r w:rsidRPr="00E025B0">
        <w:rPr>
          <w:rFonts w:ascii="Times New Roman" w:eastAsia="Calibri" w:hAnsi="Times New Roman"/>
          <w:b/>
          <w:sz w:val="24"/>
        </w:rPr>
        <w:t xml:space="preserve"> completed within three months of the formal submission of the final SAO reports to the NA</w:t>
      </w:r>
      <w:r w:rsidR="00E91C03">
        <w:rPr>
          <w:rFonts w:ascii="Times New Roman" w:eastAsia="Calibri" w:hAnsi="Times New Roman"/>
          <w:sz w:val="24"/>
        </w:rPr>
        <w:t xml:space="preserve">. </w:t>
      </w:r>
      <w:r w:rsidR="00C377DF">
        <w:rPr>
          <w:rFonts w:ascii="Times New Roman" w:eastAsia="Calibri" w:hAnsi="Times New Roman"/>
          <w:sz w:val="24"/>
        </w:rPr>
        <w:t xml:space="preserve">The scrutiny process includes discussion between the executive and the SAO with the NA prior to submission of reports which allows a consensus to be formulated based on responses.  </w:t>
      </w:r>
      <w:r>
        <w:rPr>
          <w:rFonts w:ascii="Times New Roman" w:eastAsia="Calibri" w:hAnsi="Times New Roman"/>
          <w:sz w:val="24"/>
        </w:rPr>
        <w:t>T</w:t>
      </w:r>
      <w:r w:rsidR="007518E4" w:rsidRPr="003F7770">
        <w:rPr>
          <w:rFonts w:ascii="Times New Roman" w:eastAsia="Calibri" w:hAnsi="Times New Roman"/>
          <w:sz w:val="24"/>
        </w:rPr>
        <w:t>he dates on which the Annual SAO reports</w:t>
      </w:r>
      <w:r w:rsidR="007518E4">
        <w:rPr>
          <w:rFonts w:ascii="Times New Roman" w:eastAsia="Calibri" w:hAnsi="Times New Roman"/>
          <w:sz w:val="24"/>
        </w:rPr>
        <w:t xml:space="preserve"> on the state budget implementation</w:t>
      </w:r>
      <w:r w:rsidR="007518E4" w:rsidRPr="003F7770">
        <w:rPr>
          <w:rFonts w:ascii="Times New Roman" w:eastAsia="Calibri" w:hAnsi="Times New Roman"/>
          <w:sz w:val="24"/>
        </w:rPr>
        <w:t xml:space="preserve"> from the Auditor General were received by the NA and the dates of completion of NA scrutiny</w:t>
      </w:r>
      <w:r w:rsidRPr="00E025B0">
        <w:rPr>
          <w:rFonts w:ascii="Times New Roman" w:eastAsia="Calibri" w:hAnsi="Times New Roman"/>
          <w:sz w:val="24"/>
        </w:rPr>
        <w:t xml:space="preserve"> </w:t>
      </w:r>
      <w:r>
        <w:rPr>
          <w:rFonts w:ascii="Times New Roman" w:eastAsia="Calibri" w:hAnsi="Times New Roman"/>
          <w:sz w:val="24"/>
        </w:rPr>
        <w:t xml:space="preserve">are provided in </w:t>
      </w:r>
      <w:r w:rsidRPr="003F7770">
        <w:rPr>
          <w:rFonts w:ascii="Times New Roman" w:eastAsia="Calibri" w:hAnsi="Times New Roman"/>
          <w:sz w:val="24"/>
        </w:rPr>
        <w:t>T</w:t>
      </w:r>
      <w:r>
        <w:rPr>
          <w:rFonts w:ascii="Times New Roman" w:eastAsia="Calibri" w:hAnsi="Times New Roman"/>
          <w:sz w:val="24"/>
        </w:rPr>
        <w:t>able 30.1</w:t>
      </w:r>
      <w:r w:rsidR="007518E4" w:rsidRPr="003F7770">
        <w:rPr>
          <w:rFonts w:ascii="Times New Roman" w:eastAsia="Calibri" w:hAnsi="Times New Roman"/>
          <w:sz w:val="24"/>
        </w:rPr>
        <w:t>. After the SAO works with the NA Committee on Planning, Finance and Audit to analyze the findings, the SAO report is formally submitted 15 days before the second plenary session</w:t>
      </w:r>
      <w:r w:rsidR="007518E4">
        <w:rPr>
          <w:rFonts w:ascii="Times New Roman" w:eastAsia="Calibri" w:hAnsi="Times New Roman"/>
          <w:sz w:val="24"/>
        </w:rPr>
        <w:t>.</w:t>
      </w:r>
      <w:r w:rsidR="007518E4" w:rsidRPr="003F7770">
        <w:rPr>
          <w:rFonts w:ascii="Times New Roman" w:eastAsia="Calibri" w:hAnsi="Times New Roman"/>
          <w:sz w:val="24"/>
        </w:rPr>
        <w:t xml:space="preserve"> The chairman of the Committee then prepares </w:t>
      </w:r>
      <w:r w:rsidR="007518E4">
        <w:rPr>
          <w:rFonts w:ascii="Times New Roman" w:eastAsia="Calibri" w:hAnsi="Times New Roman"/>
          <w:sz w:val="24"/>
        </w:rPr>
        <w:t xml:space="preserve">a consolidated report on the Committee’s </w:t>
      </w:r>
      <w:r w:rsidR="007518E4" w:rsidRPr="003F7770">
        <w:rPr>
          <w:rFonts w:ascii="Times New Roman" w:eastAsia="Calibri" w:hAnsi="Times New Roman"/>
          <w:sz w:val="24"/>
        </w:rPr>
        <w:t xml:space="preserve">response to the SAO report which is formally submitted to the President of the NA jointly with the SAO report three to five days before the opening of the session. </w:t>
      </w:r>
    </w:p>
    <w:p w14:paraId="664EA506" w14:textId="77777777" w:rsidR="007518E4" w:rsidRPr="003F7770" w:rsidRDefault="007518E4" w:rsidP="00904D51">
      <w:pPr>
        <w:ind w:left="357"/>
        <w:jc w:val="left"/>
        <w:rPr>
          <w:rFonts w:ascii="Times New Roman" w:eastAsia="Calibri" w:hAnsi="Times New Roman"/>
          <w:b/>
        </w:rPr>
      </w:pPr>
      <w:r w:rsidRPr="003F7770">
        <w:rPr>
          <w:rFonts w:ascii="Times New Roman" w:eastAsia="Calibri" w:hAnsi="Times New Roman"/>
          <w:b/>
        </w:rPr>
        <w:t>Table 30.1 – Timeliness of NA scrutiny of SAO Reports on Central Government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029"/>
        <w:gridCol w:w="2399"/>
        <w:gridCol w:w="2811"/>
      </w:tblGrid>
      <w:tr w:rsidR="007518E4" w:rsidRPr="003F7770" w14:paraId="56337FB2" w14:textId="77777777" w:rsidTr="00E91C03">
        <w:tc>
          <w:tcPr>
            <w:tcW w:w="1669" w:type="dxa"/>
            <w:shd w:val="clear" w:color="auto" w:fill="D9D9D9" w:themeFill="background1" w:themeFillShade="D9"/>
          </w:tcPr>
          <w:p w14:paraId="721DCCE4" w14:textId="77777777" w:rsidR="007518E4" w:rsidRPr="00BC34FB" w:rsidRDefault="007518E4" w:rsidP="00E025B0">
            <w:pPr>
              <w:spacing w:before="60" w:after="60"/>
              <w:ind w:left="0"/>
              <w:jc w:val="center"/>
              <w:rPr>
                <w:rFonts w:ascii="Times New Roman" w:hAnsi="Times New Roman"/>
                <w:b/>
              </w:rPr>
            </w:pPr>
            <w:r w:rsidRPr="00BC34FB">
              <w:rPr>
                <w:rFonts w:ascii="Times New Roman" w:hAnsi="Times New Roman"/>
                <w:b/>
              </w:rPr>
              <w:t>Year Covered by Audit</w:t>
            </w:r>
          </w:p>
        </w:tc>
        <w:tc>
          <w:tcPr>
            <w:tcW w:w="2029" w:type="dxa"/>
            <w:shd w:val="clear" w:color="auto" w:fill="D9D9D9" w:themeFill="background1" w:themeFillShade="D9"/>
          </w:tcPr>
          <w:p w14:paraId="7C4A2E60" w14:textId="77777777" w:rsidR="007518E4" w:rsidRPr="00BC34FB" w:rsidRDefault="007518E4" w:rsidP="00E025B0">
            <w:pPr>
              <w:spacing w:before="60" w:after="60"/>
              <w:ind w:left="0"/>
              <w:jc w:val="center"/>
              <w:rPr>
                <w:rFonts w:ascii="Times New Roman" w:hAnsi="Times New Roman"/>
                <w:b/>
              </w:rPr>
            </w:pPr>
            <w:r w:rsidRPr="00BC34FB">
              <w:rPr>
                <w:rFonts w:ascii="Times New Roman" w:hAnsi="Times New Roman"/>
                <w:b/>
              </w:rPr>
              <w:t xml:space="preserve">Date of </w:t>
            </w:r>
            <w:r>
              <w:rPr>
                <w:rFonts w:ascii="Times New Roman" w:hAnsi="Times New Roman"/>
                <w:b/>
              </w:rPr>
              <w:t>formal submission of SA report to NA</w:t>
            </w:r>
          </w:p>
        </w:tc>
        <w:tc>
          <w:tcPr>
            <w:tcW w:w="2399" w:type="dxa"/>
            <w:shd w:val="clear" w:color="auto" w:fill="D9D9D9" w:themeFill="background1" w:themeFillShade="D9"/>
          </w:tcPr>
          <w:p w14:paraId="44E21A47" w14:textId="77777777" w:rsidR="007518E4" w:rsidRPr="00BC34FB" w:rsidRDefault="007518E4" w:rsidP="00E025B0">
            <w:pPr>
              <w:spacing w:before="60" w:after="60"/>
              <w:ind w:left="0"/>
              <w:jc w:val="center"/>
              <w:rPr>
                <w:rFonts w:ascii="Times New Roman" w:hAnsi="Times New Roman"/>
                <w:b/>
              </w:rPr>
            </w:pPr>
            <w:r w:rsidRPr="00BC34FB">
              <w:rPr>
                <w:rFonts w:ascii="Times New Roman" w:hAnsi="Times New Roman"/>
                <w:b/>
              </w:rPr>
              <w:t>Completion Date of Scrutiny by NA*</w:t>
            </w:r>
          </w:p>
        </w:tc>
        <w:tc>
          <w:tcPr>
            <w:tcW w:w="2811" w:type="dxa"/>
            <w:shd w:val="clear" w:color="auto" w:fill="D9D9D9" w:themeFill="background1" w:themeFillShade="D9"/>
          </w:tcPr>
          <w:p w14:paraId="3116E3F2" w14:textId="77777777" w:rsidR="007518E4" w:rsidRPr="00BC34FB" w:rsidRDefault="007518E4" w:rsidP="00E025B0">
            <w:pPr>
              <w:spacing w:before="60" w:after="60"/>
              <w:ind w:left="0"/>
              <w:jc w:val="center"/>
              <w:rPr>
                <w:rFonts w:ascii="Times New Roman" w:hAnsi="Times New Roman"/>
                <w:b/>
              </w:rPr>
            </w:pPr>
            <w:r w:rsidRPr="00BC34FB">
              <w:rPr>
                <w:rFonts w:ascii="Times New Roman" w:hAnsi="Times New Roman"/>
                <w:b/>
              </w:rPr>
              <w:t>Months taken from Receipt to Completion</w:t>
            </w:r>
          </w:p>
        </w:tc>
      </w:tr>
      <w:tr w:rsidR="007518E4" w:rsidRPr="003F7770" w14:paraId="3048F6F9" w14:textId="77777777" w:rsidTr="00E91C03">
        <w:tc>
          <w:tcPr>
            <w:tcW w:w="1669" w:type="dxa"/>
          </w:tcPr>
          <w:p w14:paraId="10B6C621" w14:textId="77777777" w:rsidR="007518E4" w:rsidRPr="00BC34FB" w:rsidRDefault="007518E4" w:rsidP="00E025B0">
            <w:pPr>
              <w:spacing w:before="60" w:after="60"/>
              <w:ind w:left="0"/>
              <w:jc w:val="left"/>
              <w:rPr>
                <w:rFonts w:ascii="Times New Roman" w:hAnsi="Times New Roman"/>
              </w:rPr>
            </w:pPr>
            <w:r w:rsidRPr="00BC34FB">
              <w:rPr>
                <w:rFonts w:ascii="Times New Roman" w:hAnsi="Times New Roman"/>
              </w:rPr>
              <w:t>2013/14</w:t>
            </w:r>
          </w:p>
        </w:tc>
        <w:tc>
          <w:tcPr>
            <w:tcW w:w="2029" w:type="dxa"/>
          </w:tcPr>
          <w:p w14:paraId="4EDB9A22" w14:textId="77777777" w:rsidR="007518E4" w:rsidRPr="00BC34FB" w:rsidRDefault="007518E4" w:rsidP="00E025B0">
            <w:pPr>
              <w:spacing w:before="60" w:after="60"/>
              <w:ind w:left="0"/>
              <w:jc w:val="center"/>
              <w:rPr>
                <w:rFonts w:ascii="Times New Roman" w:hAnsi="Times New Roman"/>
              </w:rPr>
            </w:pPr>
            <w:r>
              <w:rPr>
                <w:rFonts w:ascii="Times New Roman" w:hAnsi="Times New Roman"/>
              </w:rPr>
              <w:t>November 2016</w:t>
            </w:r>
          </w:p>
        </w:tc>
        <w:tc>
          <w:tcPr>
            <w:tcW w:w="2399" w:type="dxa"/>
          </w:tcPr>
          <w:p w14:paraId="59B4E264" w14:textId="77777777" w:rsidR="007518E4" w:rsidRPr="00BC34FB" w:rsidRDefault="007518E4" w:rsidP="00E025B0">
            <w:pPr>
              <w:spacing w:before="60" w:after="60"/>
              <w:ind w:left="0"/>
              <w:jc w:val="center"/>
              <w:rPr>
                <w:rFonts w:ascii="Times New Roman" w:hAnsi="Times New Roman"/>
              </w:rPr>
            </w:pPr>
            <w:r w:rsidRPr="00BC34FB">
              <w:rPr>
                <w:rFonts w:ascii="Times New Roman" w:hAnsi="Times New Roman"/>
              </w:rPr>
              <w:t>November 2016</w:t>
            </w:r>
          </w:p>
        </w:tc>
        <w:tc>
          <w:tcPr>
            <w:tcW w:w="2811" w:type="dxa"/>
          </w:tcPr>
          <w:p w14:paraId="0B5E0094" w14:textId="77777777" w:rsidR="007518E4" w:rsidRPr="00BC34FB" w:rsidRDefault="007518E4" w:rsidP="00E025B0">
            <w:pPr>
              <w:spacing w:before="60" w:after="60"/>
              <w:ind w:left="0"/>
              <w:jc w:val="center"/>
              <w:rPr>
                <w:rFonts w:ascii="Times New Roman" w:hAnsi="Times New Roman"/>
              </w:rPr>
            </w:pPr>
            <w:r>
              <w:rPr>
                <w:rFonts w:ascii="Times New Roman" w:hAnsi="Times New Roman"/>
              </w:rPr>
              <w:t>Less than 1 month</w:t>
            </w:r>
          </w:p>
        </w:tc>
      </w:tr>
      <w:tr w:rsidR="007518E4" w:rsidRPr="003F7770" w14:paraId="5E80382A" w14:textId="77777777" w:rsidTr="00E91C03">
        <w:tc>
          <w:tcPr>
            <w:tcW w:w="1669" w:type="dxa"/>
          </w:tcPr>
          <w:p w14:paraId="7A3773B0" w14:textId="77777777" w:rsidR="007518E4" w:rsidRPr="00BC34FB" w:rsidRDefault="007518E4" w:rsidP="00E025B0">
            <w:pPr>
              <w:spacing w:before="60" w:after="60"/>
              <w:ind w:left="0"/>
              <w:jc w:val="left"/>
              <w:rPr>
                <w:rFonts w:ascii="Times New Roman" w:hAnsi="Times New Roman"/>
              </w:rPr>
            </w:pPr>
            <w:r w:rsidRPr="00BC34FB">
              <w:rPr>
                <w:rFonts w:ascii="Times New Roman" w:hAnsi="Times New Roman"/>
              </w:rPr>
              <w:t>2014/15</w:t>
            </w:r>
          </w:p>
        </w:tc>
        <w:tc>
          <w:tcPr>
            <w:tcW w:w="2029" w:type="dxa"/>
          </w:tcPr>
          <w:p w14:paraId="3C5E20D9" w14:textId="77777777" w:rsidR="007518E4" w:rsidRPr="00BC34FB" w:rsidRDefault="007518E4" w:rsidP="00E025B0">
            <w:pPr>
              <w:spacing w:before="60" w:after="60"/>
              <w:ind w:left="0"/>
              <w:jc w:val="center"/>
              <w:rPr>
                <w:rFonts w:ascii="Times New Roman" w:hAnsi="Times New Roman"/>
              </w:rPr>
            </w:pPr>
            <w:r>
              <w:rPr>
                <w:rFonts w:ascii="Times New Roman" w:hAnsi="Times New Roman"/>
              </w:rPr>
              <w:t>November 2016</w:t>
            </w:r>
          </w:p>
        </w:tc>
        <w:tc>
          <w:tcPr>
            <w:tcW w:w="2399" w:type="dxa"/>
          </w:tcPr>
          <w:p w14:paraId="021EECB1" w14:textId="77777777" w:rsidR="007518E4" w:rsidRPr="00BC34FB" w:rsidRDefault="007518E4" w:rsidP="00E025B0">
            <w:pPr>
              <w:spacing w:before="60" w:after="60"/>
              <w:ind w:left="0"/>
              <w:jc w:val="center"/>
              <w:rPr>
                <w:rFonts w:ascii="Times New Roman" w:hAnsi="Times New Roman"/>
              </w:rPr>
            </w:pPr>
            <w:r w:rsidRPr="00BC34FB">
              <w:rPr>
                <w:rFonts w:ascii="Times New Roman" w:hAnsi="Times New Roman"/>
              </w:rPr>
              <w:t>November 201</w:t>
            </w:r>
            <w:r>
              <w:rPr>
                <w:rFonts w:ascii="Times New Roman" w:hAnsi="Times New Roman"/>
              </w:rPr>
              <w:t>6</w:t>
            </w:r>
          </w:p>
        </w:tc>
        <w:tc>
          <w:tcPr>
            <w:tcW w:w="2811" w:type="dxa"/>
          </w:tcPr>
          <w:p w14:paraId="776AFD31" w14:textId="77777777" w:rsidR="007518E4" w:rsidRPr="00BC34FB" w:rsidRDefault="007518E4" w:rsidP="00E025B0">
            <w:pPr>
              <w:spacing w:before="60" w:after="60"/>
              <w:ind w:left="0"/>
              <w:jc w:val="center"/>
              <w:rPr>
                <w:rFonts w:ascii="Times New Roman" w:hAnsi="Times New Roman"/>
              </w:rPr>
            </w:pPr>
            <w:r w:rsidRPr="007F0B2C">
              <w:rPr>
                <w:rFonts w:ascii="Times New Roman" w:hAnsi="Times New Roman"/>
              </w:rPr>
              <w:t>Less than 1 month</w:t>
            </w:r>
          </w:p>
        </w:tc>
      </w:tr>
      <w:tr w:rsidR="007518E4" w:rsidRPr="003F7770" w14:paraId="69D201E7" w14:textId="77777777" w:rsidTr="00E91C03">
        <w:tc>
          <w:tcPr>
            <w:tcW w:w="1669" w:type="dxa"/>
          </w:tcPr>
          <w:p w14:paraId="77F77B4C" w14:textId="77777777" w:rsidR="007518E4" w:rsidRPr="00BC34FB" w:rsidRDefault="007518E4" w:rsidP="00E025B0">
            <w:pPr>
              <w:spacing w:before="60" w:after="60"/>
              <w:ind w:left="0"/>
              <w:jc w:val="left"/>
              <w:rPr>
                <w:rFonts w:ascii="Times New Roman" w:hAnsi="Times New Roman"/>
              </w:rPr>
            </w:pPr>
            <w:r w:rsidRPr="00BC34FB">
              <w:rPr>
                <w:rFonts w:ascii="Times New Roman" w:hAnsi="Times New Roman"/>
              </w:rPr>
              <w:t>2015/16</w:t>
            </w:r>
          </w:p>
        </w:tc>
        <w:tc>
          <w:tcPr>
            <w:tcW w:w="2029" w:type="dxa"/>
          </w:tcPr>
          <w:p w14:paraId="6C41FCDB" w14:textId="77777777" w:rsidR="007518E4" w:rsidRPr="00BC34FB" w:rsidRDefault="007518E4" w:rsidP="00E025B0">
            <w:pPr>
              <w:spacing w:before="60" w:after="60"/>
              <w:ind w:left="0"/>
              <w:jc w:val="center"/>
              <w:rPr>
                <w:rFonts w:ascii="Times New Roman" w:hAnsi="Times New Roman"/>
              </w:rPr>
            </w:pPr>
            <w:r>
              <w:rPr>
                <w:rFonts w:ascii="Times New Roman" w:hAnsi="Times New Roman"/>
              </w:rPr>
              <w:t>November 2017</w:t>
            </w:r>
          </w:p>
        </w:tc>
        <w:tc>
          <w:tcPr>
            <w:tcW w:w="2399" w:type="dxa"/>
          </w:tcPr>
          <w:p w14:paraId="3A8E4D47" w14:textId="77777777" w:rsidR="007518E4" w:rsidRPr="00BC34FB" w:rsidRDefault="007518E4" w:rsidP="00E025B0">
            <w:pPr>
              <w:spacing w:before="60" w:after="60"/>
              <w:ind w:left="0"/>
              <w:jc w:val="center"/>
              <w:rPr>
                <w:rFonts w:ascii="Times New Roman" w:hAnsi="Times New Roman"/>
              </w:rPr>
            </w:pPr>
            <w:r w:rsidRPr="00BC34FB">
              <w:rPr>
                <w:rFonts w:ascii="Times New Roman" w:hAnsi="Times New Roman"/>
              </w:rPr>
              <w:t>November 2017</w:t>
            </w:r>
          </w:p>
        </w:tc>
        <w:tc>
          <w:tcPr>
            <w:tcW w:w="2811" w:type="dxa"/>
          </w:tcPr>
          <w:p w14:paraId="0037700B" w14:textId="77777777" w:rsidR="007518E4" w:rsidRPr="00BC34FB" w:rsidRDefault="007518E4" w:rsidP="00E025B0">
            <w:pPr>
              <w:spacing w:before="60" w:after="60"/>
              <w:ind w:left="0"/>
              <w:jc w:val="center"/>
              <w:rPr>
                <w:rFonts w:ascii="Times New Roman" w:hAnsi="Times New Roman"/>
              </w:rPr>
            </w:pPr>
            <w:r w:rsidRPr="007F0B2C">
              <w:rPr>
                <w:rFonts w:ascii="Times New Roman" w:hAnsi="Times New Roman"/>
              </w:rPr>
              <w:t>Less than 1 month</w:t>
            </w:r>
          </w:p>
        </w:tc>
      </w:tr>
      <w:tr w:rsidR="007518E4" w:rsidRPr="003F7770" w14:paraId="25E55768" w14:textId="77777777" w:rsidTr="00E91C03">
        <w:tc>
          <w:tcPr>
            <w:tcW w:w="1669" w:type="dxa"/>
          </w:tcPr>
          <w:p w14:paraId="389FE5B1" w14:textId="77777777" w:rsidR="007518E4" w:rsidRPr="00BC34FB" w:rsidRDefault="007518E4" w:rsidP="00E025B0">
            <w:pPr>
              <w:spacing w:before="60" w:after="60"/>
              <w:ind w:left="0"/>
              <w:jc w:val="left"/>
              <w:rPr>
                <w:rFonts w:ascii="Times New Roman" w:hAnsi="Times New Roman"/>
              </w:rPr>
            </w:pPr>
            <w:r w:rsidRPr="00BC34FB">
              <w:rPr>
                <w:rFonts w:ascii="Times New Roman" w:hAnsi="Times New Roman"/>
              </w:rPr>
              <w:t>2017</w:t>
            </w:r>
          </w:p>
        </w:tc>
        <w:tc>
          <w:tcPr>
            <w:tcW w:w="2029" w:type="dxa"/>
          </w:tcPr>
          <w:p w14:paraId="693B994E" w14:textId="77777777" w:rsidR="007518E4" w:rsidRPr="00BC34FB" w:rsidRDefault="007518E4" w:rsidP="00E025B0">
            <w:pPr>
              <w:spacing w:before="60" w:after="60"/>
              <w:ind w:left="0"/>
              <w:jc w:val="center"/>
              <w:rPr>
                <w:rFonts w:ascii="Times New Roman" w:hAnsi="Times New Roman"/>
              </w:rPr>
            </w:pPr>
            <w:r>
              <w:rPr>
                <w:rFonts w:ascii="Times New Roman" w:hAnsi="Times New Roman"/>
              </w:rPr>
              <w:t>November 2018</w:t>
            </w:r>
          </w:p>
        </w:tc>
        <w:tc>
          <w:tcPr>
            <w:tcW w:w="2399" w:type="dxa"/>
          </w:tcPr>
          <w:p w14:paraId="2E7535A8" w14:textId="77777777" w:rsidR="007518E4" w:rsidRPr="00BC34FB" w:rsidRDefault="007518E4" w:rsidP="00E025B0">
            <w:pPr>
              <w:spacing w:before="60" w:after="60"/>
              <w:ind w:left="0"/>
              <w:jc w:val="center"/>
              <w:rPr>
                <w:rFonts w:ascii="Times New Roman" w:hAnsi="Times New Roman"/>
              </w:rPr>
            </w:pPr>
            <w:r w:rsidRPr="00BC34FB">
              <w:rPr>
                <w:rFonts w:ascii="Times New Roman" w:hAnsi="Times New Roman"/>
              </w:rPr>
              <w:t xml:space="preserve">Resolution not yet issued </w:t>
            </w:r>
          </w:p>
        </w:tc>
        <w:tc>
          <w:tcPr>
            <w:tcW w:w="2811" w:type="dxa"/>
          </w:tcPr>
          <w:p w14:paraId="61982C38" w14:textId="77777777" w:rsidR="007518E4" w:rsidRPr="00BC34FB" w:rsidRDefault="007518E4" w:rsidP="00E025B0">
            <w:pPr>
              <w:spacing w:before="60" w:after="60"/>
              <w:ind w:left="0"/>
              <w:jc w:val="center"/>
              <w:rPr>
                <w:rFonts w:ascii="Times New Roman" w:hAnsi="Times New Roman"/>
              </w:rPr>
            </w:pPr>
          </w:p>
        </w:tc>
      </w:tr>
    </w:tbl>
    <w:p w14:paraId="6A56FC4F" w14:textId="77777777" w:rsidR="007518E4" w:rsidRPr="003F7770" w:rsidRDefault="007518E4" w:rsidP="007518E4">
      <w:pPr>
        <w:spacing w:before="0"/>
        <w:rPr>
          <w:rFonts w:ascii="Times New Roman" w:hAnsi="Times New Roman"/>
        </w:rPr>
      </w:pPr>
      <w:r w:rsidRPr="003F7770">
        <w:rPr>
          <w:rFonts w:ascii="Times New Roman" w:hAnsi="Times New Roman"/>
        </w:rPr>
        <w:t>*measured as the date of the NA resolution on the SAO report</w:t>
      </w:r>
    </w:p>
    <w:p w14:paraId="261A4023" w14:textId="77777777" w:rsidR="007518E4" w:rsidRPr="00A11846" w:rsidRDefault="007518E4" w:rsidP="008037D9">
      <w:pPr>
        <w:pStyle w:val="ListParagraph"/>
        <w:numPr>
          <w:ilvl w:val="0"/>
          <w:numId w:val="91"/>
        </w:numPr>
        <w:spacing w:after="240"/>
        <w:ind w:left="0"/>
        <w:contextualSpacing w:val="0"/>
        <w:rPr>
          <w:rFonts w:ascii="Times New Roman" w:eastAsia="Calibri" w:hAnsi="Times New Roman"/>
          <w:sz w:val="24"/>
        </w:rPr>
      </w:pPr>
      <w:r w:rsidRPr="00E025B0">
        <w:rPr>
          <w:rFonts w:ascii="Times New Roman" w:eastAsia="Calibri" w:hAnsi="Times New Roman"/>
          <w:b/>
          <w:sz w:val="24"/>
        </w:rPr>
        <w:t xml:space="preserve">Scrutiny of the SAO reports </w:t>
      </w:r>
      <w:proofErr w:type="gramStart"/>
      <w:r w:rsidRPr="00E025B0">
        <w:rPr>
          <w:rFonts w:ascii="Times New Roman" w:eastAsia="Calibri" w:hAnsi="Times New Roman"/>
          <w:b/>
          <w:sz w:val="24"/>
        </w:rPr>
        <w:t>was</w:t>
      </w:r>
      <w:proofErr w:type="gramEnd"/>
      <w:r w:rsidRPr="00E025B0">
        <w:rPr>
          <w:rFonts w:ascii="Times New Roman" w:eastAsia="Calibri" w:hAnsi="Times New Roman"/>
          <w:b/>
          <w:sz w:val="24"/>
        </w:rPr>
        <w:t xml:space="preserve"> completed within three months of the formal submission of the final SAO reports to the NA</w:t>
      </w:r>
      <w:r w:rsidRPr="00A11846">
        <w:rPr>
          <w:rFonts w:ascii="Times New Roman" w:eastAsia="Calibri" w:hAnsi="Times New Roman"/>
          <w:sz w:val="24"/>
        </w:rPr>
        <w:t xml:space="preserve">: score A. </w:t>
      </w:r>
    </w:p>
    <w:p w14:paraId="581B4599" w14:textId="77777777" w:rsidR="007518E4" w:rsidRPr="0097166A" w:rsidRDefault="007518E4" w:rsidP="00E025B0">
      <w:pPr>
        <w:spacing w:after="240"/>
        <w:ind w:left="0"/>
        <w:rPr>
          <w:rFonts w:ascii="Times New Roman" w:eastAsia="Calibri" w:hAnsi="Times New Roman"/>
          <w:b/>
          <w:bCs/>
          <w:color w:val="B34384"/>
          <w:spacing w:val="-1"/>
          <w:sz w:val="24"/>
        </w:rPr>
      </w:pPr>
      <w:r w:rsidRPr="0097166A">
        <w:rPr>
          <w:rFonts w:ascii="Times New Roman" w:eastAsia="Calibri" w:hAnsi="Times New Roman"/>
          <w:b/>
          <w:bCs/>
          <w:color w:val="B34384"/>
          <w:spacing w:val="-1"/>
          <w:sz w:val="24"/>
        </w:rPr>
        <w:lastRenderedPageBreak/>
        <w:t xml:space="preserve">31.2. Hearing on </w:t>
      </w:r>
      <w:r>
        <w:rPr>
          <w:rFonts w:ascii="Times New Roman" w:eastAsia="Calibri" w:hAnsi="Times New Roman"/>
          <w:b/>
          <w:bCs/>
          <w:color w:val="B34384"/>
          <w:spacing w:val="-1"/>
          <w:sz w:val="24"/>
        </w:rPr>
        <w:t>a</w:t>
      </w:r>
      <w:r w:rsidRPr="0097166A">
        <w:rPr>
          <w:rFonts w:ascii="Times New Roman" w:eastAsia="Calibri" w:hAnsi="Times New Roman"/>
          <w:b/>
          <w:bCs/>
          <w:color w:val="B34384"/>
          <w:spacing w:val="-1"/>
          <w:sz w:val="24"/>
        </w:rPr>
        <w:t xml:space="preserve">udit </w:t>
      </w:r>
      <w:r>
        <w:rPr>
          <w:rFonts w:ascii="Times New Roman" w:eastAsia="Calibri" w:hAnsi="Times New Roman"/>
          <w:b/>
          <w:bCs/>
          <w:color w:val="B34384"/>
          <w:spacing w:val="-1"/>
          <w:sz w:val="24"/>
        </w:rPr>
        <w:t>f</w:t>
      </w:r>
      <w:r w:rsidRPr="0097166A">
        <w:rPr>
          <w:rFonts w:ascii="Times New Roman" w:eastAsia="Calibri" w:hAnsi="Times New Roman"/>
          <w:b/>
          <w:bCs/>
          <w:color w:val="B34384"/>
          <w:spacing w:val="-1"/>
          <w:sz w:val="24"/>
        </w:rPr>
        <w:t>indings</w:t>
      </w:r>
    </w:p>
    <w:p w14:paraId="2949D1FB" w14:textId="77777777" w:rsidR="007518E4" w:rsidRPr="00A11846" w:rsidRDefault="007518E4" w:rsidP="00317B21">
      <w:pPr>
        <w:pStyle w:val="ListParagraph"/>
        <w:numPr>
          <w:ilvl w:val="0"/>
          <w:numId w:val="91"/>
        </w:numPr>
        <w:spacing w:after="240"/>
        <w:ind w:left="0"/>
        <w:contextualSpacing w:val="0"/>
        <w:rPr>
          <w:rFonts w:ascii="Times New Roman" w:hAnsi="Times New Roman"/>
          <w:bCs/>
          <w:color w:val="000000"/>
          <w:sz w:val="24"/>
        </w:rPr>
      </w:pPr>
      <w:proofErr w:type="gramStart"/>
      <w:r w:rsidRPr="00317B21">
        <w:rPr>
          <w:rFonts w:ascii="Times New Roman" w:hAnsi="Times New Roman"/>
          <w:b/>
          <w:bCs/>
          <w:color w:val="000000"/>
          <w:sz w:val="24"/>
        </w:rPr>
        <w:t>The state budget draft financial report,</w:t>
      </w:r>
      <w:proofErr w:type="gramEnd"/>
      <w:r w:rsidRPr="00317B21">
        <w:rPr>
          <w:rFonts w:ascii="Times New Roman" w:hAnsi="Times New Roman"/>
          <w:b/>
          <w:bCs/>
          <w:color w:val="000000"/>
          <w:sz w:val="24"/>
        </w:rPr>
        <w:t xml:space="preserve"> are available to the NA before they are audited</w:t>
      </w:r>
      <w:r w:rsidR="00317B21">
        <w:rPr>
          <w:rFonts w:ascii="Times New Roman" w:hAnsi="Times New Roman"/>
          <w:b/>
          <w:bCs/>
          <w:color w:val="000000"/>
          <w:sz w:val="24"/>
        </w:rPr>
        <w:t xml:space="preserve">.  </w:t>
      </w:r>
      <w:r w:rsidR="00317B21" w:rsidRPr="00317B21">
        <w:rPr>
          <w:rFonts w:ascii="Times New Roman" w:hAnsi="Times New Roman"/>
          <w:bCs/>
          <w:color w:val="000000"/>
          <w:sz w:val="24"/>
        </w:rPr>
        <w:t xml:space="preserve">The </w:t>
      </w:r>
      <w:r w:rsidRPr="00A11846">
        <w:rPr>
          <w:rFonts w:ascii="Times New Roman" w:hAnsi="Times New Roman"/>
          <w:bCs/>
          <w:color w:val="000000"/>
          <w:sz w:val="24"/>
        </w:rPr>
        <w:t>NA analyses and discusses with the audited agencies of the SAO findings prior to the formal hearing on the government state budget implementation report in plenary session. The PFAC routinely monitors budget proposals, discusses and provides recommendations to the MoF</w:t>
      </w:r>
      <w:r>
        <w:rPr>
          <w:rFonts w:ascii="Times New Roman" w:hAnsi="Times New Roman"/>
          <w:bCs/>
          <w:color w:val="000000"/>
          <w:sz w:val="24"/>
        </w:rPr>
        <w:t xml:space="preserve"> (ref. PI-18)</w:t>
      </w:r>
      <w:r w:rsidRPr="00A11846">
        <w:rPr>
          <w:rFonts w:ascii="Times New Roman" w:hAnsi="Times New Roman"/>
          <w:bCs/>
          <w:color w:val="000000"/>
          <w:sz w:val="24"/>
        </w:rPr>
        <w:t xml:space="preserve">. Meetings also take place with the SAO, as the SAO works with the NA prior to submitting its final consolidated report.  </w:t>
      </w:r>
    </w:p>
    <w:p w14:paraId="10094408" w14:textId="77777777" w:rsidR="007518E4" w:rsidRPr="00A11846" w:rsidRDefault="007518E4" w:rsidP="008037D9">
      <w:pPr>
        <w:pStyle w:val="ListParagraph"/>
        <w:numPr>
          <w:ilvl w:val="0"/>
          <w:numId w:val="91"/>
        </w:numPr>
        <w:spacing w:after="240"/>
        <w:ind w:left="0"/>
        <w:contextualSpacing w:val="0"/>
        <w:rPr>
          <w:rFonts w:ascii="Times New Roman" w:hAnsi="Times New Roman"/>
          <w:bCs/>
          <w:color w:val="000000"/>
          <w:sz w:val="24"/>
        </w:rPr>
      </w:pPr>
      <w:r w:rsidRPr="00317B21">
        <w:rPr>
          <w:rFonts w:ascii="Times New Roman" w:hAnsi="Times New Roman"/>
          <w:b/>
          <w:bCs/>
          <w:color w:val="000000"/>
          <w:sz w:val="24"/>
        </w:rPr>
        <w:t xml:space="preserve">After the SAO report has been submitted, </w:t>
      </w:r>
      <w:r w:rsidR="00317B21" w:rsidRPr="00317B21">
        <w:rPr>
          <w:rFonts w:ascii="Times New Roman" w:hAnsi="Times New Roman"/>
          <w:b/>
          <w:bCs/>
          <w:color w:val="000000"/>
          <w:sz w:val="24"/>
        </w:rPr>
        <w:t xml:space="preserve">the President of the SAO </w:t>
      </w:r>
      <w:r w:rsidR="00317B21">
        <w:rPr>
          <w:rFonts w:ascii="Times New Roman" w:hAnsi="Times New Roman"/>
          <w:b/>
          <w:bCs/>
          <w:color w:val="000000"/>
          <w:sz w:val="24"/>
        </w:rPr>
        <w:t xml:space="preserve">makes </w:t>
      </w:r>
      <w:r w:rsidRPr="00317B21">
        <w:rPr>
          <w:rFonts w:ascii="Times New Roman" w:hAnsi="Times New Roman"/>
          <w:b/>
          <w:bCs/>
          <w:color w:val="000000"/>
          <w:sz w:val="24"/>
        </w:rPr>
        <w:t>a formal presentation of the main conclusions and recommendations.</w:t>
      </w:r>
      <w:r w:rsidR="002441BD">
        <w:rPr>
          <w:rFonts w:ascii="Times New Roman" w:hAnsi="Times New Roman"/>
          <w:bCs/>
          <w:color w:val="000000"/>
          <w:sz w:val="24"/>
        </w:rPr>
        <w:t xml:space="preserve"> </w:t>
      </w:r>
      <w:r>
        <w:rPr>
          <w:rFonts w:ascii="Times New Roman" w:hAnsi="Times New Roman"/>
          <w:bCs/>
          <w:color w:val="000000"/>
          <w:sz w:val="24"/>
        </w:rPr>
        <w:t xml:space="preserve">This </w:t>
      </w:r>
      <w:r w:rsidRPr="00A11846">
        <w:rPr>
          <w:rFonts w:ascii="Times New Roman" w:hAnsi="Times New Roman"/>
          <w:bCs/>
          <w:color w:val="000000"/>
          <w:sz w:val="24"/>
        </w:rPr>
        <w:t xml:space="preserve">is broadcast and extensively disseminated. </w:t>
      </w:r>
      <w:r>
        <w:rPr>
          <w:rFonts w:ascii="Times New Roman" w:hAnsi="Times New Roman"/>
          <w:bCs/>
          <w:color w:val="000000"/>
          <w:sz w:val="24"/>
        </w:rPr>
        <w:t xml:space="preserve"> However, t</w:t>
      </w:r>
      <w:r w:rsidRPr="00A11846">
        <w:rPr>
          <w:rFonts w:ascii="Times New Roman" w:hAnsi="Times New Roman"/>
          <w:bCs/>
          <w:color w:val="000000"/>
          <w:sz w:val="24"/>
        </w:rPr>
        <w:t>here are no in-depth hearings of the SAO findings by the NA as such</w:t>
      </w:r>
      <w:r>
        <w:rPr>
          <w:rFonts w:ascii="Times New Roman" w:hAnsi="Times New Roman"/>
          <w:bCs/>
          <w:color w:val="000000"/>
          <w:sz w:val="24"/>
        </w:rPr>
        <w:t>,</w:t>
      </w:r>
      <w:r w:rsidRPr="00A11846">
        <w:rPr>
          <w:rFonts w:ascii="Times New Roman" w:hAnsi="Times New Roman"/>
          <w:bCs/>
          <w:color w:val="000000"/>
          <w:sz w:val="24"/>
        </w:rPr>
        <w:t xml:space="preserve"> and at the time when the SAO report is presented, the NA does not summon the representative of the audited agencies whose findings have been </w:t>
      </w:r>
      <w:r w:rsidR="002441BD">
        <w:rPr>
          <w:rFonts w:ascii="Times New Roman" w:hAnsi="Times New Roman"/>
          <w:bCs/>
          <w:color w:val="000000"/>
          <w:sz w:val="24"/>
        </w:rPr>
        <w:t xml:space="preserve">highlighted in the SAO report. </w:t>
      </w:r>
      <w:r w:rsidRPr="00A11846">
        <w:rPr>
          <w:rFonts w:ascii="Times New Roman" w:hAnsi="Times New Roman"/>
          <w:bCs/>
          <w:color w:val="000000"/>
          <w:sz w:val="24"/>
        </w:rPr>
        <w:t xml:space="preserve">However, the NA resolution on the SAO report </w:t>
      </w:r>
      <w:r>
        <w:rPr>
          <w:rFonts w:ascii="Times New Roman" w:hAnsi="Times New Roman"/>
          <w:bCs/>
          <w:color w:val="000000"/>
          <w:sz w:val="24"/>
        </w:rPr>
        <w:t>does</w:t>
      </w:r>
      <w:r w:rsidRPr="00A11846">
        <w:rPr>
          <w:rFonts w:ascii="Times New Roman" w:hAnsi="Times New Roman"/>
          <w:bCs/>
          <w:color w:val="000000"/>
          <w:sz w:val="24"/>
        </w:rPr>
        <w:t xml:space="preserve"> request the Government Inspection Authority </w:t>
      </w:r>
      <w:r>
        <w:rPr>
          <w:rFonts w:ascii="Times New Roman" w:hAnsi="Times New Roman"/>
          <w:bCs/>
          <w:color w:val="000000"/>
          <w:sz w:val="24"/>
        </w:rPr>
        <w:t xml:space="preserve">(GIA) </w:t>
      </w:r>
      <w:r w:rsidRPr="00A11846">
        <w:rPr>
          <w:rFonts w:ascii="Times New Roman" w:hAnsi="Times New Roman"/>
          <w:bCs/>
          <w:color w:val="000000"/>
          <w:sz w:val="24"/>
        </w:rPr>
        <w:t xml:space="preserve">to investigate further and conduct a more in-depth comprehensive review based on the SAO observations. The scope </w:t>
      </w:r>
      <w:r>
        <w:rPr>
          <w:rFonts w:ascii="Times New Roman" w:hAnsi="Times New Roman"/>
          <w:bCs/>
          <w:color w:val="000000"/>
          <w:sz w:val="24"/>
        </w:rPr>
        <w:t xml:space="preserve">of this work </w:t>
      </w:r>
      <w:r w:rsidRPr="00A11846">
        <w:rPr>
          <w:rFonts w:ascii="Times New Roman" w:hAnsi="Times New Roman"/>
          <w:bCs/>
          <w:color w:val="000000"/>
          <w:sz w:val="24"/>
        </w:rPr>
        <w:t>includes the extra-budgetary funds. The assessment team had no access to the GIA work</w:t>
      </w:r>
      <w:r>
        <w:rPr>
          <w:rFonts w:ascii="Times New Roman" w:hAnsi="Times New Roman"/>
          <w:bCs/>
          <w:color w:val="000000"/>
          <w:sz w:val="24"/>
        </w:rPr>
        <w:t xml:space="preserve"> </w:t>
      </w:r>
      <w:r w:rsidRPr="00A11846">
        <w:rPr>
          <w:rFonts w:ascii="Times New Roman" w:hAnsi="Times New Roman"/>
          <w:bCs/>
          <w:color w:val="000000"/>
          <w:sz w:val="24"/>
        </w:rPr>
        <w:t xml:space="preserve">plan in the period.  </w:t>
      </w:r>
    </w:p>
    <w:p w14:paraId="4E83A313" w14:textId="77777777" w:rsidR="007518E4" w:rsidRPr="0052797A" w:rsidRDefault="007518E4" w:rsidP="008037D9">
      <w:pPr>
        <w:pStyle w:val="ListParagraph"/>
        <w:numPr>
          <w:ilvl w:val="0"/>
          <w:numId w:val="91"/>
        </w:numPr>
        <w:spacing w:after="240"/>
        <w:ind w:left="0"/>
        <w:contextualSpacing w:val="0"/>
        <w:rPr>
          <w:rFonts w:ascii="Times New Roman" w:hAnsi="Times New Roman"/>
          <w:bCs/>
          <w:color w:val="000000"/>
          <w:sz w:val="24"/>
        </w:rPr>
      </w:pPr>
      <w:r w:rsidRPr="00317B21">
        <w:rPr>
          <w:rFonts w:ascii="Times New Roman" w:hAnsi="Times New Roman"/>
          <w:b/>
          <w:bCs/>
          <w:color w:val="000000"/>
          <w:sz w:val="24"/>
        </w:rPr>
        <w:t>The NA Committee on Planning Finance and Audit analyzes the findings of the SAO with MOF and the audited entities prior to issuing its final resolution on the annual state budget implementation.</w:t>
      </w:r>
      <w:r w:rsidRPr="0052797A">
        <w:rPr>
          <w:rFonts w:ascii="Times New Roman" w:hAnsi="Times New Roman"/>
          <w:bCs/>
          <w:color w:val="000000"/>
          <w:sz w:val="24"/>
        </w:rPr>
        <w:t xml:space="preserve"> However, the information scrutinized by the NA is based on the summary of findings reports by the SAO and there is no systematic process to summon the audited agencies to clarify or discuss the remedy actions to the SAO findings: Score </w:t>
      </w:r>
      <w:r w:rsidR="004603BA">
        <w:rPr>
          <w:rFonts w:ascii="Times New Roman" w:hAnsi="Times New Roman"/>
          <w:bCs/>
          <w:color w:val="000000"/>
          <w:sz w:val="24"/>
        </w:rPr>
        <w:t>D</w:t>
      </w:r>
      <w:r w:rsidRPr="0052797A">
        <w:rPr>
          <w:rFonts w:ascii="Times New Roman" w:hAnsi="Times New Roman"/>
          <w:bCs/>
          <w:color w:val="000000"/>
          <w:sz w:val="24"/>
        </w:rPr>
        <w:t>.</w:t>
      </w:r>
    </w:p>
    <w:p w14:paraId="2B13E446" w14:textId="77777777" w:rsidR="007518E4" w:rsidRPr="0097166A" w:rsidRDefault="007518E4" w:rsidP="00317B21">
      <w:pPr>
        <w:spacing w:after="240"/>
        <w:ind w:left="0"/>
        <w:rPr>
          <w:rFonts w:ascii="Times New Roman" w:eastAsia="Calibri" w:hAnsi="Times New Roman"/>
          <w:b/>
          <w:bCs/>
          <w:color w:val="B34384"/>
          <w:spacing w:val="-1"/>
          <w:sz w:val="24"/>
        </w:rPr>
      </w:pPr>
      <w:r w:rsidRPr="0097166A">
        <w:rPr>
          <w:rFonts w:ascii="Times New Roman" w:eastAsia="Calibri" w:hAnsi="Times New Roman"/>
          <w:b/>
          <w:bCs/>
          <w:color w:val="B34384"/>
          <w:spacing w:val="-1"/>
          <w:sz w:val="24"/>
        </w:rPr>
        <w:t xml:space="preserve">31.3. Recommendations on </w:t>
      </w:r>
      <w:r>
        <w:rPr>
          <w:rFonts w:ascii="Times New Roman" w:eastAsia="Calibri" w:hAnsi="Times New Roman"/>
          <w:b/>
          <w:bCs/>
          <w:color w:val="B34384"/>
          <w:spacing w:val="-1"/>
          <w:sz w:val="24"/>
        </w:rPr>
        <w:t>a</w:t>
      </w:r>
      <w:r w:rsidRPr="0097166A">
        <w:rPr>
          <w:rFonts w:ascii="Times New Roman" w:eastAsia="Calibri" w:hAnsi="Times New Roman"/>
          <w:b/>
          <w:bCs/>
          <w:color w:val="B34384"/>
          <w:spacing w:val="-1"/>
          <w:sz w:val="24"/>
        </w:rPr>
        <w:t xml:space="preserve">udit by the </w:t>
      </w:r>
      <w:r>
        <w:rPr>
          <w:rFonts w:ascii="Times New Roman" w:eastAsia="Calibri" w:hAnsi="Times New Roman"/>
          <w:b/>
          <w:bCs/>
          <w:color w:val="B34384"/>
          <w:spacing w:val="-1"/>
          <w:sz w:val="24"/>
        </w:rPr>
        <w:t>l</w:t>
      </w:r>
      <w:r w:rsidRPr="0097166A">
        <w:rPr>
          <w:rFonts w:ascii="Times New Roman" w:eastAsia="Calibri" w:hAnsi="Times New Roman"/>
          <w:b/>
          <w:bCs/>
          <w:color w:val="B34384"/>
          <w:spacing w:val="-1"/>
          <w:sz w:val="24"/>
        </w:rPr>
        <w:t>egislature</w:t>
      </w:r>
    </w:p>
    <w:p w14:paraId="35291923" w14:textId="77777777" w:rsidR="007518E4" w:rsidRPr="0052797A" w:rsidRDefault="007518E4" w:rsidP="008037D9">
      <w:pPr>
        <w:pStyle w:val="ListParagraph"/>
        <w:numPr>
          <w:ilvl w:val="0"/>
          <w:numId w:val="91"/>
        </w:numPr>
        <w:spacing w:after="240"/>
        <w:ind w:left="0"/>
        <w:contextualSpacing w:val="0"/>
        <w:rPr>
          <w:rFonts w:ascii="Times New Roman" w:hAnsi="Times New Roman"/>
          <w:sz w:val="24"/>
          <w:lang w:bidi="th-TH"/>
        </w:rPr>
      </w:pPr>
      <w:r w:rsidRPr="00317B21">
        <w:rPr>
          <w:rFonts w:ascii="Times New Roman" w:eastAsia="Calibri" w:hAnsi="Times New Roman"/>
          <w:b/>
          <w:sz w:val="24"/>
        </w:rPr>
        <w:t>The review and hearings conducted by the NA culminate into a summary report which contains all unresolved issues with corresponding recommendations.</w:t>
      </w:r>
      <w:r w:rsidRPr="0052797A">
        <w:rPr>
          <w:rFonts w:ascii="Times New Roman" w:eastAsia="Calibri" w:hAnsi="Times New Roman"/>
          <w:sz w:val="24"/>
        </w:rPr>
        <w:t xml:space="preserve"> This summary report is discussed with the other sector committees</w:t>
      </w:r>
      <w:r w:rsidR="002441BD">
        <w:rPr>
          <w:rFonts w:ascii="Times New Roman" w:eastAsia="Calibri" w:hAnsi="Times New Roman"/>
          <w:sz w:val="24"/>
        </w:rPr>
        <w:t xml:space="preserve">. </w:t>
      </w:r>
      <w:r>
        <w:rPr>
          <w:rFonts w:ascii="Times New Roman" w:eastAsia="Calibri" w:hAnsi="Times New Roman"/>
          <w:sz w:val="24"/>
        </w:rPr>
        <w:t>A</w:t>
      </w:r>
      <w:r w:rsidRPr="0052797A">
        <w:rPr>
          <w:rFonts w:ascii="Times New Roman" w:eastAsia="Calibri" w:hAnsi="Times New Roman"/>
          <w:sz w:val="24"/>
        </w:rPr>
        <w:t xml:space="preserve"> consolidated report is prepared and submitted to the President of the NA and translated into a NA resolution issued after the plenary session. The last NA resolution available after the NA session in November 2017 </w:t>
      </w:r>
      <w:r w:rsidRPr="0052797A">
        <w:rPr>
          <w:rFonts w:ascii="Times New Roman" w:hAnsi="Times New Roman"/>
          <w:sz w:val="24"/>
          <w:lang w:bidi="th-TH"/>
        </w:rPr>
        <w:t xml:space="preserve">endorses both the SAO audit report on </w:t>
      </w:r>
      <w:r w:rsidRPr="009432AC">
        <w:rPr>
          <w:rFonts w:ascii="Times New Roman" w:hAnsi="Times New Roman"/>
          <w:sz w:val="24"/>
          <w:lang w:bidi="th-TH"/>
        </w:rPr>
        <w:t>State budget implementation</w:t>
      </w:r>
      <w:r w:rsidRPr="0052797A">
        <w:rPr>
          <w:rFonts w:ascii="Times New Roman" w:hAnsi="Times New Roman"/>
          <w:sz w:val="24"/>
          <w:lang w:bidi="th-TH"/>
        </w:rPr>
        <w:t xml:space="preserve"> and the SAO annual implementation report, together with the SAO and GIA work</w:t>
      </w:r>
      <w:r>
        <w:rPr>
          <w:rFonts w:ascii="Times New Roman" w:hAnsi="Times New Roman"/>
          <w:sz w:val="24"/>
          <w:lang w:bidi="th-TH"/>
        </w:rPr>
        <w:t xml:space="preserve"> </w:t>
      </w:r>
      <w:r w:rsidRPr="0052797A">
        <w:rPr>
          <w:rFonts w:ascii="Times New Roman" w:hAnsi="Times New Roman"/>
          <w:sz w:val="24"/>
          <w:lang w:bidi="th-TH"/>
        </w:rPr>
        <w:t xml:space="preserve">plan for the next year. It includes follow up recommendations for the MoF to be implemented and a general statement for the government to strengthen effectiveness of its systems for a better state budget implementation. </w:t>
      </w:r>
    </w:p>
    <w:p w14:paraId="04B6270A" w14:textId="77777777" w:rsidR="007518E4" w:rsidRPr="0052797A" w:rsidRDefault="007518E4" w:rsidP="008037D9">
      <w:pPr>
        <w:pStyle w:val="ListParagraph"/>
        <w:numPr>
          <w:ilvl w:val="0"/>
          <w:numId w:val="91"/>
        </w:numPr>
        <w:spacing w:after="240"/>
        <w:ind w:left="0"/>
        <w:contextualSpacing w:val="0"/>
        <w:rPr>
          <w:rFonts w:ascii="Times New Roman" w:hAnsi="Times New Roman"/>
          <w:sz w:val="24"/>
          <w:lang w:bidi="th-TH"/>
        </w:rPr>
      </w:pPr>
      <w:r w:rsidRPr="00317B21">
        <w:rPr>
          <w:rFonts w:ascii="Times New Roman" w:eastAsia="Calibri" w:hAnsi="Times New Roman"/>
          <w:b/>
          <w:sz w:val="24"/>
        </w:rPr>
        <w:t>The PFAC is tasked to monitor follow up of the resolution of the findings and implementation of the recommendations by MoF</w:t>
      </w:r>
      <w:r w:rsidRPr="0052797A">
        <w:rPr>
          <w:rFonts w:ascii="Times New Roman" w:eastAsia="Calibri" w:hAnsi="Times New Roman"/>
          <w:sz w:val="24"/>
        </w:rPr>
        <w:t>. However, the MoF follow up is not always consistent</w:t>
      </w:r>
      <w:r>
        <w:rPr>
          <w:rFonts w:ascii="Times New Roman" w:eastAsia="Calibri" w:hAnsi="Times New Roman"/>
          <w:sz w:val="24"/>
        </w:rPr>
        <w:t>.  T</w:t>
      </w:r>
      <w:r w:rsidRPr="0052797A">
        <w:rPr>
          <w:rFonts w:ascii="Times New Roman" w:eastAsia="Calibri" w:hAnsi="Times New Roman"/>
          <w:sz w:val="24"/>
        </w:rPr>
        <w:t xml:space="preserve">he discrepancies identified in the audit report are </w:t>
      </w:r>
      <w:r>
        <w:rPr>
          <w:rFonts w:ascii="Times New Roman" w:eastAsia="Calibri" w:hAnsi="Times New Roman"/>
          <w:sz w:val="24"/>
        </w:rPr>
        <w:t xml:space="preserve">not </w:t>
      </w:r>
      <w:r w:rsidRPr="0052797A">
        <w:rPr>
          <w:rFonts w:ascii="Times New Roman" w:eastAsia="Calibri" w:hAnsi="Times New Roman"/>
          <w:sz w:val="24"/>
        </w:rPr>
        <w:t xml:space="preserve">systematically addressed by the MoF or corrected in the final </w:t>
      </w:r>
      <w:r>
        <w:rPr>
          <w:rFonts w:ascii="Times New Roman" w:eastAsia="Calibri" w:hAnsi="Times New Roman"/>
          <w:sz w:val="24"/>
        </w:rPr>
        <w:t>state budget implementation</w:t>
      </w:r>
      <w:r w:rsidRPr="0052797A">
        <w:rPr>
          <w:rFonts w:ascii="Times New Roman" w:eastAsia="Calibri" w:hAnsi="Times New Roman"/>
          <w:sz w:val="24"/>
        </w:rPr>
        <w:t xml:space="preserve"> reports</w:t>
      </w:r>
      <w:r>
        <w:rPr>
          <w:rFonts w:ascii="Times New Roman" w:eastAsia="Calibri" w:hAnsi="Times New Roman"/>
          <w:sz w:val="24"/>
        </w:rPr>
        <w:t xml:space="preserve"> issued by MoF after the SAO and NA reviews. Neither </w:t>
      </w:r>
      <w:r w:rsidRPr="0052797A">
        <w:rPr>
          <w:rFonts w:ascii="Times New Roman" w:eastAsia="Calibri" w:hAnsi="Times New Roman"/>
          <w:sz w:val="24"/>
        </w:rPr>
        <w:t xml:space="preserve">does </w:t>
      </w:r>
      <w:r>
        <w:rPr>
          <w:rFonts w:ascii="Times New Roman" w:eastAsia="Calibri" w:hAnsi="Times New Roman"/>
          <w:sz w:val="24"/>
        </w:rPr>
        <w:t>PFAC have</w:t>
      </w:r>
      <w:r w:rsidRPr="0052797A">
        <w:rPr>
          <w:rFonts w:ascii="Times New Roman" w:eastAsia="Calibri" w:hAnsi="Times New Roman"/>
          <w:sz w:val="24"/>
        </w:rPr>
        <w:t xml:space="preserve"> a systematic system in place to track and verify the implementation </w:t>
      </w:r>
      <w:r>
        <w:rPr>
          <w:rFonts w:ascii="Times New Roman" w:eastAsia="Calibri" w:hAnsi="Times New Roman"/>
          <w:sz w:val="24"/>
        </w:rPr>
        <w:t xml:space="preserve">(or </w:t>
      </w:r>
      <w:r w:rsidRPr="0052797A">
        <w:rPr>
          <w:rFonts w:ascii="Times New Roman" w:eastAsia="Calibri" w:hAnsi="Times New Roman"/>
          <w:sz w:val="24"/>
        </w:rPr>
        <w:t>non-implementation</w:t>
      </w:r>
      <w:r>
        <w:rPr>
          <w:rFonts w:ascii="Times New Roman" w:eastAsia="Calibri" w:hAnsi="Times New Roman"/>
          <w:sz w:val="24"/>
        </w:rPr>
        <w:t>)</w:t>
      </w:r>
      <w:r w:rsidRPr="0052797A">
        <w:rPr>
          <w:rFonts w:ascii="Times New Roman" w:eastAsia="Calibri" w:hAnsi="Times New Roman"/>
          <w:sz w:val="24"/>
        </w:rPr>
        <w:t xml:space="preserve"> of the recommendations by the MoF</w:t>
      </w:r>
      <w:r w:rsidR="002441BD">
        <w:rPr>
          <w:rFonts w:ascii="Times New Roman" w:eastAsia="Calibri" w:hAnsi="Times New Roman"/>
          <w:sz w:val="24"/>
        </w:rPr>
        <w:t xml:space="preserve">. </w:t>
      </w:r>
      <w:r>
        <w:rPr>
          <w:rFonts w:ascii="Times New Roman" w:eastAsia="Calibri" w:hAnsi="Times New Roman"/>
          <w:sz w:val="24"/>
        </w:rPr>
        <w:t xml:space="preserve">There </w:t>
      </w:r>
      <w:r w:rsidRPr="0052797A">
        <w:rPr>
          <w:rFonts w:ascii="Times New Roman" w:eastAsia="Calibri" w:hAnsi="Times New Roman"/>
          <w:sz w:val="24"/>
        </w:rPr>
        <w:t>can be significant delays in following up the implementation of the recommendations. The limitations in the follow up by the SAO on its own recommendations and limited information available on the subsequent SAO report on the actual implementation by MoF also has an impact on the follow up information available to the NA</w:t>
      </w:r>
      <w:r w:rsidR="002441BD">
        <w:rPr>
          <w:rFonts w:ascii="Times New Roman" w:eastAsia="Calibri" w:hAnsi="Times New Roman"/>
          <w:sz w:val="24"/>
        </w:rPr>
        <w:t xml:space="preserve">. </w:t>
      </w:r>
      <w:r>
        <w:rPr>
          <w:rFonts w:ascii="Times New Roman" w:eastAsia="Calibri" w:hAnsi="Times New Roman"/>
          <w:sz w:val="24"/>
        </w:rPr>
        <w:t xml:space="preserve">Both the NA and </w:t>
      </w:r>
      <w:r w:rsidRPr="0052797A">
        <w:rPr>
          <w:rFonts w:ascii="Times New Roman" w:eastAsia="Calibri" w:hAnsi="Times New Roman"/>
          <w:sz w:val="24"/>
        </w:rPr>
        <w:t xml:space="preserve">the Secretariat of the PFAC </w:t>
      </w:r>
      <w:r>
        <w:rPr>
          <w:rFonts w:ascii="Times New Roman" w:eastAsia="Calibri" w:hAnsi="Times New Roman"/>
          <w:sz w:val="24"/>
        </w:rPr>
        <w:t xml:space="preserve">have insufficient </w:t>
      </w:r>
      <w:r w:rsidRPr="0052797A">
        <w:rPr>
          <w:rFonts w:ascii="Times New Roman" w:eastAsia="Calibri" w:hAnsi="Times New Roman"/>
          <w:sz w:val="24"/>
        </w:rPr>
        <w:t xml:space="preserve">resources </w:t>
      </w:r>
      <w:r>
        <w:rPr>
          <w:rFonts w:ascii="Times New Roman" w:eastAsia="Calibri" w:hAnsi="Times New Roman"/>
          <w:sz w:val="24"/>
        </w:rPr>
        <w:t>and capacity</w:t>
      </w:r>
      <w:r w:rsidRPr="0052797A">
        <w:rPr>
          <w:rFonts w:ascii="Times New Roman" w:eastAsia="Calibri" w:hAnsi="Times New Roman"/>
          <w:sz w:val="24"/>
        </w:rPr>
        <w:t xml:space="preserve"> </w:t>
      </w:r>
      <w:r>
        <w:rPr>
          <w:rFonts w:ascii="Times New Roman" w:eastAsia="Calibri" w:hAnsi="Times New Roman"/>
          <w:sz w:val="24"/>
        </w:rPr>
        <w:t>to perform their</w:t>
      </w:r>
      <w:r w:rsidRPr="0052797A">
        <w:rPr>
          <w:rFonts w:ascii="Times New Roman" w:eastAsia="Calibri" w:hAnsi="Times New Roman"/>
          <w:sz w:val="24"/>
        </w:rPr>
        <w:t xml:space="preserve"> duties</w:t>
      </w:r>
      <w:r>
        <w:rPr>
          <w:rFonts w:ascii="Times New Roman" w:eastAsia="Calibri" w:hAnsi="Times New Roman"/>
          <w:sz w:val="24"/>
        </w:rPr>
        <w:t>.</w:t>
      </w:r>
      <w:r w:rsidRPr="0052797A">
        <w:rPr>
          <w:rFonts w:ascii="Times New Roman" w:eastAsia="Calibri" w:hAnsi="Times New Roman"/>
          <w:sz w:val="24"/>
        </w:rPr>
        <w:t xml:space="preserve"> </w:t>
      </w:r>
    </w:p>
    <w:p w14:paraId="5B045D82" w14:textId="77777777" w:rsidR="007518E4" w:rsidRPr="00144B44" w:rsidRDefault="007518E4" w:rsidP="008037D9">
      <w:pPr>
        <w:pStyle w:val="ListParagraph"/>
        <w:numPr>
          <w:ilvl w:val="0"/>
          <w:numId w:val="91"/>
        </w:numPr>
        <w:spacing w:after="240"/>
        <w:ind w:left="0"/>
        <w:contextualSpacing w:val="0"/>
        <w:rPr>
          <w:rFonts w:ascii="Times New Roman" w:eastAsia="Calibri" w:hAnsi="Times New Roman"/>
          <w:sz w:val="24"/>
        </w:rPr>
      </w:pPr>
      <w:r w:rsidRPr="00317B21">
        <w:rPr>
          <w:rFonts w:ascii="Times New Roman" w:eastAsia="Calibri" w:hAnsi="Times New Roman"/>
          <w:b/>
          <w:sz w:val="24"/>
        </w:rPr>
        <w:lastRenderedPageBreak/>
        <w:t>The legislature issues recommendations on actions to be implemented by the executive but there is no systematic or only limited follow up on the effective implementation of actions by the MoF and audited agencies</w:t>
      </w:r>
      <w:r w:rsidRPr="00144B44">
        <w:rPr>
          <w:rFonts w:ascii="Times New Roman" w:eastAsia="Calibri" w:hAnsi="Times New Roman"/>
          <w:sz w:val="24"/>
        </w:rPr>
        <w:t>: Score C.</w:t>
      </w:r>
    </w:p>
    <w:p w14:paraId="51842AE1" w14:textId="77777777" w:rsidR="007518E4" w:rsidRPr="0097166A" w:rsidRDefault="007518E4" w:rsidP="00317B21">
      <w:pPr>
        <w:spacing w:after="240"/>
        <w:ind w:left="0"/>
        <w:rPr>
          <w:rFonts w:ascii="Times New Roman" w:eastAsia="Calibri" w:hAnsi="Times New Roman"/>
          <w:b/>
          <w:bCs/>
          <w:color w:val="B34384"/>
          <w:spacing w:val="-1"/>
          <w:sz w:val="24"/>
        </w:rPr>
      </w:pPr>
      <w:r w:rsidRPr="0097166A">
        <w:rPr>
          <w:rFonts w:ascii="Times New Roman" w:eastAsia="Calibri" w:hAnsi="Times New Roman"/>
          <w:b/>
          <w:bCs/>
          <w:color w:val="B34384"/>
          <w:spacing w:val="-1"/>
          <w:sz w:val="24"/>
        </w:rPr>
        <w:t xml:space="preserve">31.4. Transparency of </w:t>
      </w:r>
      <w:r>
        <w:rPr>
          <w:rFonts w:ascii="Times New Roman" w:eastAsia="Calibri" w:hAnsi="Times New Roman"/>
          <w:b/>
          <w:bCs/>
          <w:color w:val="B34384"/>
          <w:spacing w:val="-1"/>
          <w:sz w:val="24"/>
        </w:rPr>
        <w:t>l</w:t>
      </w:r>
      <w:r w:rsidRPr="0097166A">
        <w:rPr>
          <w:rFonts w:ascii="Times New Roman" w:eastAsia="Calibri" w:hAnsi="Times New Roman"/>
          <w:b/>
          <w:bCs/>
          <w:color w:val="B34384"/>
          <w:spacing w:val="-1"/>
          <w:sz w:val="24"/>
        </w:rPr>
        <w:t xml:space="preserve">egislative </w:t>
      </w:r>
      <w:r>
        <w:rPr>
          <w:rFonts w:ascii="Times New Roman" w:eastAsia="Calibri" w:hAnsi="Times New Roman"/>
          <w:b/>
          <w:bCs/>
          <w:color w:val="B34384"/>
          <w:spacing w:val="-1"/>
          <w:sz w:val="24"/>
        </w:rPr>
        <w:t>s</w:t>
      </w:r>
      <w:r w:rsidRPr="0097166A">
        <w:rPr>
          <w:rFonts w:ascii="Times New Roman" w:eastAsia="Calibri" w:hAnsi="Times New Roman"/>
          <w:b/>
          <w:bCs/>
          <w:color w:val="B34384"/>
          <w:spacing w:val="-1"/>
          <w:sz w:val="24"/>
        </w:rPr>
        <w:t xml:space="preserve">crutiny of </w:t>
      </w:r>
      <w:r>
        <w:rPr>
          <w:rFonts w:ascii="Times New Roman" w:eastAsia="Calibri" w:hAnsi="Times New Roman"/>
          <w:b/>
          <w:bCs/>
          <w:color w:val="B34384"/>
          <w:spacing w:val="-1"/>
          <w:sz w:val="24"/>
        </w:rPr>
        <w:t>audit r</w:t>
      </w:r>
      <w:r w:rsidRPr="0097166A">
        <w:rPr>
          <w:rFonts w:ascii="Times New Roman" w:eastAsia="Calibri" w:hAnsi="Times New Roman"/>
          <w:b/>
          <w:bCs/>
          <w:color w:val="B34384"/>
          <w:spacing w:val="-1"/>
          <w:sz w:val="24"/>
        </w:rPr>
        <w:t>eports</w:t>
      </w:r>
    </w:p>
    <w:p w14:paraId="566DCDBB" w14:textId="77777777" w:rsidR="00317B21" w:rsidRPr="00317B21" w:rsidRDefault="007518E4" w:rsidP="00D02CC9">
      <w:pPr>
        <w:pStyle w:val="ListParagraph"/>
        <w:numPr>
          <w:ilvl w:val="0"/>
          <w:numId w:val="91"/>
        </w:numPr>
        <w:spacing w:after="240"/>
        <w:ind w:left="0"/>
        <w:contextualSpacing w:val="0"/>
        <w:rPr>
          <w:rFonts w:ascii="Times New Roman" w:hAnsi="Times New Roman"/>
          <w:sz w:val="24"/>
        </w:rPr>
      </w:pPr>
      <w:r w:rsidRPr="00317B21">
        <w:rPr>
          <w:rFonts w:ascii="Times New Roman" w:eastAsia="Calibri" w:hAnsi="Times New Roman"/>
          <w:b/>
          <w:sz w:val="24"/>
        </w:rPr>
        <w:t>The only public hearing is the presentation of the SAO report and subsequent discussion during the NA plenary session</w:t>
      </w:r>
      <w:r w:rsidRPr="00317B21">
        <w:rPr>
          <w:rFonts w:ascii="Times New Roman" w:eastAsia="Calibri" w:hAnsi="Times New Roman"/>
          <w:sz w:val="24"/>
        </w:rPr>
        <w:t>. The debate is broadcast live on TV and largely followed by the public on socia</w:t>
      </w:r>
      <w:r w:rsidR="002441BD">
        <w:rPr>
          <w:rFonts w:ascii="Times New Roman" w:eastAsia="Calibri" w:hAnsi="Times New Roman"/>
          <w:sz w:val="24"/>
        </w:rPr>
        <w:t xml:space="preserve">l media and in the newspapers. </w:t>
      </w:r>
      <w:r w:rsidRPr="00317B21">
        <w:rPr>
          <w:rFonts w:ascii="Times New Roman" w:eastAsia="Calibri" w:hAnsi="Times New Roman"/>
          <w:sz w:val="24"/>
        </w:rPr>
        <w:t>Other NA debates and discussions are not open to the public and the public does not contribute to the discussions. Committee reports are debated in the full chamber of the NA.  Neither minutes nor reports maintained by the NA Secretariat are pub</w:t>
      </w:r>
      <w:r w:rsidR="002441BD">
        <w:rPr>
          <w:rFonts w:ascii="Times New Roman" w:eastAsia="Calibri" w:hAnsi="Times New Roman"/>
          <w:sz w:val="24"/>
        </w:rPr>
        <w:t xml:space="preserve">lished on NA official website. </w:t>
      </w:r>
      <w:r w:rsidRPr="00317B21">
        <w:rPr>
          <w:rFonts w:ascii="Times New Roman" w:eastAsia="Calibri" w:hAnsi="Times New Roman"/>
          <w:sz w:val="24"/>
        </w:rPr>
        <w:t xml:space="preserve">They are not available to the public upon request. </w:t>
      </w:r>
    </w:p>
    <w:p w14:paraId="4D7A7086" w14:textId="77777777" w:rsidR="007518E4" w:rsidRPr="00317B21" w:rsidRDefault="007518E4" w:rsidP="00317B21">
      <w:pPr>
        <w:pStyle w:val="ListParagraph"/>
        <w:numPr>
          <w:ilvl w:val="0"/>
          <w:numId w:val="91"/>
        </w:numPr>
        <w:spacing w:after="240"/>
        <w:ind w:left="0"/>
        <w:contextualSpacing w:val="0"/>
        <w:rPr>
          <w:rFonts w:ascii="Times New Roman" w:hAnsi="Times New Roman"/>
          <w:sz w:val="24"/>
        </w:rPr>
      </w:pPr>
      <w:r w:rsidRPr="00317B21">
        <w:rPr>
          <w:rFonts w:ascii="Times New Roman" w:eastAsia="Calibri" w:hAnsi="Times New Roman"/>
          <w:b/>
          <w:sz w:val="24"/>
        </w:rPr>
        <w:t>The annual SAO reporting on the State Budget implementation is conducted in public through live TV broadcasts</w:t>
      </w:r>
      <w:r w:rsidR="00F9206C">
        <w:rPr>
          <w:rFonts w:ascii="Times New Roman" w:eastAsia="Calibri" w:hAnsi="Times New Roman"/>
          <w:sz w:val="24"/>
        </w:rPr>
        <w:t xml:space="preserve">. </w:t>
      </w:r>
      <w:r w:rsidRPr="00317B21">
        <w:rPr>
          <w:rFonts w:ascii="Times New Roman" w:eastAsia="Calibri" w:hAnsi="Times New Roman"/>
          <w:sz w:val="24"/>
        </w:rPr>
        <w:t xml:space="preserve">Committee reports are debated </w:t>
      </w:r>
      <w:r w:rsidR="002441BD">
        <w:rPr>
          <w:rFonts w:ascii="Times New Roman" w:eastAsia="Calibri" w:hAnsi="Times New Roman"/>
          <w:sz w:val="24"/>
        </w:rPr>
        <w:t xml:space="preserve">in the full chamber of the NA. </w:t>
      </w:r>
      <w:r w:rsidRPr="00317B21">
        <w:rPr>
          <w:rFonts w:ascii="Times New Roman" w:eastAsia="Calibri" w:hAnsi="Times New Roman"/>
          <w:sz w:val="24"/>
        </w:rPr>
        <w:t>However</w:t>
      </w:r>
      <w:r w:rsidR="002441BD">
        <w:rPr>
          <w:rFonts w:ascii="Times New Roman" w:eastAsia="Calibri" w:hAnsi="Times New Roman"/>
          <w:sz w:val="24"/>
        </w:rPr>
        <w:t>,</w:t>
      </w:r>
      <w:r w:rsidRPr="00317B21">
        <w:rPr>
          <w:rFonts w:ascii="Times New Roman" w:eastAsia="Calibri" w:hAnsi="Times New Roman"/>
          <w:sz w:val="24"/>
        </w:rPr>
        <w:t xml:space="preserve"> none of the reports are published on its official website and are not available for public access:</w:t>
      </w:r>
      <w:r w:rsidRPr="00317B21">
        <w:rPr>
          <w:rFonts w:ascii="Times New Roman" w:hAnsi="Times New Roman"/>
          <w:i/>
          <w:sz w:val="24"/>
        </w:rPr>
        <w:t xml:space="preserve"> </w:t>
      </w:r>
      <w:r w:rsidRPr="00317B21">
        <w:rPr>
          <w:rFonts w:ascii="Times New Roman" w:hAnsi="Times New Roman"/>
          <w:sz w:val="24"/>
        </w:rPr>
        <w:t>Score D</w:t>
      </w:r>
    </w:p>
    <w:p w14:paraId="6D3BAC9A" w14:textId="77777777" w:rsidR="00E12685" w:rsidRDefault="00E12685">
      <w:pPr>
        <w:spacing w:after="240" w:line="276" w:lineRule="auto"/>
      </w:pPr>
      <w:r>
        <w:br w:type="page"/>
      </w:r>
    </w:p>
    <w:p w14:paraId="25598DAD" w14:textId="77777777" w:rsidR="00E12685" w:rsidRPr="00C001AC" w:rsidRDefault="00E12685" w:rsidP="00E12685">
      <w:pPr>
        <w:pStyle w:val="Heading1"/>
        <w:rPr>
          <w:rFonts w:ascii="Times New Roman" w:hAnsi="Times New Roman"/>
        </w:rPr>
      </w:pPr>
      <w:bookmarkStart w:id="113" w:name="_Toc504974059"/>
      <w:bookmarkStart w:id="114" w:name="_Toc4149014"/>
      <w:r w:rsidRPr="00C001AC">
        <w:rPr>
          <w:rFonts w:ascii="Times New Roman" w:hAnsi="Times New Roman"/>
        </w:rPr>
        <w:lastRenderedPageBreak/>
        <w:t>4. Conclusions of the Analysis of PFM Systems</w:t>
      </w:r>
      <w:bookmarkEnd w:id="113"/>
      <w:bookmarkEnd w:id="114"/>
    </w:p>
    <w:p w14:paraId="779CF7E4" w14:textId="77777777" w:rsidR="00E12685" w:rsidRPr="00C001AC" w:rsidRDefault="00E12685" w:rsidP="00317B21">
      <w:pPr>
        <w:pStyle w:val="Heading2"/>
        <w:ind w:left="0"/>
        <w:rPr>
          <w:rFonts w:ascii="Times New Roman" w:hAnsi="Times New Roman"/>
          <w:color w:val="0070C0"/>
        </w:rPr>
      </w:pPr>
      <w:bookmarkStart w:id="115" w:name="_Toc495306461"/>
      <w:bookmarkStart w:id="116" w:name="_Toc504974060"/>
      <w:bookmarkStart w:id="117" w:name="_Toc4149015"/>
      <w:r w:rsidRPr="00C001AC">
        <w:rPr>
          <w:rFonts w:ascii="Times New Roman" w:hAnsi="Times New Roman"/>
          <w:color w:val="0070C0"/>
        </w:rPr>
        <w:t>4.1 Integrated Assessment of PFM Performance</w:t>
      </w:r>
      <w:bookmarkEnd w:id="115"/>
      <w:bookmarkEnd w:id="116"/>
      <w:bookmarkEnd w:id="117"/>
    </w:p>
    <w:p w14:paraId="5BDEE20F" w14:textId="77777777" w:rsidR="00E12685" w:rsidRPr="00253020" w:rsidRDefault="00E12685" w:rsidP="00051023">
      <w:pPr>
        <w:pStyle w:val="ListParagraph"/>
        <w:numPr>
          <w:ilvl w:val="0"/>
          <w:numId w:val="91"/>
        </w:numPr>
        <w:spacing w:after="240"/>
        <w:ind w:left="0"/>
        <w:contextualSpacing w:val="0"/>
        <w:rPr>
          <w:rFonts w:ascii="Times New Roman" w:hAnsi="Times New Roman"/>
          <w:sz w:val="24"/>
        </w:rPr>
      </w:pPr>
      <w:r w:rsidRPr="007845A9">
        <w:rPr>
          <w:rFonts w:ascii="Times New Roman" w:hAnsi="Times New Roman"/>
          <w:b/>
          <w:sz w:val="24"/>
        </w:rPr>
        <w:t>The findings of the 2018 PEFA assessment report are summarized below for each of the seven pillars of PFM performance that structure the PEFA framework</w:t>
      </w:r>
      <w:r w:rsidR="002441BD">
        <w:rPr>
          <w:rFonts w:ascii="Times New Roman" w:hAnsi="Times New Roman"/>
          <w:sz w:val="24"/>
        </w:rPr>
        <w:t xml:space="preserve">. </w:t>
      </w:r>
      <w:r>
        <w:rPr>
          <w:rFonts w:ascii="Times New Roman" w:hAnsi="Times New Roman"/>
          <w:sz w:val="24"/>
        </w:rPr>
        <w:t>A</w:t>
      </w:r>
      <w:r w:rsidRPr="00253020">
        <w:rPr>
          <w:rFonts w:ascii="Times New Roman" w:hAnsi="Times New Roman"/>
          <w:sz w:val="24"/>
        </w:rPr>
        <w:t xml:space="preserve">ttention </w:t>
      </w:r>
      <w:r>
        <w:rPr>
          <w:rFonts w:ascii="Times New Roman" w:hAnsi="Times New Roman"/>
          <w:sz w:val="24"/>
        </w:rPr>
        <w:t xml:space="preserve">is </w:t>
      </w:r>
      <w:r w:rsidRPr="00253020">
        <w:rPr>
          <w:rFonts w:ascii="Times New Roman" w:hAnsi="Times New Roman"/>
          <w:sz w:val="24"/>
        </w:rPr>
        <w:t xml:space="preserve">given to the strengths and weaknesses that affect the achievement of the expected budgetary outcomes. </w:t>
      </w:r>
    </w:p>
    <w:p w14:paraId="10933996" w14:textId="77777777" w:rsidR="00E12685" w:rsidRPr="002F5ADE" w:rsidRDefault="00E12685" w:rsidP="002F5ADE">
      <w:pPr>
        <w:spacing w:after="240"/>
        <w:ind w:left="0"/>
        <w:rPr>
          <w:rFonts w:ascii="Times New Roman" w:hAnsi="Times New Roman"/>
          <w:b/>
          <w:color w:val="0070C0"/>
          <w:sz w:val="24"/>
        </w:rPr>
      </w:pPr>
      <w:r w:rsidRPr="002F5ADE">
        <w:rPr>
          <w:rFonts w:ascii="Times New Roman" w:hAnsi="Times New Roman"/>
          <w:b/>
          <w:color w:val="0070C0"/>
          <w:sz w:val="24"/>
        </w:rPr>
        <w:t xml:space="preserve">Budget reliability </w:t>
      </w:r>
    </w:p>
    <w:p w14:paraId="7B14E4B0" w14:textId="77777777" w:rsidR="00E12685" w:rsidRDefault="00E12685" w:rsidP="00051023">
      <w:pPr>
        <w:pStyle w:val="ListParagraph"/>
        <w:numPr>
          <w:ilvl w:val="0"/>
          <w:numId w:val="91"/>
        </w:numPr>
        <w:spacing w:after="240"/>
        <w:ind w:left="0"/>
        <w:contextualSpacing w:val="0"/>
        <w:rPr>
          <w:rFonts w:ascii="Times New Roman" w:hAnsi="Times New Roman"/>
          <w:sz w:val="24"/>
        </w:rPr>
      </w:pPr>
      <w:r w:rsidRPr="00C76503">
        <w:rPr>
          <w:rFonts w:ascii="Times New Roman" w:hAnsi="Times New Roman"/>
          <w:b/>
          <w:sz w:val="24"/>
        </w:rPr>
        <w:t>Budget reliability performance is fragile.</w:t>
      </w:r>
      <w:r w:rsidRPr="00C76503">
        <w:rPr>
          <w:rFonts w:ascii="Times New Roman" w:hAnsi="Times New Roman"/>
          <w:sz w:val="24"/>
        </w:rPr>
        <w:t xml:space="preserve"> The extent to which the government’s budget is realistic and implemented as intended, and therefore useful for policy implementation, is formally measured by comparing actual revenues and expendit</w:t>
      </w:r>
      <w:r w:rsidR="002441BD">
        <w:rPr>
          <w:rFonts w:ascii="Times New Roman" w:hAnsi="Times New Roman"/>
          <w:sz w:val="24"/>
        </w:rPr>
        <w:t xml:space="preserve">ures with the original budget. </w:t>
      </w:r>
      <w:r w:rsidRPr="00C76503">
        <w:rPr>
          <w:rFonts w:ascii="Times New Roman" w:hAnsi="Times New Roman"/>
          <w:sz w:val="24"/>
        </w:rPr>
        <w:t>The performance assessment reflects the ability of the government to forecast revenue outturns and match expenditures to revenue, maintaining aggregate fiscal discipline driven by the critical need to limit public sector debt. The scores for predictability of in-year resource allocation (D+) and arrears (D) indicate weaknesse</w:t>
      </w:r>
      <w:r w:rsidR="002441BD">
        <w:rPr>
          <w:rFonts w:ascii="Times New Roman" w:hAnsi="Times New Roman"/>
          <w:sz w:val="24"/>
        </w:rPr>
        <w:t xml:space="preserve">s in crucial management areas. </w:t>
      </w:r>
      <w:r w:rsidRPr="00C76503">
        <w:rPr>
          <w:rFonts w:ascii="Times New Roman" w:hAnsi="Times New Roman"/>
          <w:sz w:val="24"/>
        </w:rPr>
        <w:t xml:space="preserve">Moreover, the credibility of the budget is undermined by the limited information on the budget allocation and execution for defense and police and “other institutions” and on the execution at the provincial level, for which deviations from original budget composition cannot be estimated. </w:t>
      </w:r>
    </w:p>
    <w:p w14:paraId="6B9632CA" w14:textId="77777777" w:rsidR="00E12685" w:rsidRPr="00C76503" w:rsidRDefault="00E12685" w:rsidP="00051023">
      <w:pPr>
        <w:pStyle w:val="ListParagraph"/>
        <w:numPr>
          <w:ilvl w:val="0"/>
          <w:numId w:val="91"/>
        </w:numPr>
        <w:spacing w:after="240"/>
        <w:ind w:left="0"/>
        <w:contextualSpacing w:val="0"/>
        <w:rPr>
          <w:rFonts w:ascii="Times New Roman" w:hAnsi="Times New Roman"/>
          <w:sz w:val="24"/>
        </w:rPr>
      </w:pPr>
      <w:r w:rsidRPr="00C76503">
        <w:rPr>
          <w:rFonts w:ascii="Times New Roman" w:hAnsi="Times New Roman"/>
          <w:b/>
          <w:sz w:val="24"/>
        </w:rPr>
        <w:t xml:space="preserve">However, budget execution is still relying on overly optimistic revenue forecasts. </w:t>
      </w:r>
      <w:r w:rsidRPr="00C76503">
        <w:rPr>
          <w:rFonts w:ascii="Times New Roman" w:hAnsi="Times New Roman"/>
          <w:sz w:val="24"/>
        </w:rPr>
        <w:t>Unreliable forecasting assumptions are leading to systematic overestimation of the Tax r</w:t>
      </w:r>
      <w:r w:rsidR="002441BD">
        <w:rPr>
          <w:rFonts w:ascii="Times New Roman" w:hAnsi="Times New Roman"/>
          <w:sz w:val="24"/>
        </w:rPr>
        <w:t xml:space="preserve">evenue (Score C). </w:t>
      </w:r>
      <w:r w:rsidRPr="00C76503">
        <w:rPr>
          <w:rFonts w:ascii="Times New Roman" w:hAnsi="Times New Roman"/>
          <w:sz w:val="24"/>
        </w:rPr>
        <w:t>It leads to frequent budget adjustment to spending level to the actual revenue collection and impose related spending policy decisions throughout the execution, aligning to actual fiscal outturn (Score C).</w:t>
      </w:r>
    </w:p>
    <w:p w14:paraId="7C275D26" w14:textId="77777777" w:rsidR="00E12685" w:rsidRPr="000265CA" w:rsidRDefault="00E12685" w:rsidP="00051023">
      <w:pPr>
        <w:spacing w:after="240"/>
        <w:ind w:left="0"/>
        <w:rPr>
          <w:rFonts w:ascii="Times New Roman" w:hAnsi="Times New Roman"/>
          <w:b/>
          <w:color w:val="0070C0"/>
          <w:sz w:val="24"/>
        </w:rPr>
      </w:pPr>
      <w:r w:rsidRPr="000265CA">
        <w:rPr>
          <w:rFonts w:ascii="Times New Roman" w:hAnsi="Times New Roman"/>
          <w:b/>
          <w:color w:val="0070C0"/>
          <w:sz w:val="24"/>
        </w:rPr>
        <w:t xml:space="preserve">Transparency of Public Finances </w:t>
      </w:r>
    </w:p>
    <w:p w14:paraId="0D2D7F0E" w14:textId="77777777" w:rsidR="00E12685" w:rsidRDefault="00E12685" w:rsidP="00051023">
      <w:pPr>
        <w:pStyle w:val="ListParagraph"/>
        <w:numPr>
          <w:ilvl w:val="0"/>
          <w:numId w:val="91"/>
        </w:numPr>
        <w:spacing w:after="240"/>
        <w:ind w:left="0"/>
        <w:contextualSpacing w:val="0"/>
        <w:rPr>
          <w:rFonts w:ascii="Times New Roman" w:hAnsi="Times New Roman"/>
          <w:sz w:val="24"/>
        </w:rPr>
      </w:pPr>
      <w:r w:rsidRPr="00C76503">
        <w:rPr>
          <w:rFonts w:ascii="Times New Roman" w:hAnsi="Times New Roman"/>
          <w:b/>
          <w:sz w:val="24"/>
        </w:rPr>
        <w:t>Transparency is a critical feature of the government’s willingness to facilitate scrutiny of government policies and programs by citizens</w:t>
      </w:r>
      <w:r w:rsidR="002441BD">
        <w:rPr>
          <w:rFonts w:ascii="Times New Roman" w:hAnsi="Times New Roman"/>
          <w:sz w:val="24"/>
        </w:rPr>
        <w:t xml:space="preserve">. </w:t>
      </w:r>
      <w:r w:rsidRPr="00C76503">
        <w:rPr>
          <w:rFonts w:ascii="Times New Roman" w:hAnsi="Times New Roman"/>
          <w:sz w:val="24"/>
        </w:rPr>
        <w:t>Performance on comprehensiveness</w:t>
      </w:r>
      <w:r w:rsidR="00661512">
        <w:rPr>
          <w:rFonts w:ascii="Times New Roman" w:hAnsi="Times New Roman"/>
          <w:sz w:val="24"/>
        </w:rPr>
        <w:t xml:space="preserve"> of budget </w:t>
      </w:r>
      <w:proofErr w:type="spellStart"/>
      <w:r w:rsidR="00BB64DF">
        <w:rPr>
          <w:rFonts w:ascii="Times New Roman" w:hAnsi="Times New Roman"/>
          <w:sz w:val="24"/>
        </w:rPr>
        <w:t>classification</w:t>
      </w:r>
      <w:r w:rsidRPr="00C76503">
        <w:rPr>
          <w:rFonts w:ascii="Times New Roman" w:hAnsi="Times New Roman"/>
          <w:sz w:val="24"/>
        </w:rPr>
        <w:t>is</w:t>
      </w:r>
      <w:r w:rsidR="00BB64DF">
        <w:rPr>
          <w:rFonts w:ascii="Times New Roman" w:hAnsi="Times New Roman"/>
          <w:sz w:val="24"/>
        </w:rPr>
        <w:t>average</w:t>
      </w:r>
      <w:proofErr w:type="spellEnd"/>
      <w:r w:rsidRPr="00C76503">
        <w:rPr>
          <w:rFonts w:ascii="Times New Roman" w:hAnsi="Times New Roman"/>
          <w:sz w:val="24"/>
        </w:rPr>
        <w:t xml:space="preserve"> (Score C) </w:t>
      </w:r>
      <w:r w:rsidR="00BB64DF">
        <w:rPr>
          <w:rFonts w:ascii="Times New Roman" w:hAnsi="Times New Roman"/>
          <w:sz w:val="24"/>
        </w:rPr>
        <w:t>but</w:t>
      </w:r>
      <w:r w:rsidRPr="00C76503">
        <w:rPr>
          <w:rFonts w:ascii="Times New Roman" w:hAnsi="Times New Roman"/>
          <w:sz w:val="24"/>
        </w:rPr>
        <w:t xml:space="preserve"> information on s</w:t>
      </w:r>
      <w:r w:rsidR="002441BD">
        <w:rPr>
          <w:rFonts w:ascii="Times New Roman" w:hAnsi="Times New Roman"/>
          <w:sz w:val="24"/>
        </w:rPr>
        <w:t xml:space="preserve">pending by function is absent. </w:t>
      </w:r>
      <w:r w:rsidR="00BB64DF">
        <w:rPr>
          <w:rFonts w:ascii="Times New Roman" w:hAnsi="Times New Roman"/>
          <w:sz w:val="24"/>
        </w:rPr>
        <w:t xml:space="preserve">Disclosure </w:t>
      </w:r>
      <w:proofErr w:type="spellStart"/>
      <w:r w:rsidR="00BB64DF">
        <w:rPr>
          <w:rFonts w:ascii="Times New Roman" w:hAnsi="Times New Roman"/>
          <w:sz w:val="24"/>
        </w:rPr>
        <w:t>of</w:t>
      </w:r>
      <w:r w:rsidRPr="00C76503">
        <w:rPr>
          <w:rFonts w:ascii="Times New Roman" w:hAnsi="Times New Roman"/>
          <w:sz w:val="24"/>
        </w:rPr>
        <w:t>budgetary</w:t>
      </w:r>
      <w:proofErr w:type="spellEnd"/>
      <w:r w:rsidRPr="00C76503">
        <w:rPr>
          <w:rFonts w:ascii="Times New Roman" w:hAnsi="Times New Roman"/>
          <w:sz w:val="24"/>
        </w:rPr>
        <w:t xml:space="preserve"> information</w:t>
      </w:r>
      <w:r w:rsidR="00BB64DF">
        <w:rPr>
          <w:rFonts w:ascii="Times New Roman" w:hAnsi="Times New Roman"/>
          <w:sz w:val="24"/>
        </w:rPr>
        <w:t xml:space="preserve"> to the public is very limited</w:t>
      </w:r>
      <w:r w:rsidRPr="00C76503">
        <w:rPr>
          <w:rFonts w:ascii="Times New Roman" w:hAnsi="Times New Roman"/>
          <w:sz w:val="24"/>
        </w:rPr>
        <w:t xml:space="preserve"> (Score D) as well as fiscal information (Score D), despite visible efforts by MoF to produce and publish fiscal reports, key information is still not accessible to the public in a comprehensive and timely manner and budget documentation is far from comprehensive. </w:t>
      </w:r>
    </w:p>
    <w:p w14:paraId="2570067E" w14:textId="77777777" w:rsidR="00E12685" w:rsidRPr="00C76503" w:rsidRDefault="00E12685" w:rsidP="00051023">
      <w:pPr>
        <w:pStyle w:val="ListParagraph"/>
        <w:numPr>
          <w:ilvl w:val="0"/>
          <w:numId w:val="91"/>
        </w:numPr>
        <w:spacing w:after="240"/>
        <w:ind w:left="0"/>
        <w:contextualSpacing w:val="0"/>
        <w:rPr>
          <w:rFonts w:ascii="Times New Roman" w:hAnsi="Times New Roman"/>
          <w:sz w:val="24"/>
        </w:rPr>
      </w:pPr>
      <w:r w:rsidRPr="00C76503">
        <w:rPr>
          <w:rFonts w:ascii="Times New Roman" w:hAnsi="Times New Roman"/>
          <w:b/>
          <w:sz w:val="24"/>
        </w:rPr>
        <w:t>Financial reporting captures all central government revenue and expenditure in the budgetary system</w:t>
      </w:r>
      <w:r w:rsidRPr="00C76503">
        <w:rPr>
          <w:rFonts w:ascii="Times New Roman" w:hAnsi="Times New Roman"/>
          <w:sz w:val="24"/>
        </w:rPr>
        <w:t>. However</w:t>
      </w:r>
      <w:r w:rsidR="00F9206C">
        <w:rPr>
          <w:rFonts w:ascii="Times New Roman" w:hAnsi="Times New Roman"/>
          <w:sz w:val="24"/>
        </w:rPr>
        <w:t>,</w:t>
      </w:r>
      <w:r w:rsidRPr="00C76503">
        <w:rPr>
          <w:rFonts w:ascii="Times New Roman" w:hAnsi="Times New Roman"/>
          <w:sz w:val="24"/>
        </w:rPr>
        <w:t xml:space="preserve"> extra-budgetary funds are managed separately (Score D).</w:t>
      </w:r>
      <w:r w:rsidRPr="00C76503">
        <w:rPr>
          <w:rFonts w:ascii="Times New Roman" w:hAnsi="Times New Roman"/>
          <w:b/>
          <w:sz w:val="24"/>
        </w:rPr>
        <w:t xml:space="preserve"> </w:t>
      </w:r>
      <w:r w:rsidRPr="00C76503">
        <w:rPr>
          <w:rFonts w:ascii="Times New Roman" w:hAnsi="Times New Roman"/>
          <w:sz w:val="24"/>
        </w:rPr>
        <w:t xml:space="preserve">From the available evidence, intergovernmental transfers </w:t>
      </w:r>
      <w:r w:rsidR="00BB64DF">
        <w:rPr>
          <w:rFonts w:ascii="Times New Roman" w:hAnsi="Times New Roman"/>
          <w:sz w:val="24"/>
        </w:rPr>
        <w:t xml:space="preserve">from central government and provinces to the districts </w:t>
      </w:r>
      <w:r>
        <w:rPr>
          <w:rFonts w:ascii="Times New Roman" w:hAnsi="Times New Roman"/>
          <w:sz w:val="24"/>
        </w:rPr>
        <w:t xml:space="preserve">are not allocated through </w:t>
      </w:r>
      <w:r w:rsidRPr="00C76503">
        <w:rPr>
          <w:rFonts w:ascii="Times New Roman" w:hAnsi="Times New Roman"/>
          <w:sz w:val="24"/>
        </w:rPr>
        <w:t xml:space="preserve">any sharing formulae </w:t>
      </w:r>
      <w:r w:rsidR="00841B20">
        <w:rPr>
          <w:rFonts w:ascii="Times New Roman" w:hAnsi="Times New Roman"/>
          <w:sz w:val="24"/>
        </w:rPr>
        <w:t xml:space="preserve">and there is no subnational government structure in place </w:t>
      </w:r>
      <w:r w:rsidRPr="00C76503">
        <w:rPr>
          <w:rFonts w:ascii="Times New Roman" w:hAnsi="Times New Roman"/>
          <w:sz w:val="24"/>
        </w:rPr>
        <w:t xml:space="preserve">(Score </w:t>
      </w:r>
      <w:r w:rsidR="00BB64DF">
        <w:rPr>
          <w:rFonts w:ascii="Times New Roman" w:hAnsi="Times New Roman"/>
          <w:sz w:val="24"/>
        </w:rPr>
        <w:t>NA</w:t>
      </w:r>
      <w:r w:rsidRPr="00C76503">
        <w:rPr>
          <w:rFonts w:ascii="Times New Roman" w:hAnsi="Times New Roman"/>
          <w:b/>
          <w:sz w:val="24"/>
        </w:rPr>
        <w:t xml:space="preserve">). </w:t>
      </w:r>
      <w:r w:rsidRPr="00C76503">
        <w:rPr>
          <w:rFonts w:ascii="Times New Roman" w:hAnsi="Times New Roman"/>
          <w:sz w:val="24"/>
        </w:rPr>
        <w:t xml:space="preserve">Information does not </w:t>
      </w:r>
      <w:r>
        <w:rPr>
          <w:rFonts w:ascii="Times New Roman" w:hAnsi="Times New Roman"/>
          <w:sz w:val="24"/>
        </w:rPr>
        <w:t xml:space="preserve">adequately </w:t>
      </w:r>
      <w:r w:rsidRPr="00C76503">
        <w:rPr>
          <w:rFonts w:ascii="Times New Roman" w:hAnsi="Times New Roman"/>
          <w:sz w:val="24"/>
        </w:rPr>
        <w:t xml:space="preserve">capture performance </w:t>
      </w:r>
      <w:r>
        <w:rPr>
          <w:rFonts w:ascii="Times New Roman" w:hAnsi="Times New Roman"/>
          <w:sz w:val="24"/>
        </w:rPr>
        <w:t xml:space="preserve">at the planning or </w:t>
      </w:r>
      <w:r w:rsidR="00BB64DF">
        <w:rPr>
          <w:rFonts w:ascii="Times New Roman" w:hAnsi="Times New Roman"/>
          <w:sz w:val="24"/>
        </w:rPr>
        <w:t>implementation</w:t>
      </w:r>
      <w:r>
        <w:rPr>
          <w:rFonts w:ascii="Times New Roman" w:hAnsi="Times New Roman"/>
          <w:sz w:val="24"/>
        </w:rPr>
        <w:t xml:space="preserve"> stages (Score D).</w:t>
      </w:r>
    </w:p>
    <w:p w14:paraId="55B5D169" w14:textId="77777777" w:rsidR="00E12685" w:rsidRPr="00051023" w:rsidRDefault="00E12685" w:rsidP="00051023">
      <w:pPr>
        <w:spacing w:after="240"/>
        <w:ind w:left="0"/>
        <w:rPr>
          <w:rFonts w:ascii="Times New Roman" w:hAnsi="Times New Roman"/>
          <w:b/>
          <w:color w:val="0070C0"/>
          <w:sz w:val="24"/>
        </w:rPr>
      </w:pPr>
      <w:r w:rsidRPr="00051023">
        <w:rPr>
          <w:rFonts w:ascii="Times New Roman" w:hAnsi="Times New Roman"/>
          <w:b/>
          <w:color w:val="0070C0"/>
          <w:sz w:val="24"/>
        </w:rPr>
        <w:t xml:space="preserve">Management of Assets and Liabilities </w:t>
      </w:r>
    </w:p>
    <w:p w14:paraId="3B2F877B" w14:textId="77777777" w:rsidR="00E12685" w:rsidRPr="00E226BA" w:rsidRDefault="00E12685" w:rsidP="00051023">
      <w:pPr>
        <w:pStyle w:val="m-3890428515230460223msoplaintext"/>
        <w:numPr>
          <w:ilvl w:val="0"/>
          <w:numId w:val="91"/>
        </w:numPr>
        <w:shd w:val="clear" w:color="auto" w:fill="FFFFFF"/>
        <w:spacing w:before="240" w:beforeAutospacing="0" w:after="240" w:afterAutospacing="0"/>
        <w:ind w:left="0"/>
        <w:jc w:val="both"/>
        <w:rPr>
          <w:lang w:val="en-MY"/>
        </w:rPr>
      </w:pPr>
      <w:r w:rsidRPr="00E226BA">
        <w:rPr>
          <w:b/>
        </w:rPr>
        <w:lastRenderedPageBreak/>
        <w:t xml:space="preserve">Arrangements for the effective management of assets and </w:t>
      </w:r>
      <w:r w:rsidR="002441BD">
        <w:rPr>
          <w:b/>
        </w:rPr>
        <w:t>liabilities are generally weak.</w:t>
      </w:r>
      <w:r w:rsidRPr="00E226BA">
        <w:rPr>
          <w:b/>
        </w:rPr>
        <w:t xml:space="preserve"> </w:t>
      </w:r>
      <w:r w:rsidRPr="00E226BA">
        <w:rPr>
          <w:lang w:val="en-MY"/>
        </w:rPr>
        <w:t>Weak management systems and controls over fiscal reporting (Score D</w:t>
      </w:r>
      <w:r w:rsidR="00841B20">
        <w:rPr>
          <w:lang w:val="en-MY"/>
        </w:rPr>
        <w:t>+</w:t>
      </w:r>
      <w:r w:rsidRPr="00E226BA">
        <w:rPr>
          <w:lang w:val="en-MY"/>
        </w:rPr>
        <w:t xml:space="preserve">) and over public investment (Score D) and </w:t>
      </w:r>
      <w:r>
        <w:rPr>
          <w:lang w:val="en-MY"/>
        </w:rPr>
        <w:t>have generated</w:t>
      </w:r>
      <w:r w:rsidRPr="00E226BA">
        <w:rPr>
          <w:lang w:val="en-MY"/>
        </w:rPr>
        <w:t xml:space="preserve"> significant fiscal risks and unbalance to the central government budget. Apart from infrastructure works in progress, the Government owns a vast range of financial assets and physical (</w:t>
      </w:r>
      <w:proofErr w:type="spellStart"/>
      <w:proofErr w:type="gramStart"/>
      <w:r w:rsidRPr="00E226BA">
        <w:rPr>
          <w:lang w:val="en-MY"/>
        </w:rPr>
        <w:t>non financial</w:t>
      </w:r>
      <w:proofErr w:type="spellEnd"/>
      <w:proofErr w:type="gramEnd"/>
      <w:r w:rsidRPr="00E226BA">
        <w:rPr>
          <w:lang w:val="en-MY"/>
        </w:rPr>
        <w:t>) assets</w:t>
      </w:r>
      <w:r>
        <w:rPr>
          <w:lang w:val="en-MY"/>
        </w:rPr>
        <w:t xml:space="preserve"> but the overall management is week (Score D+)</w:t>
      </w:r>
      <w:r w:rsidRPr="00E226BA">
        <w:rPr>
          <w:lang w:val="en-MY"/>
        </w:rPr>
        <w:t>. Debt records are accurate and monitored by IMF and WB based on the DMFAS records, but all decisions and reports or records on issue of domestic debt or granting of guarantees are kept internal</w:t>
      </w:r>
      <w:r>
        <w:rPr>
          <w:lang w:val="en-MY"/>
        </w:rPr>
        <w:t xml:space="preserve"> (Score D+)</w:t>
      </w:r>
      <w:r w:rsidRPr="00E226BA">
        <w:rPr>
          <w:lang w:val="en-MY"/>
        </w:rPr>
        <w:t xml:space="preserve">. </w:t>
      </w:r>
    </w:p>
    <w:p w14:paraId="296D4776" w14:textId="77777777" w:rsidR="00E12685" w:rsidRPr="00051023" w:rsidRDefault="00E12685" w:rsidP="00051023">
      <w:pPr>
        <w:spacing w:after="240"/>
        <w:ind w:left="0"/>
        <w:rPr>
          <w:rFonts w:ascii="Times New Roman" w:hAnsi="Times New Roman"/>
          <w:b/>
          <w:color w:val="0070C0"/>
          <w:sz w:val="24"/>
        </w:rPr>
      </w:pPr>
      <w:r w:rsidRPr="00051023">
        <w:rPr>
          <w:rFonts w:ascii="Times New Roman" w:hAnsi="Times New Roman"/>
          <w:b/>
          <w:color w:val="0070C0"/>
          <w:sz w:val="24"/>
        </w:rPr>
        <w:t xml:space="preserve">Policy-based fiscal strategy and budgeting </w:t>
      </w:r>
    </w:p>
    <w:p w14:paraId="605B422C" w14:textId="77777777" w:rsidR="00E12685" w:rsidRDefault="00E12685" w:rsidP="00051023">
      <w:pPr>
        <w:pStyle w:val="ListParagraph"/>
        <w:numPr>
          <w:ilvl w:val="0"/>
          <w:numId w:val="91"/>
        </w:numPr>
        <w:spacing w:after="240"/>
        <w:ind w:left="0"/>
        <w:contextualSpacing w:val="0"/>
        <w:rPr>
          <w:rFonts w:ascii="Times New Roman" w:hAnsi="Times New Roman"/>
          <w:sz w:val="24"/>
          <w:lang w:val="en-MY" w:eastAsia="fr-FR"/>
        </w:rPr>
      </w:pPr>
      <w:r w:rsidRPr="000E743F">
        <w:rPr>
          <w:rFonts w:ascii="Times New Roman" w:hAnsi="Times New Roman"/>
          <w:b/>
          <w:sz w:val="24"/>
          <w:lang w:val="en-MY" w:eastAsia="fr-FR"/>
        </w:rPr>
        <w:t xml:space="preserve">The government lack institutional capacity to perform sound macroeconomic and fiscal forecasts and adopt instruments and fiscal rules that would support a sustainable fiscal strategy. </w:t>
      </w:r>
      <w:r w:rsidRPr="000E743F">
        <w:rPr>
          <w:rFonts w:ascii="Times New Roman" w:hAnsi="Times New Roman"/>
          <w:sz w:val="24"/>
          <w:lang w:val="en-MY" w:eastAsia="fr-FR"/>
        </w:rPr>
        <w:t>Macroeconomic and fiscal forecasting capacity remains weak (Score D+) and there is a lack of an effecti</w:t>
      </w:r>
      <w:r w:rsidR="002441BD">
        <w:rPr>
          <w:rFonts w:ascii="Times New Roman" w:hAnsi="Times New Roman"/>
          <w:sz w:val="24"/>
          <w:lang w:val="en-MY" w:eastAsia="fr-FR"/>
        </w:rPr>
        <w:t xml:space="preserve">ve fiscal strategy (Score D+). </w:t>
      </w:r>
      <w:r w:rsidRPr="000E743F">
        <w:rPr>
          <w:rFonts w:ascii="Times New Roman" w:hAnsi="Times New Roman"/>
          <w:sz w:val="24"/>
          <w:lang w:val="en-MY" w:eastAsia="fr-FR"/>
        </w:rPr>
        <w:t xml:space="preserve">The </w:t>
      </w:r>
      <w:proofErr w:type="gramStart"/>
      <w:r w:rsidRPr="000E743F">
        <w:rPr>
          <w:rFonts w:ascii="Times New Roman" w:hAnsi="Times New Roman"/>
          <w:sz w:val="24"/>
          <w:lang w:val="en-MY" w:eastAsia="fr-FR"/>
        </w:rPr>
        <w:t>medium term</w:t>
      </w:r>
      <w:proofErr w:type="gramEnd"/>
      <w:r w:rsidRPr="000E743F">
        <w:rPr>
          <w:rFonts w:ascii="Times New Roman" w:hAnsi="Times New Roman"/>
          <w:sz w:val="24"/>
          <w:lang w:val="en-MY" w:eastAsia="fr-FR"/>
        </w:rPr>
        <w:t xml:space="preserve"> fiscal planning instrument and the work initiated in the MTEF with donors’ assistance has yet to produce ceilings for the line ministries but there is no clear obligation or indicative ceiling for the</w:t>
      </w:r>
      <w:r w:rsidR="002441BD">
        <w:rPr>
          <w:rFonts w:ascii="Times New Roman" w:hAnsi="Times New Roman"/>
          <w:sz w:val="24"/>
          <w:lang w:val="en-MY" w:eastAsia="fr-FR"/>
        </w:rPr>
        <w:t xml:space="preserve"> line ministries or provinces</w:t>
      </w:r>
      <w:r w:rsidR="00841B20">
        <w:rPr>
          <w:rFonts w:ascii="Times New Roman" w:hAnsi="Times New Roman"/>
          <w:sz w:val="24"/>
          <w:lang w:val="en-MY" w:eastAsia="fr-FR"/>
        </w:rPr>
        <w:t xml:space="preserve"> (Score D+)</w:t>
      </w:r>
      <w:r w:rsidR="002441BD">
        <w:rPr>
          <w:rFonts w:ascii="Times New Roman" w:hAnsi="Times New Roman"/>
          <w:sz w:val="24"/>
          <w:lang w:val="en-MY" w:eastAsia="fr-FR"/>
        </w:rPr>
        <w:t xml:space="preserve">. </w:t>
      </w:r>
      <w:r w:rsidRPr="000E743F">
        <w:rPr>
          <w:rFonts w:ascii="Times New Roman" w:hAnsi="Times New Roman"/>
          <w:sz w:val="24"/>
          <w:lang w:val="en-MY" w:eastAsia="fr-FR"/>
        </w:rPr>
        <w:t>The lack of linkage between the capital budget and the projections from the PIP and the current expenditure plans is also an issue as the recurrent operational and maintenance costs are not systematically factored into the financial envelope. Budget plans tend to be consistent on a year-to-year basis and aligned to the same strategic Plans. There is little policy change from year to year, apart from restriction on capital investment and political decisions on the mega infrastructure projects (Score D).</w:t>
      </w:r>
    </w:p>
    <w:p w14:paraId="280676B1" w14:textId="77777777" w:rsidR="00E12685" w:rsidRPr="005A5387" w:rsidRDefault="00E12685" w:rsidP="00317B21">
      <w:pPr>
        <w:pStyle w:val="ListParagraph"/>
        <w:numPr>
          <w:ilvl w:val="0"/>
          <w:numId w:val="91"/>
        </w:numPr>
        <w:spacing w:after="200"/>
        <w:ind w:left="0"/>
        <w:contextualSpacing w:val="0"/>
        <w:rPr>
          <w:rFonts w:ascii="Times New Roman" w:hAnsi="Times New Roman"/>
          <w:sz w:val="24"/>
          <w:lang w:val="en-MY" w:eastAsia="fr-FR"/>
        </w:rPr>
      </w:pPr>
      <w:r w:rsidRPr="005A5387">
        <w:rPr>
          <w:rFonts w:ascii="Times New Roman" w:hAnsi="Times New Roman"/>
          <w:b/>
          <w:sz w:val="24"/>
          <w:lang w:val="en-MY" w:eastAsia="fr-FR"/>
        </w:rPr>
        <w:t>The annual MoF instruction and annual cycle of budget submission to the NA provides a clear timeframe for the budget calendar and it is adhered to.</w:t>
      </w:r>
      <w:r w:rsidR="00F9206C">
        <w:rPr>
          <w:rFonts w:ascii="Times New Roman" w:hAnsi="Times New Roman"/>
          <w:sz w:val="24"/>
          <w:lang w:val="en-MY" w:eastAsia="fr-FR"/>
        </w:rPr>
        <w:t xml:space="preserve"> </w:t>
      </w:r>
      <w:r w:rsidRPr="005A5387">
        <w:rPr>
          <w:rFonts w:ascii="Times New Roman" w:hAnsi="Times New Roman"/>
          <w:sz w:val="24"/>
          <w:lang w:val="en-MY" w:eastAsia="fr-FR"/>
        </w:rPr>
        <w:t xml:space="preserve">Line ministries and provinces have limited time to prepare their detailed budget proposal (Score C). The formal submission of the budget documentation (Score A) ensures that the budget is approved before the beginning of the fiscal year (Score A). </w:t>
      </w:r>
      <w:r w:rsidRPr="005A5387">
        <w:rPr>
          <w:rFonts w:ascii="Times New Roman" w:hAnsi="Times New Roman"/>
          <w:sz w:val="24"/>
        </w:rPr>
        <w:t xml:space="preserve">The role of the Planning Finance and Audit Committee is critical in the adoption of the </w:t>
      </w:r>
      <w:r>
        <w:rPr>
          <w:rFonts w:ascii="Times New Roman" w:hAnsi="Times New Roman"/>
          <w:sz w:val="24"/>
        </w:rPr>
        <w:t>budget</w:t>
      </w:r>
      <w:r w:rsidRPr="005A5387">
        <w:rPr>
          <w:rFonts w:ascii="Times New Roman" w:hAnsi="Times New Roman"/>
          <w:sz w:val="24"/>
        </w:rPr>
        <w:t xml:space="preserve"> by NA to provide advice during the budget review </w:t>
      </w:r>
      <w:r w:rsidR="00F9206C" w:rsidRPr="005A5387">
        <w:rPr>
          <w:rFonts w:ascii="Times New Roman" w:hAnsi="Times New Roman"/>
          <w:sz w:val="24"/>
        </w:rPr>
        <w:t>process,</w:t>
      </w:r>
      <w:r>
        <w:rPr>
          <w:rFonts w:ascii="Times New Roman" w:hAnsi="Times New Roman"/>
          <w:sz w:val="24"/>
        </w:rPr>
        <w:t xml:space="preserve"> but the coverage does not extend to detailed expenditure and revenue reviews (Score D)</w:t>
      </w:r>
      <w:r w:rsidRPr="005A5387">
        <w:rPr>
          <w:rFonts w:ascii="Times New Roman" w:hAnsi="Times New Roman"/>
          <w:sz w:val="24"/>
        </w:rPr>
        <w:t xml:space="preserve">.  </w:t>
      </w:r>
    </w:p>
    <w:p w14:paraId="1B041C93" w14:textId="77777777" w:rsidR="00E12685" w:rsidRPr="00051023" w:rsidRDefault="00E12685" w:rsidP="00051023">
      <w:pPr>
        <w:spacing w:after="240"/>
        <w:ind w:left="0"/>
        <w:rPr>
          <w:rFonts w:ascii="Times New Roman" w:hAnsi="Times New Roman"/>
          <w:b/>
          <w:color w:val="0070C0"/>
          <w:sz w:val="24"/>
        </w:rPr>
      </w:pPr>
      <w:r w:rsidRPr="00051023">
        <w:rPr>
          <w:rFonts w:ascii="Times New Roman" w:hAnsi="Times New Roman"/>
          <w:b/>
          <w:color w:val="0070C0"/>
          <w:sz w:val="24"/>
        </w:rPr>
        <w:t>Predictability and Control in Budget Execution</w:t>
      </w:r>
    </w:p>
    <w:p w14:paraId="07C8F6B1" w14:textId="77777777" w:rsidR="00E12685" w:rsidRDefault="00E12685" w:rsidP="00317B21">
      <w:pPr>
        <w:pStyle w:val="ListParagraph"/>
        <w:numPr>
          <w:ilvl w:val="0"/>
          <w:numId w:val="91"/>
        </w:numPr>
        <w:spacing w:after="240"/>
        <w:ind w:left="0"/>
        <w:contextualSpacing w:val="0"/>
        <w:rPr>
          <w:rFonts w:ascii="Times New Roman" w:hAnsi="Times New Roman"/>
          <w:sz w:val="24"/>
        </w:rPr>
      </w:pPr>
      <w:r w:rsidRPr="00302F50">
        <w:rPr>
          <w:rFonts w:ascii="Times New Roman" w:hAnsi="Times New Roman"/>
          <w:b/>
          <w:sz w:val="24"/>
        </w:rPr>
        <w:t>Predictable and controlled budget execution ensure</w:t>
      </w:r>
      <w:r>
        <w:rPr>
          <w:rFonts w:ascii="Times New Roman" w:hAnsi="Times New Roman"/>
          <w:b/>
          <w:sz w:val="24"/>
        </w:rPr>
        <w:t>s</w:t>
      </w:r>
      <w:r w:rsidRPr="00302F50">
        <w:rPr>
          <w:rFonts w:ascii="Times New Roman" w:hAnsi="Times New Roman"/>
          <w:b/>
          <w:sz w:val="24"/>
        </w:rPr>
        <w:t xml:space="preserve"> that revenue due and payable is collected, and resources are allocated and used as intended by the government and approved by parliament</w:t>
      </w:r>
      <w:r w:rsidR="002441BD">
        <w:rPr>
          <w:rFonts w:ascii="Times New Roman" w:hAnsi="Times New Roman"/>
          <w:sz w:val="24"/>
        </w:rPr>
        <w:t xml:space="preserve">. </w:t>
      </w:r>
      <w:r w:rsidRPr="00FA6175">
        <w:rPr>
          <w:rFonts w:ascii="Times New Roman" w:hAnsi="Times New Roman"/>
          <w:sz w:val="24"/>
        </w:rPr>
        <w:t>Revenue</w:t>
      </w:r>
      <w:r>
        <w:rPr>
          <w:rFonts w:ascii="Times New Roman" w:hAnsi="Times New Roman"/>
          <w:b/>
          <w:sz w:val="24"/>
        </w:rPr>
        <w:t xml:space="preserve"> </w:t>
      </w:r>
      <w:r>
        <w:rPr>
          <w:rFonts w:ascii="Times New Roman" w:hAnsi="Times New Roman"/>
          <w:sz w:val="24"/>
        </w:rPr>
        <w:t xml:space="preserve">has benefited from the </w:t>
      </w:r>
      <w:r w:rsidRPr="00302F50">
        <w:rPr>
          <w:rFonts w:ascii="Times New Roman" w:hAnsi="Times New Roman"/>
          <w:sz w:val="24"/>
        </w:rPr>
        <w:t xml:space="preserve">Taxpayer Identification Number </w:t>
      </w:r>
      <w:r>
        <w:rPr>
          <w:rFonts w:ascii="Times New Roman" w:hAnsi="Times New Roman"/>
          <w:sz w:val="24"/>
        </w:rPr>
        <w:t>sys</w:t>
      </w:r>
      <w:r w:rsidR="00F9206C">
        <w:rPr>
          <w:rFonts w:ascii="Times New Roman" w:hAnsi="Times New Roman"/>
          <w:sz w:val="24"/>
        </w:rPr>
        <w:t xml:space="preserve">tem that has been established. </w:t>
      </w:r>
      <w:r>
        <w:rPr>
          <w:rFonts w:ascii="Times New Roman" w:hAnsi="Times New Roman"/>
          <w:sz w:val="24"/>
        </w:rPr>
        <w:t>However</w:t>
      </w:r>
      <w:r w:rsidR="00096A50">
        <w:rPr>
          <w:rFonts w:ascii="Times New Roman" w:hAnsi="Times New Roman"/>
          <w:sz w:val="24"/>
        </w:rPr>
        <w:t>,</w:t>
      </w:r>
      <w:r>
        <w:rPr>
          <w:rFonts w:ascii="Times New Roman" w:hAnsi="Times New Roman"/>
          <w:sz w:val="24"/>
        </w:rPr>
        <w:t xml:space="preserve"> though tax information is improving there is still too much discretionary powers in the administration that cause</w:t>
      </w:r>
      <w:r w:rsidR="00F9206C">
        <w:rPr>
          <w:rFonts w:ascii="Times New Roman" w:hAnsi="Times New Roman"/>
          <w:sz w:val="24"/>
        </w:rPr>
        <w:t>s weaknesses (Score D) and risk-</w:t>
      </w:r>
      <w:r>
        <w:rPr>
          <w:rFonts w:ascii="Times New Roman" w:hAnsi="Times New Roman"/>
          <w:sz w:val="24"/>
        </w:rPr>
        <w:t xml:space="preserve">based approach to applying administrative resources are still nascent (Score D).  Tax audit procedures are developing (Score C) as a </w:t>
      </w:r>
      <w:r w:rsidRPr="00302F50">
        <w:rPr>
          <w:rFonts w:ascii="Times New Roman" w:hAnsi="Times New Roman"/>
          <w:sz w:val="24"/>
        </w:rPr>
        <w:t xml:space="preserve">targeted compliance risk management plan has recently </w:t>
      </w:r>
      <w:r>
        <w:rPr>
          <w:rFonts w:ascii="Times New Roman" w:hAnsi="Times New Roman"/>
          <w:sz w:val="24"/>
        </w:rPr>
        <w:t>been built around a</w:t>
      </w:r>
      <w:r w:rsidRPr="00302F50">
        <w:rPr>
          <w:rFonts w:ascii="Times New Roman" w:hAnsi="Times New Roman"/>
          <w:sz w:val="24"/>
        </w:rPr>
        <w:t xml:space="preserve"> L</w:t>
      </w:r>
      <w:r>
        <w:rPr>
          <w:rFonts w:ascii="Times New Roman" w:hAnsi="Times New Roman"/>
          <w:sz w:val="24"/>
        </w:rPr>
        <w:t xml:space="preserve">arge </w:t>
      </w:r>
      <w:r w:rsidRPr="00302F50">
        <w:rPr>
          <w:rFonts w:ascii="Times New Roman" w:hAnsi="Times New Roman"/>
          <w:sz w:val="24"/>
        </w:rPr>
        <w:t>T</w:t>
      </w:r>
      <w:r>
        <w:rPr>
          <w:rFonts w:ascii="Times New Roman" w:hAnsi="Times New Roman"/>
          <w:sz w:val="24"/>
        </w:rPr>
        <w:t xml:space="preserve">axpayer </w:t>
      </w:r>
      <w:r w:rsidRPr="00302F50">
        <w:rPr>
          <w:rFonts w:ascii="Times New Roman" w:hAnsi="Times New Roman"/>
          <w:sz w:val="24"/>
        </w:rPr>
        <w:t>U</w:t>
      </w:r>
      <w:r>
        <w:rPr>
          <w:rFonts w:ascii="Times New Roman" w:hAnsi="Times New Roman"/>
          <w:sz w:val="24"/>
        </w:rPr>
        <w:t>nit</w:t>
      </w:r>
      <w:r w:rsidRPr="00302F50">
        <w:rPr>
          <w:rFonts w:ascii="Times New Roman" w:hAnsi="Times New Roman"/>
          <w:sz w:val="24"/>
        </w:rPr>
        <w:t>s. The monitoring and the ageing of arrears is complex due to the definition of collectability of tax obligations, and penalties open to negotiations between compani</w:t>
      </w:r>
      <w:r w:rsidR="00F9206C">
        <w:rPr>
          <w:rFonts w:ascii="Times New Roman" w:hAnsi="Times New Roman"/>
          <w:sz w:val="24"/>
        </w:rPr>
        <w:t xml:space="preserve">es and the Tax administration. </w:t>
      </w:r>
      <w:r w:rsidRPr="00302F50">
        <w:rPr>
          <w:rFonts w:ascii="Times New Roman" w:hAnsi="Times New Roman"/>
          <w:sz w:val="24"/>
        </w:rPr>
        <w:t xml:space="preserve">Formal alignment to international standards in the customs administration </w:t>
      </w:r>
      <w:r>
        <w:rPr>
          <w:rFonts w:ascii="Times New Roman" w:hAnsi="Times New Roman"/>
          <w:sz w:val="24"/>
        </w:rPr>
        <w:t xml:space="preserve">has </w:t>
      </w:r>
      <w:r w:rsidRPr="00302F50">
        <w:rPr>
          <w:rFonts w:ascii="Times New Roman" w:hAnsi="Times New Roman"/>
          <w:sz w:val="24"/>
        </w:rPr>
        <w:t xml:space="preserve">started </w:t>
      </w:r>
      <w:r>
        <w:rPr>
          <w:rFonts w:ascii="Times New Roman" w:hAnsi="Times New Roman"/>
          <w:sz w:val="24"/>
        </w:rPr>
        <w:t>with the implementation of ASYCUDA World.</w:t>
      </w:r>
    </w:p>
    <w:p w14:paraId="43AC9C1F" w14:textId="77777777" w:rsidR="00E12685" w:rsidRDefault="00E12685" w:rsidP="00317B21">
      <w:pPr>
        <w:pStyle w:val="ListParagraph"/>
        <w:numPr>
          <w:ilvl w:val="0"/>
          <w:numId w:val="91"/>
        </w:numPr>
        <w:spacing w:after="200"/>
        <w:ind w:left="0"/>
        <w:contextualSpacing w:val="0"/>
        <w:rPr>
          <w:rFonts w:ascii="Times New Roman" w:hAnsi="Times New Roman"/>
          <w:sz w:val="24"/>
        </w:rPr>
      </w:pPr>
      <w:r w:rsidRPr="001B4EAE">
        <w:rPr>
          <w:rFonts w:ascii="Times New Roman" w:hAnsi="Times New Roman"/>
          <w:b/>
          <w:sz w:val="24"/>
        </w:rPr>
        <w:t xml:space="preserve">Accounting and reporting for revenue </w:t>
      </w:r>
      <w:r w:rsidR="00841B20">
        <w:rPr>
          <w:rFonts w:ascii="Times New Roman" w:hAnsi="Times New Roman"/>
          <w:b/>
          <w:sz w:val="24"/>
        </w:rPr>
        <w:t>are</w:t>
      </w:r>
      <w:r w:rsidRPr="001B4EAE">
        <w:rPr>
          <w:rFonts w:ascii="Times New Roman" w:hAnsi="Times New Roman"/>
          <w:b/>
          <w:sz w:val="24"/>
        </w:rPr>
        <w:t xml:space="preserve"> still hampered by the lack of an integrated treasury cash and expenditure management function. </w:t>
      </w:r>
      <w:r w:rsidRPr="001B4EAE">
        <w:rPr>
          <w:rFonts w:ascii="Times New Roman" w:hAnsi="Times New Roman"/>
          <w:sz w:val="24"/>
        </w:rPr>
        <w:t xml:space="preserve">The TSA system </w:t>
      </w:r>
      <w:r w:rsidRPr="001B4EAE">
        <w:rPr>
          <w:rFonts w:ascii="Times New Roman" w:hAnsi="Times New Roman"/>
          <w:sz w:val="24"/>
        </w:rPr>
        <w:lastRenderedPageBreak/>
        <w:t xml:space="preserve">centralizes most of the resources collected by the central government and supports </w:t>
      </w:r>
      <w:r w:rsidR="00841B20">
        <w:rPr>
          <w:rFonts w:ascii="Times New Roman" w:hAnsi="Times New Roman"/>
          <w:sz w:val="24"/>
        </w:rPr>
        <w:t xml:space="preserve">daily and </w:t>
      </w:r>
      <w:r w:rsidRPr="001B4EAE">
        <w:rPr>
          <w:rFonts w:ascii="Times New Roman" w:hAnsi="Times New Roman"/>
          <w:sz w:val="24"/>
        </w:rPr>
        <w:t xml:space="preserve">weekly consolidation of cash positions, including all revenue collections (Score </w:t>
      </w:r>
      <w:r w:rsidR="00841B20">
        <w:rPr>
          <w:rFonts w:ascii="Times New Roman" w:hAnsi="Times New Roman"/>
          <w:sz w:val="24"/>
        </w:rPr>
        <w:t>B</w:t>
      </w:r>
      <w:r w:rsidRPr="001B4EAE">
        <w:rPr>
          <w:rFonts w:ascii="Times New Roman" w:hAnsi="Times New Roman"/>
          <w:sz w:val="24"/>
        </w:rPr>
        <w:t xml:space="preserve">) but does not cover all government operations. The Treasury manages all payments against the ceilings defined from the approved state budget (Score D+). Control over expenditure arrears is at the time of the closure of the accounts, when unpaid obligations </w:t>
      </w:r>
      <w:proofErr w:type="gramStart"/>
      <w:r w:rsidRPr="001B4EAE">
        <w:rPr>
          <w:rFonts w:ascii="Times New Roman" w:hAnsi="Times New Roman"/>
          <w:sz w:val="24"/>
        </w:rPr>
        <w:t>have to</w:t>
      </w:r>
      <w:proofErr w:type="gramEnd"/>
      <w:r w:rsidRPr="001B4EAE">
        <w:rPr>
          <w:rFonts w:ascii="Times New Roman" w:hAnsi="Times New Roman"/>
          <w:sz w:val="24"/>
        </w:rPr>
        <w:t xml:space="preserve"> be authorized (Score D) and requires much improved commitment contro</w:t>
      </w:r>
      <w:r w:rsidR="002441BD">
        <w:rPr>
          <w:rFonts w:ascii="Times New Roman" w:hAnsi="Times New Roman"/>
          <w:sz w:val="24"/>
        </w:rPr>
        <w:t xml:space="preserve">l (Score D) to be effective. </w:t>
      </w:r>
      <w:r w:rsidRPr="001B4EAE">
        <w:rPr>
          <w:rFonts w:ascii="Times New Roman" w:hAnsi="Times New Roman"/>
          <w:sz w:val="24"/>
        </w:rPr>
        <w:t>The general weakness in reporting on budget execution due to the limited GFIS coverage and inconsistent classification framework makes it difficult to establish the extent of the in-year budget re-allocation but in general mid-year budget revisions have been required to adjust to overestimated revenue forecasts (Score C) but these are transparently administered.</w:t>
      </w:r>
    </w:p>
    <w:p w14:paraId="4FEE3777" w14:textId="77777777" w:rsidR="00E12685" w:rsidRDefault="00E12685" w:rsidP="00317B21">
      <w:pPr>
        <w:pStyle w:val="ListParagraph"/>
        <w:numPr>
          <w:ilvl w:val="0"/>
          <w:numId w:val="91"/>
        </w:numPr>
        <w:spacing w:after="200"/>
        <w:ind w:left="0"/>
        <w:contextualSpacing w:val="0"/>
        <w:rPr>
          <w:rFonts w:ascii="Times New Roman" w:hAnsi="Times New Roman"/>
          <w:sz w:val="24"/>
        </w:rPr>
      </w:pPr>
      <w:r w:rsidRPr="001B4EAE">
        <w:rPr>
          <w:rFonts w:ascii="Times New Roman" w:hAnsi="Times New Roman"/>
          <w:b/>
          <w:sz w:val="24"/>
        </w:rPr>
        <w:t xml:space="preserve">Payroll and procurement functions, and related internal controls, are fully decentralized to the line ministries and provinces and suffer from a lack of integration and consolidation of information systems. </w:t>
      </w:r>
      <w:r w:rsidRPr="001B4EAE">
        <w:rPr>
          <w:rFonts w:ascii="Times New Roman" w:hAnsi="Times New Roman"/>
          <w:sz w:val="24"/>
        </w:rPr>
        <w:t>Payroll management (overall Score D+) suffers from a lack of coverage – it is not rolled out at the provincial level yet - and integration of MOHA’s Personnel Information Management System (PIMS) with MOF GFIS. Salaries and wages to employees are disbursed through, with the personnel records held by each line ministry and con</w:t>
      </w:r>
      <w:r w:rsidR="002441BD">
        <w:rPr>
          <w:rFonts w:ascii="Times New Roman" w:hAnsi="Times New Roman"/>
          <w:sz w:val="24"/>
        </w:rPr>
        <w:t xml:space="preserve">trolled through MOHA database. </w:t>
      </w:r>
      <w:r w:rsidRPr="001B4EAE">
        <w:rPr>
          <w:rFonts w:ascii="Times New Roman" w:hAnsi="Times New Roman"/>
          <w:sz w:val="24"/>
        </w:rPr>
        <w:t>Data reliability is a main issue as reconciliation between the systems is undertaken manually and depends on each line ministry (Score C). Payroll audits are the mandate of the SAO but a systematic and or comprehensive payroll audit has yet to take place (Score D).</w:t>
      </w:r>
    </w:p>
    <w:p w14:paraId="00D2A0C8" w14:textId="77777777" w:rsidR="00E12685" w:rsidRDefault="00E12685" w:rsidP="00317B21">
      <w:pPr>
        <w:pStyle w:val="ListParagraph"/>
        <w:numPr>
          <w:ilvl w:val="0"/>
          <w:numId w:val="91"/>
        </w:numPr>
        <w:spacing w:after="200"/>
        <w:ind w:left="0"/>
        <w:contextualSpacing w:val="0"/>
        <w:rPr>
          <w:rFonts w:ascii="Times New Roman" w:hAnsi="Times New Roman"/>
          <w:sz w:val="24"/>
        </w:rPr>
      </w:pPr>
      <w:r w:rsidRPr="001B4EAE">
        <w:rPr>
          <w:rFonts w:ascii="Times New Roman" w:hAnsi="Times New Roman"/>
          <w:b/>
          <w:sz w:val="24"/>
        </w:rPr>
        <w:t xml:space="preserve">Procurement systems suffer from a lack of central monitoring and reporting.  </w:t>
      </w:r>
      <w:r w:rsidRPr="001B4EAE">
        <w:rPr>
          <w:rFonts w:ascii="Times New Roman" w:hAnsi="Times New Roman"/>
          <w:sz w:val="24"/>
        </w:rPr>
        <w:t>All procurement operations are managed directly by implementing departments of each line ministry and provinces. The Procurement division within the MoF Budget department is responsible for the integration of data, and the consolidation of reliable and useful information on procurement processes but has no effec</w:t>
      </w:r>
      <w:r w:rsidR="002441BD">
        <w:rPr>
          <w:rFonts w:ascii="Times New Roman" w:hAnsi="Times New Roman"/>
          <w:sz w:val="24"/>
        </w:rPr>
        <w:t xml:space="preserve">tive access to data (Score D). </w:t>
      </w:r>
      <w:r w:rsidRPr="001B4EAE">
        <w:rPr>
          <w:rFonts w:ascii="Times New Roman" w:hAnsi="Times New Roman"/>
          <w:sz w:val="24"/>
        </w:rPr>
        <w:t>There is no reliable way to estimate the enforcement of procurement legal provisions and use of competitive procurement methods (Score D). The new Procurement Law enacted in October 2017 is broadly aligned to international standards and practices but requires detailed implementation regulations to become effective and fully compliant. The lack of available data on procurement operations at all levels, including provinces (Score D) and absence of an independent administrative complaint mechanism or appeals process for the resolution of complaints impacts the performance of the indicator (Score D).</w:t>
      </w:r>
    </w:p>
    <w:p w14:paraId="2B6ED640" w14:textId="77777777" w:rsidR="00E12685" w:rsidRPr="001B4EAE" w:rsidRDefault="00E12685" w:rsidP="00317B21">
      <w:pPr>
        <w:pStyle w:val="ListParagraph"/>
        <w:numPr>
          <w:ilvl w:val="0"/>
          <w:numId w:val="91"/>
        </w:numPr>
        <w:spacing w:after="200"/>
        <w:ind w:left="0"/>
        <w:contextualSpacing w:val="0"/>
        <w:rPr>
          <w:rFonts w:ascii="Times New Roman" w:hAnsi="Times New Roman"/>
          <w:sz w:val="24"/>
        </w:rPr>
      </w:pPr>
      <w:r w:rsidRPr="001B4EAE">
        <w:rPr>
          <w:rFonts w:ascii="Times New Roman" w:hAnsi="Times New Roman"/>
          <w:b/>
          <w:sz w:val="24"/>
        </w:rPr>
        <w:t xml:space="preserve">The internal control framework is defined with segregation of duties and authorization levels assigned to top management level. </w:t>
      </w:r>
      <w:r w:rsidR="00122E41">
        <w:rPr>
          <w:rFonts w:ascii="Times New Roman" w:hAnsi="Times New Roman"/>
          <w:sz w:val="24"/>
        </w:rPr>
        <w:t xml:space="preserve">Compliance with existing rules and procedures is effective (Score B). </w:t>
      </w:r>
      <w:r w:rsidRPr="001B4EAE">
        <w:rPr>
          <w:rFonts w:ascii="Times New Roman" w:hAnsi="Times New Roman"/>
          <w:sz w:val="24"/>
        </w:rPr>
        <w:t xml:space="preserve">The internal audit function, through the Inspectorate departments is effectively in place in all spending agencies under the authority of the respective minister, </w:t>
      </w:r>
      <w:r w:rsidR="00122E41">
        <w:rPr>
          <w:rFonts w:ascii="Times New Roman" w:hAnsi="Times New Roman"/>
          <w:sz w:val="24"/>
        </w:rPr>
        <w:t xml:space="preserve">with a mandate </w:t>
      </w:r>
      <w:r w:rsidRPr="001B4EAE">
        <w:rPr>
          <w:rFonts w:ascii="Times New Roman" w:hAnsi="Times New Roman"/>
          <w:sz w:val="24"/>
        </w:rPr>
        <w:t>covering 100 percent of government expenditures and revenues but resources and capacity are not sufficient</w:t>
      </w:r>
      <w:r w:rsidR="00841B20">
        <w:rPr>
          <w:rFonts w:ascii="Times New Roman" w:hAnsi="Times New Roman"/>
          <w:sz w:val="24"/>
        </w:rPr>
        <w:t xml:space="preserve"> and </w:t>
      </w:r>
      <w:r w:rsidR="00122E41">
        <w:rPr>
          <w:rFonts w:ascii="Times New Roman" w:hAnsi="Times New Roman"/>
          <w:sz w:val="24"/>
        </w:rPr>
        <w:t xml:space="preserve">systems in place are </w:t>
      </w:r>
      <w:proofErr w:type="gramStart"/>
      <w:r w:rsidR="00122E41">
        <w:rPr>
          <w:rFonts w:ascii="Times New Roman" w:hAnsi="Times New Roman"/>
          <w:sz w:val="24"/>
        </w:rPr>
        <w:t>weak</w:t>
      </w:r>
      <w:r w:rsidRPr="001B4EAE">
        <w:rPr>
          <w:rFonts w:ascii="Times New Roman" w:hAnsi="Times New Roman"/>
          <w:sz w:val="24"/>
        </w:rPr>
        <w:t>(</w:t>
      </w:r>
      <w:proofErr w:type="gramEnd"/>
      <w:r>
        <w:rPr>
          <w:rFonts w:ascii="Times New Roman" w:hAnsi="Times New Roman"/>
          <w:sz w:val="24"/>
        </w:rPr>
        <w:t>Score D</w:t>
      </w:r>
      <w:r w:rsidRPr="001B4EAE">
        <w:rPr>
          <w:rFonts w:ascii="Times New Roman" w:hAnsi="Times New Roman"/>
          <w:sz w:val="24"/>
        </w:rPr>
        <w:t>).</w:t>
      </w:r>
      <w:r w:rsidRPr="001B4EAE">
        <w:rPr>
          <w:rFonts w:ascii="Times New Roman" w:hAnsi="Times New Roman"/>
          <w:b/>
          <w:sz w:val="24"/>
        </w:rPr>
        <w:t xml:space="preserve"> </w:t>
      </w:r>
      <w:r w:rsidRPr="001B4EAE">
        <w:rPr>
          <w:rFonts w:ascii="Times New Roman" w:hAnsi="Times New Roman"/>
          <w:sz w:val="24"/>
        </w:rPr>
        <w:t>The lack of standards and training reduces the effectiveness of the internal audit function, mostly devoted to compliance-related checks. Internal audit plans and reports are implemented, but findings are not followed up in a consist</w:t>
      </w:r>
      <w:r>
        <w:rPr>
          <w:rFonts w:ascii="Times New Roman" w:hAnsi="Times New Roman"/>
          <w:sz w:val="24"/>
        </w:rPr>
        <w:t>ent and effective manner</w:t>
      </w:r>
      <w:r w:rsidRPr="001B4EAE">
        <w:rPr>
          <w:rFonts w:ascii="Times New Roman" w:hAnsi="Times New Roman"/>
          <w:sz w:val="24"/>
        </w:rPr>
        <w:t xml:space="preserve">. </w:t>
      </w:r>
    </w:p>
    <w:p w14:paraId="561E1491" w14:textId="77777777" w:rsidR="00E12685" w:rsidRPr="00051023" w:rsidRDefault="00E12685" w:rsidP="00051023">
      <w:pPr>
        <w:spacing w:after="240"/>
        <w:ind w:left="0"/>
        <w:rPr>
          <w:rFonts w:ascii="Times New Roman" w:hAnsi="Times New Roman"/>
          <w:b/>
          <w:color w:val="0070C0"/>
          <w:sz w:val="24"/>
        </w:rPr>
      </w:pPr>
      <w:r w:rsidRPr="00051023">
        <w:rPr>
          <w:rFonts w:ascii="Times New Roman" w:hAnsi="Times New Roman"/>
          <w:b/>
          <w:color w:val="0070C0"/>
          <w:sz w:val="24"/>
        </w:rPr>
        <w:t xml:space="preserve">Accounting and Reporting </w:t>
      </w:r>
    </w:p>
    <w:p w14:paraId="5B07D04F" w14:textId="77777777" w:rsidR="00E12685" w:rsidRPr="00302F50" w:rsidRDefault="00E12685" w:rsidP="00317B21">
      <w:pPr>
        <w:pStyle w:val="ListParagraph"/>
        <w:numPr>
          <w:ilvl w:val="0"/>
          <w:numId w:val="91"/>
        </w:numPr>
        <w:spacing w:after="240"/>
        <w:ind w:left="0"/>
        <w:contextualSpacing w:val="0"/>
        <w:rPr>
          <w:rFonts w:ascii="Times New Roman" w:hAnsi="Times New Roman"/>
          <w:sz w:val="24"/>
        </w:rPr>
      </w:pPr>
      <w:r w:rsidRPr="00302F50">
        <w:rPr>
          <w:rFonts w:ascii="Times New Roman" w:hAnsi="Times New Roman"/>
          <w:b/>
          <w:sz w:val="24"/>
        </w:rPr>
        <w:t>Overall access and adjustments to the records related to the budget, budget execution, accounting and payment information under the c</w:t>
      </w:r>
      <w:r>
        <w:rPr>
          <w:rFonts w:ascii="Times New Roman" w:hAnsi="Times New Roman"/>
          <w:b/>
          <w:sz w:val="24"/>
        </w:rPr>
        <w:t xml:space="preserve">entral government are restricted. </w:t>
      </w:r>
      <w:r w:rsidRPr="00347F14">
        <w:rPr>
          <w:rFonts w:ascii="Times New Roman" w:hAnsi="Times New Roman"/>
          <w:sz w:val="24"/>
        </w:rPr>
        <w:t>A</w:t>
      </w:r>
      <w:r>
        <w:rPr>
          <w:rFonts w:ascii="Times New Roman" w:hAnsi="Times New Roman"/>
          <w:sz w:val="24"/>
        </w:rPr>
        <w:t xml:space="preserve">ccess to GFIS database is fully controlled and traceable (Score C). </w:t>
      </w:r>
      <w:r w:rsidRPr="00302F50">
        <w:rPr>
          <w:rFonts w:ascii="Times New Roman" w:hAnsi="Times New Roman"/>
          <w:sz w:val="24"/>
        </w:rPr>
        <w:t xml:space="preserve">Bank </w:t>
      </w:r>
      <w:r w:rsidRPr="00302F50">
        <w:rPr>
          <w:rFonts w:ascii="Times New Roman" w:hAnsi="Times New Roman"/>
          <w:sz w:val="24"/>
        </w:rPr>
        <w:lastRenderedPageBreak/>
        <w:t xml:space="preserve">reconciliation mechanisms are in place for all the accounts managed by the Treasury and commercial banks with public </w:t>
      </w:r>
      <w:proofErr w:type="gramStart"/>
      <w:r w:rsidRPr="00302F50">
        <w:rPr>
          <w:rFonts w:ascii="Times New Roman" w:hAnsi="Times New Roman"/>
          <w:sz w:val="24"/>
        </w:rPr>
        <w:t>accounts</w:t>
      </w:r>
      <w:proofErr w:type="gramEnd"/>
      <w:r>
        <w:rPr>
          <w:rFonts w:ascii="Times New Roman" w:hAnsi="Times New Roman"/>
          <w:sz w:val="24"/>
        </w:rPr>
        <w:t xml:space="preserve"> </w:t>
      </w:r>
      <w:r w:rsidR="00122E41">
        <w:rPr>
          <w:rFonts w:ascii="Times New Roman" w:hAnsi="Times New Roman"/>
          <w:sz w:val="24"/>
        </w:rPr>
        <w:t xml:space="preserve">but a number of ODA funds are still managed and reconciled separately </w:t>
      </w:r>
      <w:r>
        <w:rPr>
          <w:rFonts w:ascii="Times New Roman" w:hAnsi="Times New Roman"/>
          <w:sz w:val="24"/>
        </w:rPr>
        <w:t xml:space="preserve">(Score </w:t>
      </w:r>
      <w:r w:rsidR="00122E41">
        <w:rPr>
          <w:rFonts w:ascii="Times New Roman" w:hAnsi="Times New Roman"/>
          <w:sz w:val="24"/>
        </w:rPr>
        <w:t>D</w:t>
      </w:r>
      <w:r>
        <w:rPr>
          <w:rFonts w:ascii="Times New Roman" w:hAnsi="Times New Roman"/>
          <w:sz w:val="24"/>
        </w:rPr>
        <w:t>)</w:t>
      </w:r>
      <w:r w:rsidRPr="00302F50">
        <w:rPr>
          <w:rFonts w:ascii="Times New Roman" w:hAnsi="Times New Roman"/>
          <w:sz w:val="24"/>
        </w:rPr>
        <w:t xml:space="preserve">. Reconciliation of suspense accounts </w:t>
      </w:r>
      <w:r>
        <w:rPr>
          <w:rFonts w:ascii="Times New Roman" w:hAnsi="Times New Roman"/>
          <w:sz w:val="24"/>
        </w:rPr>
        <w:t xml:space="preserve">(Score B) </w:t>
      </w:r>
      <w:r w:rsidRPr="00302F50">
        <w:rPr>
          <w:rFonts w:ascii="Times New Roman" w:hAnsi="Times New Roman"/>
          <w:sz w:val="24"/>
        </w:rPr>
        <w:t xml:space="preserve">and advance accounts </w:t>
      </w:r>
      <w:r>
        <w:rPr>
          <w:rFonts w:ascii="Times New Roman" w:hAnsi="Times New Roman"/>
          <w:sz w:val="24"/>
        </w:rPr>
        <w:t xml:space="preserve">(Score B) </w:t>
      </w:r>
      <w:r w:rsidRPr="00302F50">
        <w:rPr>
          <w:rFonts w:ascii="Times New Roman" w:hAnsi="Times New Roman"/>
          <w:sz w:val="24"/>
        </w:rPr>
        <w:t>are performed monthly and cleared at the end of the fiscal year.</w:t>
      </w:r>
      <w:r>
        <w:rPr>
          <w:rFonts w:ascii="Times New Roman" w:hAnsi="Times New Roman"/>
          <w:sz w:val="24"/>
        </w:rPr>
        <w:t xml:space="preserve">  </w:t>
      </w:r>
      <w:r w:rsidRPr="00302F50">
        <w:rPr>
          <w:rFonts w:ascii="Times New Roman" w:hAnsi="Times New Roman"/>
          <w:sz w:val="24"/>
        </w:rPr>
        <w:t xml:space="preserve">Quarterly reports </w:t>
      </w:r>
      <w:r>
        <w:rPr>
          <w:rFonts w:ascii="Times New Roman" w:hAnsi="Times New Roman"/>
          <w:sz w:val="24"/>
        </w:rPr>
        <w:t xml:space="preserve">are prepared with </w:t>
      </w:r>
      <w:r w:rsidRPr="00302F50">
        <w:rPr>
          <w:rFonts w:ascii="Times New Roman" w:hAnsi="Times New Roman"/>
          <w:sz w:val="24"/>
        </w:rPr>
        <w:t xml:space="preserve">information </w:t>
      </w:r>
      <w:r>
        <w:rPr>
          <w:rFonts w:ascii="Times New Roman" w:hAnsi="Times New Roman"/>
          <w:sz w:val="24"/>
        </w:rPr>
        <w:t xml:space="preserve">comparable to the budget plans usually one month after the end of the period but are not detailed sufficiently for meaningful analysis (Score D). </w:t>
      </w:r>
      <w:r w:rsidRPr="00302F50">
        <w:rPr>
          <w:rFonts w:ascii="Times New Roman" w:hAnsi="Times New Roman"/>
          <w:sz w:val="24"/>
        </w:rPr>
        <w:t xml:space="preserve">Financial data integrity and accounts reconciliation are </w:t>
      </w:r>
      <w:r>
        <w:rPr>
          <w:rFonts w:ascii="Times New Roman" w:hAnsi="Times New Roman"/>
          <w:sz w:val="24"/>
        </w:rPr>
        <w:t>manual.  Due to the limited number of transactions and number of accounts they can be considered reliable. However</w:t>
      </w:r>
      <w:r w:rsidR="002441BD">
        <w:rPr>
          <w:rFonts w:ascii="Times New Roman" w:hAnsi="Times New Roman"/>
          <w:sz w:val="24"/>
        </w:rPr>
        <w:t>,</w:t>
      </w:r>
      <w:r>
        <w:rPr>
          <w:rFonts w:ascii="Times New Roman" w:hAnsi="Times New Roman"/>
          <w:sz w:val="24"/>
        </w:rPr>
        <w:t xml:space="preserve"> they record at the payment stage (Score D). Financial accounts are timely but are </w:t>
      </w:r>
      <w:r w:rsidR="002441BD">
        <w:rPr>
          <w:rFonts w:ascii="Times New Roman" w:hAnsi="Times New Roman"/>
          <w:sz w:val="24"/>
        </w:rPr>
        <w:t xml:space="preserve">limited in coverage (Score C). </w:t>
      </w:r>
      <w:r>
        <w:rPr>
          <w:rFonts w:ascii="Times New Roman" w:hAnsi="Times New Roman"/>
          <w:sz w:val="24"/>
        </w:rPr>
        <w:t>A</w:t>
      </w:r>
      <w:r w:rsidRPr="00302F50">
        <w:rPr>
          <w:rFonts w:ascii="Times New Roman" w:hAnsi="Times New Roman"/>
          <w:sz w:val="24"/>
        </w:rPr>
        <w:t xml:space="preserve">ccounting standards are </w:t>
      </w:r>
      <w:r>
        <w:rPr>
          <w:rFonts w:ascii="Times New Roman" w:hAnsi="Times New Roman"/>
          <w:sz w:val="24"/>
        </w:rPr>
        <w:t>not yet c</w:t>
      </w:r>
      <w:r w:rsidRPr="00302F50">
        <w:rPr>
          <w:rFonts w:ascii="Times New Roman" w:hAnsi="Times New Roman"/>
          <w:sz w:val="24"/>
        </w:rPr>
        <w:t>onsistent with the international IPSAS</w:t>
      </w:r>
      <w:r>
        <w:rPr>
          <w:rFonts w:ascii="Times New Roman" w:hAnsi="Times New Roman"/>
          <w:sz w:val="24"/>
        </w:rPr>
        <w:t xml:space="preserve"> cash</w:t>
      </w:r>
      <w:r w:rsidRPr="00302F50">
        <w:rPr>
          <w:rFonts w:ascii="Times New Roman" w:hAnsi="Times New Roman"/>
          <w:sz w:val="24"/>
        </w:rPr>
        <w:t xml:space="preserve">, </w:t>
      </w:r>
      <w:r>
        <w:rPr>
          <w:rFonts w:ascii="Times New Roman" w:hAnsi="Times New Roman"/>
          <w:sz w:val="24"/>
        </w:rPr>
        <w:t xml:space="preserve">and </w:t>
      </w:r>
      <w:r w:rsidRPr="00302F50">
        <w:rPr>
          <w:rFonts w:ascii="Times New Roman" w:hAnsi="Times New Roman"/>
          <w:sz w:val="24"/>
        </w:rPr>
        <w:t>no disclosure of alignment and variations is available</w:t>
      </w:r>
      <w:r>
        <w:rPr>
          <w:rFonts w:ascii="Times New Roman" w:hAnsi="Times New Roman"/>
          <w:sz w:val="24"/>
        </w:rPr>
        <w:t xml:space="preserve"> (Score D).</w:t>
      </w:r>
    </w:p>
    <w:p w14:paraId="55CF4FBF" w14:textId="77777777" w:rsidR="00E12685" w:rsidRPr="00051023" w:rsidRDefault="00E12685" w:rsidP="00051023">
      <w:pPr>
        <w:spacing w:after="240"/>
        <w:ind w:left="0"/>
        <w:rPr>
          <w:rFonts w:ascii="Times New Roman" w:hAnsi="Times New Roman"/>
          <w:b/>
          <w:color w:val="0070C0"/>
          <w:sz w:val="24"/>
        </w:rPr>
      </w:pPr>
      <w:r w:rsidRPr="00051023">
        <w:rPr>
          <w:rFonts w:ascii="Times New Roman" w:hAnsi="Times New Roman"/>
          <w:b/>
          <w:color w:val="0070C0"/>
          <w:sz w:val="24"/>
        </w:rPr>
        <w:t>External Scrutiny an</w:t>
      </w:r>
      <w:r w:rsidR="00051023">
        <w:rPr>
          <w:rFonts w:ascii="Times New Roman" w:hAnsi="Times New Roman"/>
          <w:b/>
          <w:color w:val="0070C0"/>
          <w:sz w:val="24"/>
        </w:rPr>
        <w:t>d Audit</w:t>
      </w:r>
    </w:p>
    <w:p w14:paraId="0D33458E" w14:textId="77777777" w:rsidR="00E12685" w:rsidRPr="00F3184E" w:rsidRDefault="00E12685" w:rsidP="00317B21">
      <w:pPr>
        <w:pStyle w:val="ListParagraph"/>
        <w:numPr>
          <w:ilvl w:val="0"/>
          <w:numId w:val="91"/>
        </w:numPr>
        <w:spacing w:after="240"/>
        <w:ind w:left="0"/>
        <w:contextualSpacing w:val="0"/>
        <w:rPr>
          <w:rFonts w:ascii="Times New Roman" w:hAnsi="Times New Roman"/>
          <w:sz w:val="24"/>
        </w:rPr>
      </w:pPr>
      <w:r w:rsidRPr="00753034">
        <w:rPr>
          <w:rFonts w:ascii="Times New Roman" w:hAnsi="Times New Roman"/>
          <w:b/>
          <w:sz w:val="24"/>
        </w:rPr>
        <w:t>The effective</w:t>
      </w:r>
      <w:r>
        <w:rPr>
          <w:rFonts w:ascii="Times New Roman" w:hAnsi="Times New Roman"/>
          <w:b/>
          <w:sz w:val="24"/>
        </w:rPr>
        <w:t>ness</w:t>
      </w:r>
      <w:r w:rsidRPr="00753034">
        <w:rPr>
          <w:rFonts w:ascii="Times New Roman" w:hAnsi="Times New Roman"/>
          <w:b/>
          <w:sz w:val="24"/>
        </w:rPr>
        <w:t xml:space="preserve"> </w:t>
      </w:r>
      <w:r>
        <w:rPr>
          <w:rFonts w:ascii="Times New Roman" w:hAnsi="Times New Roman"/>
          <w:b/>
          <w:sz w:val="24"/>
        </w:rPr>
        <w:t xml:space="preserve">of </w:t>
      </w:r>
      <w:r w:rsidRPr="00753034">
        <w:rPr>
          <w:rFonts w:ascii="Times New Roman" w:hAnsi="Times New Roman"/>
          <w:b/>
          <w:sz w:val="24"/>
        </w:rPr>
        <w:t xml:space="preserve">scrutiny by SAO and NA </w:t>
      </w:r>
      <w:r>
        <w:rPr>
          <w:rFonts w:ascii="Times New Roman" w:hAnsi="Times New Roman"/>
          <w:b/>
          <w:sz w:val="24"/>
        </w:rPr>
        <w:t>is hampered by the</w:t>
      </w:r>
      <w:r w:rsidRPr="00753034">
        <w:rPr>
          <w:rFonts w:ascii="Times New Roman" w:hAnsi="Times New Roman"/>
          <w:b/>
          <w:sz w:val="24"/>
        </w:rPr>
        <w:t xml:space="preserve"> lack of </w:t>
      </w:r>
      <w:r>
        <w:rPr>
          <w:rFonts w:ascii="Times New Roman" w:hAnsi="Times New Roman"/>
          <w:b/>
          <w:sz w:val="24"/>
        </w:rPr>
        <w:t xml:space="preserve">resources and alignment to international standards for SAO; and </w:t>
      </w:r>
      <w:r w:rsidRPr="00753034">
        <w:rPr>
          <w:rFonts w:ascii="Times New Roman" w:hAnsi="Times New Roman"/>
          <w:b/>
          <w:sz w:val="24"/>
        </w:rPr>
        <w:t>comprehensive, transparent and effective follow-up on external audi</w:t>
      </w:r>
      <w:r>
        <w:rPr>
          <w:rFonts w:ascii="Times New Roman" w:hAnsi="Times New Roman"/>
          <w:b/>
          <w:sz w:val="24"/>
        </w:rPr>
        <w:t xml:space="preserve">t reports by the NA. </w:t>
      </w:r>
      <w:r w:rsidRPr="00FA59E4">
        <w:rPr>
          <w:rFonts w:ascii="Times New Roman" w:hAnsi="Times New Roman"/>
          <w:sz w:val="24"/>
        </w:rPr>
        <w:t xml:space="preserve">SAO </w:t>
      </w:r>
      <w:r>
        <w:rPr>
          <w:rFonts w:ascii="Times New Roman" w:hAnsi="Times New Roman"/>
          <w:sz w:val="24"/>
        </w:rPr>
        <w:t>has</w:t>
      </w:r>
      <w:r w:rsidRPr="00FA59E4">
        <w:rPr>
          <w:rFonts w:ascii="Times New Roman" w:hAnsi="Times New Roman"/>
          <w:sz w:val="24"/>
        </w:rPr>
        <w:t xml:space="preserve"> constitutional independence </w:t>
      </w:r>
      <w:r>
        <w:rPr>
          <w:rFonts w:ascii="Times New Roman" w:hAnsi="Times New Roman"/>
          <w:sz w:val="24"/>
        </w:rPr>
        <w:t>and</w:t>
      </w:r>
      <w:r w:rsidRPr="00FA59E4">
        <w:rPr>
          <w:rFonts w:ascii="Times New Roman" w:hAnsi="Times New Roman"/>
          <w:sz w:val="24"/>
        </w:rPr>
        <w:t xml:space="preserve"> enjoys operational independence</w:t>
      </w:r>
      <w:r>
        <w:rPr>
          <w:rFonts w:ascii="Times New Roman" w:hAnsi="Times New Roman"/>
          <w:sz w:val="24"/>
        </w:rPr>
        <w:t xml:space="preserve"> which is limited by its budget being subjected to government budget process as if a line agency (Score C). </w:t>
      </w:r>
      <w:r w:rsidRPr="00FA59E4">
        <w:rPr>
          <w:rFonts w:ascii="Times New Roman" w:hAnsi="Times New Roman"/>
          <w:sz w:val="24"/>
        </w:rPr>
        <w:t xml:space="preserve">Its mandate is to </w:t>
      </w:r>
      <w:r>
        <w:rPr>
          <w:rFonts w:ascii="Times New Roman" w:hAnsi="Times New Roman"/>
          <w:sz w:val="24"/>
        </w:rPr>
        <w:t xml:space="preserve">audit the budget execution and </w:t>
      </w:r>
      <w:r w:rsidRPr="00FA59E4">
        <w:rPr>
          <w:rFonts w:ascii="Times New Roman" w:hAnsi="Times New Roman"/>
          <w:sz w:val="24"/>
        </w:rPr>
        <w:t>conduct financial audits of a</w:t>
      </w:r>
      <w:r>
        <w:rPr>
          <w:rFonts w:ascii="Times New Roman" w:hAnsi="Times New Roman"/>
          <w:sz w:val="24"/>
        </w:rPr>
        <w:t xml:space="preserve"> sample of</w:t>
      </w:r>
      <w:r w:rsidRPr="00FA59E4">
        <w:rPr>
          <w:rFonts w:ascii="Times New Roman" w:hAnsi="Times New Roman"/>
          <w:sz w:val="24"/>
        </w:rPr>
        <w:t xml:space="preserve"> </w:t>
      </w:r>
      <w:r>
        <w:rPr>
          <w:rFonts w:ascii="Times New Roman" w:hAnsi="Times New Roman"/>
          <w:sz w:val="24"/>
        </w:rPr>
        <w:t xml:space="preserve">central government </w:t>
      </w:r>
      <w:r w:rsidRPr="00FA59E4">
        <w:rPr>
          <w:rFonts w:ascii="Times New Roman" w:hAnsi="Times New Roman"/>
          <w:sz w:val="24"/>
        </w:rPr>
        <w:t xml:space="preserve">entities, as well as </w:t>
      </w:r>
      <w:r>
        <w:rPr>
          <w:rFonts w:ascii="Times New Roman" w:hAnsi="Times New Roman"/>
          <w:sz w:val="24"/>
        </w:rPr>
        <w:t>provinces but its resources means its audit coverage is limited (Score D) as well as its adherence to in</w:t>
      </w:r>
      <w:r w:rsidR="002441BD">
        <w:rPr>
          <w:rFonts w:ascii="Times New Roman" w:hAnsi="Times New Roman"/>
          <w:sz w:val="24"/>
        </w:rPr>
        <w:t xml:space="preserve">ternational INTOSAI standards. </w:t>
      </w:r>
      <w:r>
        <w:rPr>
          <w:rFonts w:ascii="Times New Roman" w:hAnsi="Times New Roman"/>
          <w:sz w:val="24"/>
        </w:rPr>
        <w:t>Its annual audit report to NA on the budget execution is presented in a plenary session of the NA during which consolidated findings and recommendations uncover a wide range of findings and highlights issues with off budget expenditures, unreported revenues and procurement (Score A) and benefits from broad media coverage but its reports are not published (Score D). The NA procedures in relation to the ex post review of the budget execution by the government is formally established and every year an NA resolution is issued on the SAO report for follow up by the government. H</w:t>
      </w:r>
      <w:r w:rsidRPr="00FA59E4">
        <w:rPr>
          <w:rFonts w:ascii="Times New Roman" w:hAnsi="Times New Roman"/>
          <w:sz w:val="24"/>
        </w:rPr>
        <w:t>owever, the response rate by the government to audit recommendations</w:t>
      </w:r>
      <w:r>
        <w:rPr>
          <w:rFonts w:ascii="Times New Roman" w:hAnsi="Times New Roman"/>
          <w:sz w:val="24"/>
        </w:rPr>
        <w:t xml:space="preserve"> – which takes place with each audited institution (Score D) - </w:t>
      </w:r>
      <w:r w:rsidRPr="00FA59E4">
        <w:rPr>
          <w:rFonts w:ascii="Times New Roman" w:hAnsi="Times New Roman"/>
          <w:sz w:val="24"/>
        </w:rPr>
        <w:t xml:space="preserve">is </w:t>
      </w:r>
      <w:r>
        <w:rPr>
          <w:rFonts w:ascii="Times New Roman" w:hAnsi="Times New Roman"/>
          <w:sz w:val="24"/>
        </w:rPr>
        <w:t xml:space="preserve">not formally </w:t>
      </w:r>
      <w:r w:rsidRPr="00FA59E4">
        <w:rPr>
          <w:rFonts w:ascii="Times New Roman" w:hAnsi="Times New Roman"/>
          <w:sz w:val="24"/>
        </w:rPr>
        <w:t xml:space="preserve">monitored </w:t>
      </w:r>
      <w:r>
        <w:rPr>
          <w:rFonts w:ascii="Times New Roman" w:hAnsi="Times New Roman"/>
          <w:sz w:val="24"/>
        </w:rPr>
        <w:t>or reported</w:t>
      </w:r>
      <w:r w:rsidRPr="00F3184E">
        <w:rPr>
          <w:rFonts w:ascii="Times New Roman" w:hAnsi="Times New Roman"/>
          <w:sz w:val="24"/>
        </w:rPr>
        <w:t xml:space="preserve">. </w:t>
      </w:r>
      <w:r w:rsidRPr="00F3184E">
        <w:rPr>
          <w:rFonts w:ascii="Times New Roman" w:hAnsi="Times New Roman"/>
          <w:sz w:val="20"/>
          <w:szCs w:val="20"/>
        </w:rPr>
        <w:t xml:space="preserve"> </w:t>
      </w:r>
    </w:p>
    <w:p w14:paraId="03001309" w14:textId="77777777" w:rsidR="00E12685" w:rsidRDefault="00E12685" w:rsidP="008037D9">
      <w:pPr>
        <w:pStyle w:val="Heading2"/>
        <w:keepLines/>
        <w:numPr>
          <w:ilvl w:val="1"/>
          <w:numId w:val="22"/>
        </w:numPr>
        <w:spacing w:after="200" w:line="276" w:lineRule="auto"/>
        <w:jc w:val="both"/>
        <w:rPr>
          <w:rFonts w:ascii="Times New Roman" w:hAnsi="Times New Roman"/>
          <w:color w:val="0070C0"/>
        </w:rPr>
      </w:pPr>
      <w:bookmarkStart w:id="118" w:name="_Toc495306462"/>
      <w:bookmarkStart w:id="119" w:name="_Toc504934560"/>
      <w:bookmarkStart w:id="120" w:name="_Toc504974061"/>
      <w:bookmarkStart w:id="121" w:name="_Toc4149016"/>
      <w:r w:rsidRPr="00C001AC">
        <w:rPr>
          <w:rFonts w:ascii="Times New Roman" w:hAnsi="Times New Roman"/>
          <w:color w:val="0070C0"/>
        </w:rPr>
        <w:t>Effectiveness of the Internal Control Framework</w:t>
      </w:r>
      <w:bookmarkEnd w:id="118"/>
      <w:bookmarkEnd w:id="119"/>
      <w:bookmarkEnd w:id="120"/>
      <w:bookmarkEnd w:id="121"/>
    </w:p>
    <w:p w14:paraId="34E6E775" w14:textId="77777777" w:rsidR="00E12685" w:rsidRPr="00F3184E" w:rsidRDefault="00E12685" w:rsidP="00E55A2B">
      <w:pPr>
        <w:pStyle w:val="ListParagraph"/>
        <w:numPr>
          <w:ilvl w:val="0"/>
          <w:numId w:val="96"/>
        </w:numPr>
        <w:shd w:val="clear" w:color="auto" w:fill="FFFFFF"/>
        <w:autoSpaceDE w:val="0"/>
        <w:autoSpaceDN w:val="0"/>
        <w:adjustRightInd w:val="0"/>
        <w:spacing w:after="240"/>
        <w:ind w:left="0" w:firstLine="0"/>
        <w:contextualSpacing w:val="0"/>
        <w:rPr>
          <w:rFonts w:ascii="Times New Roman" w:hAnsi="Times New Roman"/>
          <w:sz w:val="24"/>
        </w:rPr>
      </w:pPr>
      <w:r w:rsidRPr="00F3184E">
        <w:rPr>
          <w:rFonts w:ascii="Times New Roman" w:hAnsi="Times New Roman"/>
          <w:b/>
          <w:sz w:val="24"/>
          <w:lang w:val="en-ID"/>
        </w:rPr>
        <w:t>Despite the existence of a solid and hierarchical line of authority and commitment to control in the public institutions, t</w:t>
      </w:r>
      <w:r w:rsidRPr="00F3184E">
        <w:rPr>
          <w:rFonts w:ascii="Times New Roman" w:hAnsi="Times New Roman"/>
          <w:b/>
          <w:sz w:val="24"/>
        </w:rPr>
        <w:t xml:space="preserve">he internal control framework is weak. </w:t>
      </w:r>
      <w:r w:rsidRPr="00F3184E">
        <w:rPr>
          <w:rFonts w:ascii="Times New Roman" w:hAnsi="Times New Roman"/>
          <w:sz w:val="24"/>
        </w:rPr>
        <w:t>This weakness is</w:t>
      </w:r>
      <w:r w:rsidRPr="00F3184E">
        <w:rPr>
          <w:rFonts w:ascii="Times New Roman" w:hAnsi="Times New Roman"/>
          <w:b/>
          <w:sz w:val="24"/>
        </w:rPr>
        <w:t xml:space="preserve"> </w:t>
      </w:r>
      <w:r w:rsidRPr="00F3184E">
        <w:rPr>
          <w:rFonts w:ascii="Times New Roman" w:hAnsi="Times New Roman"/>
          <w:sz w:val="24"/>
        </w:rPr>
        <w:t>due to the high degree of decentralization of core PFM systems (procurement, payroll, public investment and assets management, revenue collection, etc.) at central and provincial level and the lack of comprehensive and integrated information management systems.</w:t>
      </w:r>
      <w:r w:rsidRPr="00F3184E">
        <w:rPr>
          <w:rFonts w:ascii="Times New Roman" w:hAnsi="Times New Roman"/>
          <w:b/>
          <w:sz w:val="24"/>
        </w:rPr>
        <w:t xml:space="preserve"> </w:t>
      </w:r>
      <w:r w:rsidRPr="00F3184E">
        <w:rPr>
          <w:rFonts w:ascii="Times New Roman" w:hAnsi="Times New Roman"/>
          <w:sz w:val="24"/>
        </w:rPr>
        <w:t>Furthermore, the alignment with the five components of internal control from the COSO framework (control environment, risks assessment, control activities, communication and information, and monitoring) is considerably reduced by the absence of a structured and systematic approach to risk management.</w:t>
      </w:r>
      <w:r w:rsidRPr="00F3184E">
        <w:rPr>
          <w:rFonts w:ascii="Times New Roman" w:hAnsi="Times New Roman"/>
          <w:b/>
          <w:sz w:val="24"/>
        </w:rPr>
        <w:t xml:space="preserve"> </w:t>
      </w:r>
    </w:p>
    <w:p w14:paraId="194A4D46" w14:textId="77777777" w:rsidR="00E12685" w:rsidRDefault="00E12685" w:rsidP="008037D9">
      <w:pPr>
        <w:pStyle w:val="ListParagraph"/>
        <w:numPr>
          <w:ilvl w:val="0"/>
          <w:numId w:val="96"/>
        </w:numPr>
        <w:shd w:val="clear" w:color="auto" w:fill="FFFFFF"/>
        <w:autoSpaceDE w:val="0"/>
        <w:autoSpaceDN w:val="0"/>
        <w:adjustRightInd w:val="0"/>
        <w:spacing w:after="200"/>
        <w:ind w:left="0" w:firstLine="0"/>
        <w:contextualSpacing w:val="0"/>
        <w:rPr>
          <w:rFonts w:ascii="Times New Roman" w:hAnsi="Times New Roman"/>
          <w:sz w:val="24"/>
        </w:rPr>
      </w:pPr>
      <w:r w:rsidRPr="004765C2">
        <w:rPr>
          <w:rFonts w:ascii="Times New Roman" w:hAnsi="Times New Roman"/>
          <w:b/>
          <w:sz w:val="24"/>
        </w:rPr>
        <w:t>The commitment from the top management at PM level and at MOF, as the national custodian of public funds, and from the oversight institutions SAO and NA to build a strong internal control system in the use of public funds is strong.</w:t>
      </w:r>
      <w:r w:rsidR="002441BD">
        <w:rPr>
          <w:rFonts w:ascii="Times New Roman" w:hAnsi="Times New Roman"/>
          <w:sz w:val="24"/>
        </w:rPr>
        <w:t xml:space="preserve"> </w:t>
      </w:r>
      <w:r w:rsidRPr="004765C2">
        <w:rPr>
          <w:rFonts w:ascii="Times New Roman" w:hAnsi="Times New Roman"/>
          <w:sz w:val="24"/>
        </w:rPr>
        <w:t xml:space="preserve">The issuance of laws and regulations covering all aspects of public management has helped to frame the PFM systems and ensure effective monitoring and reporting on the use of public resources. The integration of financial systems under a new FMIS for an integrated Budget and Treasury </w:t>
      </w:r>
      <w:r w:rsidRPr="004765C2">
        <w:rPr>
          <w:rFonts w:ascii="Times New Roman" w:hAnsi="Times New Roman"/>
          <w:sz w:val="24"/>
        </w:rPr>
        <w:lastRenderedPageBreak/>
        <w:t xml:space="preserve">management was recently approved. Detailed findings concerning the main elements of the five internal control components are summarized in Annex 2. The table also highlights any gaps in the coverage of the control components by the assessed internal control system. </w:t>
      </w:r>
    </w:p>
    <w:p w14:paraId="528331C6" w14:textId="77777777" w:rsidR="00E12685" w:rsidRDefault="00E12685" w:rsidP="00051023">
      <w:pPr>
        <w:pStyle w:val="ListParagraph"/>
        <w:numPr>
          <w:ilvl w:val="0"/>
          <w:numId w:val="96"/>
        </w:numPr>
        <w:shd w:val="clear" w:color="auto" w:fill="FFFFFF"/>
        <w:autoSpaceDE w:val="0"/>
        <w:autoSpaceDN w:val="0"/>
        <w:adjustRightInd w:val="0"/>
        <w:spacing w:after="240"/>
        <w:ind w:left="0" w:firstLine="0"/>
        <w:contextualSpacing w:val="0"/>
        <w:rPr>
          <w:rFonts w:ascii="Times New Roman" w:hAnsi="Times New Roman"/>
          <w:sz w:val="24"/>
        </w:rPr>
      </w:pPr>
      <w:r w:rsidRPr="004765C2">
        <w:rPr>
          <w:rFonts w:ascii="Times New Roman" w:eastAsiaTheme="minorHAnsi" w:hAnsi="Times New Roman"/>
          <w:b/>
          <w:sz w:val="24"/>
          <w:lang w:val="en-MY"/>
        </w:rPr>
        <w:t>The control environment</w:t>
      </w:r>
      <w:r w:rsidRPr="004765C2">
        <w:rPr>
          <w:rFonts w:ascii="Times New Roman" w:hAnsi="Times New Roman"/>
          <w:b/>
          <w:sz w:val="24"/>
        </w:rPr>
        <w:t xml:space="preserve"> component is not embedded in a specific set of laws or regulations or defined by a clear </w:t>
      </w:r>
      <w:r w:rsidRPr="004765C2">
        <w:rPr>
          <w:rFonts w:ascii="Times New Roman" w:eastAsiaTheme="minorHAnsi" w:hAnsi="Times New Roman"/>
          <w:b/>
          <w:sz w:val="24"/>
        </w:rPr>
        <w:t xml:space="preserve">organizational structure. </w:t>
      </w:r>
      <w:r w:rsidRPr="004765C2">
        <w:rPr>
          <w:rFonts w:ascii="Times New Roman" w:eastAsiaTheme="minorHAnsi" w:hAnsi="Times New Roman"/>
          <w:sz w:val="24"/>
        </w:rPr>
        <w:t>Low scores relating to audit standards for the internal audit and external audit imply that t</w:t>
      </w:r>
      <w:r w:rsidRPr="004765C2">
        <w:rPr>
          <w:rFonts w:ascii="Times New Roman" w:hAnsi="Times New Roman"/>
          <w:sz w:val="24"/>
        </w:rPr>
        <w:t>he potential for the internal audit departments requires further capacity-building and certification efforts to support effectively internal control over budget execution. The internal control function is only partially defined and carried out by the Inspection departments across all government agencies. As a result, enforcement of clear and consistent rules and compliance in the public administration is missing or tends to follow the vertical approach to authority and hierarchy from the political party. Most of the responsibility to “set the tone at the top” and display the professional integrity and ethical values lies in the hands of senior management and depends upon their respective authority and leadership within the party. Overall, there is no harmonized or consistent approach on competence and culture of public service delivery and little collaboration between institutions on the matter. As a result, each institution depends largely upon its management’s understanding and attitude toward internal control, commitment to competence and accountability. The concept of human resource management policies is at a very early stage of development and lack the institutional and legal framework to operate and achieve the transformative change required. The decision and mechanisms to penalize misbehavior depend highly from a decision “at the top”.</w:t>
      </w:r>
    </w:p>
    <w:p w14:paraId="0E194D61" w14:textId="77777777" w:rsidR="00E12685" w:rsidRPr="00563EE4" w:rsidRDefault="00E12685" w:rsidP="004447CD">
      <w:pPr>
        <w:pStyle w:val="ListParagraph"/>
        <w:numPr>
          <w:ilvl w:val="0"/>
          <w:numId w:val="96"/>
        </w:numPr>
        <w:shd w:val="clear" w:color="auto" w:fill="FFFFFF"/>
        <w:autoSpaceDE w:val="0"/>
        <w:autoSpaceDN w:val="0"/>
        <w:adjustRightInd w:val="0"/>
        <w:spacing w:before="0" w:after="200"/>
        <w:ind w:left="0" w:firstLine="0"/>
        <w:contextualSpacing w:val="0"/>
        <w:rPr>
          <w:rFonts w:ascii="Times New Roman" w:eastAsiaTheme="minorHAnsi" w:hAnsi="Times New Roman"/>
          <w:sz w:val="24"/>
        </w:rPr>
      </w:pPr>
      <w:r w:rsidRPr="004765C2">
        <w:rPr>
          <w:rFonts w:ascii="Times New Roman" w:eastAsiaTheme="minorHAnsi" w:hAnsi="Times New Roman"/>
          <w:b/>
          <w:sz w:val="24"/>
        </w:rPr>
        <w:t>PFM systems are at an early stage of development of its national standards and alignment to international practices</w:t>
      </w:r>
      <w:r w:rsidR="002441BD">
        <w:rPr>
          <w:rFonts w:ascii="Times New Roman" w:eastAsiaTheme="minorHAnsi" w:hAnsi="Times New Roman"/>
          <w:b/>
          <w:sz w:val="24"/>
        </w:rPr>
        <w:t>.</w:t>
      </w:r>
      <w:r>
        <w:rPr>
          <w:rFonts w:ascii="Times New Roman" w:eastAsiaTheme="minorHAnsi" w:hAnsi="Times New Roman"/>
          <w:b/>
          <w:sz w:val="24"/>
        </w:rPr>
        <w:t xml:space="preserve"> </w:t>
      </w:r>
      <w:r w:rsidRPr="004765C2">
        <w:rPr>
          <w:rFonts w:ascii="Times New Roman" w:eastAsiaTheme="minorHAnsi" w:hAnsi="Times New Roman"/>
          <w:sz w:val="24"/>
        </w:rPr>
        <w:t>The concept of risk assessment has not yet been integrated into its regulations and procedures.</w:t>
      </w:r>
      <w:r w:rsidRPr="004765C2">
        <w:rPr>
          <w:rFonts w:ascii="Times New Roman" w:eastAsiaTheme="minorHAnsi" w:hAnsi="Times New Roman"/>
          <w:b/>
          <w:sz w:val="24"/>
        </w:rPr>
        <w:t xml:space="preserve"> </w:t>
      </w:r>
      <w:r w:rsidRPr="004765C2">
        <w:rPr>
          <w:rFonts w:ascii="Times New Roman" w:hAnsi="Times New Roman"/>
          <w:sz w:val="24"/>
        </w:rPr>
        <w:t xml:space="preserve">The </w:t>
      </w:r>
      <w:r w:rsidRPr="004765C2">
        <w:rPr>
          <w:rFonts w:ascii="Times New Roman" w:eastAsia="Calibri" w:hAnsi="Times New Roman"/>
          <w:sz w:val="24"/>
        </w:rPr>
        <w:t>risk assessment</w:t>
      </w:r>
      <w:r w:rsidRPr="004765C2">
        <w:rPr>
          <w:rFonts w:ascii="Times New Roman" w:hAnsi="Times New Roman"/>
          <w:sz w:val="24"/>
        </w:rPr>
        <w:t xml:space="preserve"> component refers to risk-based approaches and the use of risk management methods to improve the effectiveness of internal control, such as for example in the definition and implementation of controls in budget spending through Treasury payment systems and public procurement or audits in Tax, Internal and External Audit. In all central government institutions, departments are in principle responsible for assessing the strengths of the internal control systems and procedures. In theory, Inspection departments in each ministry and institution defines an annual audit plans using a risk-based approach, </w:t>
      </w:r>
      <w:proofErr w:type="gramStart"/>
      <w:r w:rsidRPr="004765C2">
        <w:rPr>
          <w:rFonts w:ascii="Times New Roman" w:hAnsi="Times New Roman"/>
          <w:sz w:val="24"/>
        </w:rPr>
        <w:t xml:space="preserve">but in </w:t>
      </w:r>
      <w:r w:rsidR="00F9206C" w:rsidRPr="004765C2">
        <w:rPr>
          <w:rFonts w:ascii="Times New Roman" w:hAnsi="Times New Roman"/>
          <w:sz w:val="24"/>
        </w:rPr>
        <w:t>reality,</w:t>
      </w:r>
      <w:r w:rsidRPr="004765C2">
        <w:rPr>
          <w:rFonts w:ascii="Times New Roman" w:hAnsi="Times New Roman"/>
          <w:sz w:val="24"/>
        </w:rPr>
        <w:t xml:space="preserve"> they</w:t>
      </w:r>
      <w:proofErr w:type="gramEnd"/>
      <w:r w:rsidRPr="004765C2">
        <w:rPr>
          <w:rFonts w:ascii="Times New Roman" w:hAnsi="Times New Roman"/>
          <w:sz w:val="24"/>
        </w:rPr>
        <w:t xml:space="preserve"> perform mostly operational compliance checks focusing on the compliance of transactions and activities with applicable laws, regulations and procedures. The Inspection reports are confidential and could not be reviewed but from the discussion with the MoF Inspection department, they do not cover </w:t>
      </w:r>
      <w:r w:rsidRPr="004765C2">
        <w:rPr>
          <w:rFonts w:ascii="Times New Roman" w:eastAsiaTheme="minorHAnsi" w:hAnsi="Times New Roman"/>
          <w:sz w:val="24"/>
        </w:rPr>
        <w:t>internal controls and performance audit. In addition</w:t>
      </w:r>
      <w:r w:rsidRPr="004765C2">
        <w:rPr>
          <w:rFonts w:ascii="Times New Roman" w:eastAsiaTheme="minorHAnsi" w:hAnsi="Times New Roman"/>
          <w:b/>
          <w:sz w:val="24"/>
        </w:rPr>
        <w:t xml:space="preserve">, </w:t>
      </w:r>
      <w:r w:rsidRPr="004765C2">
        <w:rPr>
          <w:rFonts w:ascii="Times New Roman" w:eastAsiaTheme="minorHAnsi" w:hAnsi="Times New Roman"/>
          <w:sz w:val="24"/>
        </w:rPr>
        <w:t>the score on the dimension relating to the screening of public investment proposals reveals that risks involved in the implementation of capital investment projects are not systematically evaluated before they are selected. Furthermore, the tax administration is in the process of establishing a Large Taxpayers Unit but has not fully implemented a structured and systematic risk assessment process for assessing, ranking and quantifyin</w:t>
      </w:r>
      <w:r w:rsidR="002441BD">
        <w:rPr>
          <w:rFonts w:ascii="Times New Roman" w:eastAsiaTheme="minorHAnsi" w:hAnsi="Times New Roman"/>
          <w:sz w:val="24"/>
        </w:rPr>
        <w:t xml:space="preserve">g taxpayers’ compliance risks. </w:t>
      </w:r>
      <w:r w:rsidRPr="004765C2">
        <w:rPr>
          <w:rFonts w:ascii="Times New Roman" w:eastAsiaTheme="minorHAnsi" w:hAnsi="Times New Roman"/>
          <w:sz w:val="24"/>
        </w:rPr>
        <w:t>The application of risk criteria is conditioned by the access to reliable and comprehensive data from internal and external sources through a proper tax information management system, which has yet to be developed</w:t>
      </w:r>
      <w:r w:rsidRPr="00563EE4">
        <w:rPr>
          <w:rFonts w:ascii="Times New Roman" w:eastAsiaTheme="minorHAnsi" w:hAnsi="Times New Roman"/>
          <w:sz w:val="24"/>
        </w:rPr>
        <w:t xml:space="preserve">. </w:t>
      </w:r>
    </w:p>
    <w:p w14:paraId="7BBA2A8C" w14:textId="77777777" w:rsidR="00E12685" w:rsidRPr="00563EE4" w:rsidRDefault="00E12685" w:rsidP="008037D9">
      <w:pPr>
        <w:pStyle w:val="ListParagraph"/>
        <w:numPr>
          <w:ilvl w:val="0"/>
          <w:numId w:val="96"/>
        </w:numPr>
        <w:shd w:val="clear" w:color="auto" w:fill="FFFFFF"/>
        <w:autoSpaceDE w:val="0"/>
        <w:autoSpaceDN w:val="0"/>
        <w:adjustRightInd w:val="0"/>
        <w:spacing w:after="240"/>
        <w:ind w:left="0" w:firstLine="0"/>
        <w:contextualSpacing w:val="0"/>
        <w:rPr>
          <w:rFonts w:ascii="Times New Roman" w:hAnsi="Times New Roman"/>
          <w:sz w:val="24"/>
        </w:rPr>
      </w:pPr>
      <w:r w:rsidRPr="00563EE4">
        <w:rPr>
          <w:rFonts w:ascii="Times New Roman" w:eastAsiaTheme="minorHAnsi" w:hAnsi="Times New Roman"/>
          <w:b/>
          <w:sz w:val="24"/>
        </w:rPr>
        <w:t xml:space="preserve">Control activities exist and have improved through the consolidation of cash management and payments systems under the Treasury department. </w:t>
      </w:r>
      <w:r w:rsidRPr="00563EE4">
        <w:rPr>
          <w:rFonts w:ascii="Times New Roman" w:eastAsiaTheme="minorHAnsi" w:hAnsi="Times New Roman"/>
          <w:sz w:val="24"/>
        </w:rPr>
        <w:t>Overall</w:t>
      </w:r>
      <w:r w:rsidR="002441BD">
        <w:rPr>
          <w:rFonts w:ascii="Times New Roman" w:eastAsiaTheme="minorHAnsi" w:hAnsi="Times New Roman"/>
          <w:sz w:val="24"/>
        </w:rPr>
        <w:t>,</w:t>
      </w:r>
      <w:r w:rsidRPr="00563EE4">
        <w:rPr>
          <w:rFonts w:ascii="Times New Roman" w:eastAsiaTheme="minorHAnsi" w:hAnsi="Times New Roman"/>
          <w:sz w:val="24"/>
        </w:rPr>
        <w:t xml:space="preserve"> they lack effective assignment of clear roles and responsibilities to employees with reference to formal rules and regulations to ensure that segregation of duties is enforced throughout the whole </w:t>
      </w:r>
      <w:r w:rsidRPr="00563EE4">
        <w:rPr>
          <w:rFonts w:ascii="Times New Roman" w:eastAsiaTheme="minorHAnsi" w:hAnsi="Times New Roman"/>
          <w:sz w:val="24"/>
        </w:rPr>
        <w:lastRenderedPageBreak/>
        <w:t xml:space="preserve">expenditure process.  Control activities are assessed through specific indicators measuring the effectiveness of internal controls over payroll, procurement and </w:t>
      </w:r>
      <w:proofErr w:type="spellStart"/>
      <w:proofErr w:type="gramStart"/>
      <w:r w:rsidRPr="00563EE4">
        <w:rPr>
          <w:rFonts w:ascii="Times New Roman" w:eastAsiaTheme="minorHAnsi" w:hAnsi="Times New Roman"/>
          <w:sz w:val="24"/>
        </w:rPr>
        <w:t>non salary</w:t>
      </w:r>
      <w:proofErr w:type="spellEnd"/>
      <w:proofErr w:type="gramEnd"/>
      <w:r w:rsidRPr="00563EE4">
        <w:rPr>
          <w:rFonts w:ascii="Times New Roman" w:eastAsiaTheme="minorHAnsi" w:hAnsi="Times New Roman"/>
          <w:sz w:val="24"/>
        </w:rPr>
        <w:t xml:space="preserve"> expenditures. Inside public entities, the function can be characterized as vertically centralized along the line of authority and seniority and political influence. In a context of absence or limited access to integrated, reliable and timely information, director generals and deputy director generals act as custodians of the integrity of the systems, procedures and transactions within their respective entities. The Treasury department play ultimately a critical role as in the decisions over payments are issued when there is clear assurance of the legality of commitments and payments, and exceptions are properly authorized in advance and justified. </w:t>
      </w:r>
    </w:p>
    <w:p w14:paraId="2FFF326C" w14:textId="77777777" w:rsidR="00E12685" w:rsidRPr="00051023" w:rsidRDefault="00E12685" w:rsidP="008037D9">
      <w:pPr>
        <w:pStyle w:val="ListParagraph"/>
        <w:numPr>
          <w:ilvl w:val="0"/>
          <w:numId w:val="96"/>
        </w:numPr>
        <w:shd w:val="clear" w:color="auto" w:fill="FFFFFF"/>
        <w:autoSpaceDE w:val="0"/>
        <w:autoSpaceDN w:val="0"/>
        <w:adjustRightInd w:val="0"/>
        <w:spacing w:before="0" w:after="200"/>
        <w:ind w:left="0" w:firstLine="0"/>
        <w:contextualSpacing w:val="0"/>
        <w:rPr>
          <w:rFonts w:ascii="Times New Roman" w:eastAsiaTheme="minorHAnsi" w:hAnsi="Times New Roman"/>
          <w:sz w:val="24"/>
        </w:rPr>
      </w:pPr>
      <w:r w:rsidRPr="00051023">
        <w:rPr>
          <w:rFonts w:ascii="Times New Roman" w:hAnsi="Times New Roman"/>
          <w:b/>
          <w:sz w:val="24"/>
        </w:rPr>
        <w:t>Reporting on operations below the central level is problematic.</w:t>
      </w:r>
      <w:r w:rsidRPr="00051023">
        <w:rPr>
          <w:rFonts w:ascii="Times New Roman" w:eastAsiaTheme="minorHAnsi" w:hAnsi="Times New Roman"/>
          <w:sz w:val="24"/>
        </w:rPr>
        <w:t xml:space="preserve"> </w:t>
      </w:r>
      <w:r w:rsidRPr="00051023">
        <w:rPr>
          <w:rFonts w:ascii="Times New Roman" w:hAnsi="Times New Roman"/>
          <w:sz w:val="24"/>
        </w:rPr>
        <w:t>Information on resources received by service delivery units illustrates that there is no consistent and regular upward flow of complete information on the aggregate and utilization of resources to accountable ministries, even if the MOE has comprehensive data a</w:t>
      </w:r>
      <w:r w:rsidR="002441BD">
        <w:rPr>
          <w:rFonts w:ascii="Times New Roman" w:hAnsi="Times New Roman"/>
          <w:sz w:val="24"/>
        </w:rPr>
        <w:t xml:space="preserve">t the level of public schools. </w:t>
      </w:r>
      <w:r w:rsidRPr="00051023">
        <w:rPr>
          <w:rFonts w:ascii="Times New Roman" w:hAnsi="Times New Roman"/>
          <w:sz w:val="24"/>
        </w:rPr>
        <w:t>The monitoring of SOEs is not comprehensive and timely and reporting on contingent liabilities is not always comprehensive and published.</w:t>
      </w:r>
      <w:r w:rsidRPr="00051023">
        <w:rPr>
          <w:rFonts w:ascii="Times New Roman" w:eastAsiaTheme="minorHAnsi" w:hAnsi="Times New Roman"/>
          <w:sz w:val="24"/>
        </w:rPr>
        <w:t xml:space="preserve"> I</w:t>
      </w:r>
      <w:r w:rsidRPr="00051023">
        <w:rPr>
          <w:rFonts w:ascii="Times New Roman" w:hAnsi="Times New Roman"/>
          <w:sz w:val="24"/>
        </w:rPr>
        <w:t>nformation on implementation of major investment projects is not systematically published. Public asset management is assessed as inadequate as a complete and current register of non-financial assets is not available. Expenditure arrears monitoring is less of an issue now than it has been in the past but strong control and monitoring procedures are still pending the roll out of an FMIS.</w:t>
      </w:r>
    </w:p>
    <w:p w14:paraId="6C3E32EC" w14:textId="77777777" w:rsidR="00E12685" w:rsidRPr="00051023" w:rsidRDefault="00E12685" w:rsidP="00051023">
      <w:pPr>
        <w:pStyle w:val="ListParagraph"/>
        <w:numPr>
          <w:ilvl w:val="0"/>
          <w:numId w:val="96"/>
        </w:numPr>
        <w:shd w:val="clear" w:color="auto" w:fill="FFFFFF"/>
        <w:autoSpaceDE w:val="0"/>
        <w:autoSpaceDN w:val="0"/>
        <w:adjustRightInd w:val="0"/>
        <w:spacing w:before="0" w:after="200"/>
        <w:ind w:left="0" w:firstLine="0"/>
        <w:contextualSpacing w:val="0"/>
        <w:rPr>
          <w:rFonts w:ascii="Times New Roman" w:eastAsiaTheme="minorHAnsi" w:hAnsi="Times New Roman"/>
          <w:sz w:val="24"/>
        </w:rPr>
      </w:pPr>
      <w:r w:rsidRPr="00051023">
        <w:rPr>
          <w:rFonts w:ascii="Times New Roman" w:hAnsi="Times New Roman"/>
          <w:b/>
          <w:sz w:val="24"/>
        </w:rPr>
        <w:t>The level of internal control monitoring is adequate to the extent that transactions are authorized and executed by the relevant individuals within the scope of their authority but is not then cove</w:t>
      </w:r>
      <w:r w:rsidR="002441BD">
        <w:rPr>
          <w:rFonts w:ascii="Times New Roman" w:hAnsi="Times New Roman"/>
          <w:b/>
          <w:sz w:val="24"/>
        </w:rPr>
        <w:t xml:space="preserve">rage of the SAO external audit </w:t>
      </w:r>
      <w:r w:rsidRPr="00051023">
        <w:rPr>
          <w:rFonts w:ascii="Times New Roman" w:hAnsi="Times New Roman"/>
          <w:b/>
          <w:sz w:val="24"/>
        </w:rPr>
        <w:t>is limited and inspection departments’</w:t>
      </w:r>
      <w:r w:rsidRPr="00051023">
        <w:rPr>
          <w:rFonts w:ascii="Times New Roman" w:eastAsiaTheme="minorHAnsi" w:hAnsi="Times New Roman"/>
          <w:sz w:val="24"/>
        </w:rPr>
        <w:t xml:space="preserve"> single focus on compliance reduces their possible impact on the enforcement of control mechanisms and the absence of clear sanctions and penalties in cases of deviations act as a deterrent for strong internal control procedures to ensure public resources are managed in an effective and efficient manner.</w:t>
      </w:r>
    </w:p>
    <w:p w14:paraId="293471D6" w14:textId="77777777" w:rsidR="00E12685" w:rsidRDefault="00E12685" w:rsidP="008037D9">
      <w:pPr>
        <w:pStyle w:val="Heading2"/>
        <w:numPr>
          <w:ilvl w:val="1"/>
          <w:numId w:val="22"/>
        </w:numPr>
        <w:spacing w:after="200"/>
        <w:rPr>
          <w:rFonts w:ascii="Times New Roman" w:hAnsi="Times New Roman"/>
          <w:color w:val="0070C0"/>
        </w:rPr>
      </w:pPr>
      <w:bookmarkStart w:id="122" w:name="_Toc495306463"/>
      <w:bookmarkStart w:id="123" w:name="_Toc504934561"/>
      <w:bookmarkStart w:id="124" w:name="_Toc504974062"/>
      <w:bookmarkStart w:id="125" w:name="_Toc4149017"/>
      <w:r w:rsidRPr="00C001AC">
        <w:rPr>
          <w:rFonts w:ascii="Times New Roman" w:hAnsi="Times New Roman"/>
          <w:color w:val="0070C0"/>
        </w:rPr>
        <w:t>PFM Strengths and Weaknesses</w:t>
      </w:r>
      <w:bookmarkEnd w:id="122"/>
      <w:bookmarkEnd w:id="123"/>
      <w:bookmarkEnd w:id="124"/>
      <w:bookmarkEnd w:id="125"/>
    </w:p>
    <w:p w14:paraId="5BFFDA02" w14:textId="77777777" w:rsidR="00E12685" w:rsidRPr="00720870" w:rsidRDefault="00E12685" w:rsidP="00051023">
      <w:pPr>
        <w:pStyle w:val="ListParagraph"/>
        <w:numPr>
          <w:ilvl w:val="0"/>
          <w:numId w:val="110"/>
        </w:numPr>
        <w:spacing w:after="240"/>
        <w:ind w:left="0" w:firstLine="0"/>
        <w:contextualSpacing w:val="0"/>
        <w:rPr>
          <w:rFonts w:ascii="Times New Roman" w:hAnsi="Times New Roman"/>
          <w:sz w:val="24"/>
        </w:rPr>
      </w:pPr>
      <w:r w:rsidRPr="00720870">
        <w:rPr>
          <w:rFonts w:ascii="Times New Roman" w:hAnsi="Times New Roman"/>
          <w:b/>
          <w:sz w:val="24"/>
        </w:rPr>
        <w:t>Sound PFM performance is a prerequisite for achieving the government’s objectives.</w:t>
      </w:r>
      <w:r w:rsidRPr="00720870">
        <w:rPr>
          <w:rFonts w:ascii="Times New Roman" w:hAnsi="Times New Roman"/>
          <w:sz w:val="24"/>
        </w:rPr>
        <w:t xml:space="preserve"> The impact of the PFM performance as described above on the overall achievement of the three main fiscal and budgetary outcomes is as follows: </w:t>
      </w:r>
    </w:p>
    <w:p w14:paraId="015B7292"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720870">
        <w:rPr>
          <w:rFonts w:ascii="Times New Roman" w:hAnsi="Times New Roman"/>
          <w:b/>
          <w:color w:val="000000" w:themeColor="text1"/>
          <w:sz w:val="24"/>
        </w:rPr>
        <w:t>Aggregate Fiscal Discipline</w:t>
      </w:r>
      <w:r>
        <w:rPr>
          <w:rFonts w:ascii="Times New Roman" w:hAnsi="Times New Roman"/>
          <w:b/>
          <w:color w:val="000000" w:themeColor="text1"/>
          <w:sz w:val="24"/>
        </w:rPr>
        <w:t xml:space="preserve">.  </w:t>
      </w:r>
      <w:r w:rsidRPr="00720870">
        <w:rPr>
          <w:rFonts w:ascii="Times New Roman" w:hAnsi="Times New Roman"/>
          <w:color w:val="000000" w:themeColor="text1"/>
          <w:sz w:val="24"/>
        </w:rPr>
        <w:t xml:space="preserve">This </w:t>
      </w:r>
      <w:r w:rsidRPr="00E70557">
        <w:rPr>
          <w:rFonts w:ascii="Times New Roman" w:hAnsi="Times New Roman"/>
          <w:sz w:val="24"/>
        </w:rPr>
        <w:t xml:space="preserve">is normally supported by the capability to prepare robust projections of macroeconomic and fiscal performance; proper budget reporting of revenue and expenditure operations within and outside the budget; and </w:t>
      </w:r>
      <w:proofErr w:type="gramStart"/>
      <w:r w:rsidRPr="00E70557">
        <w:rPr>
          <w:rFonts w:ascii="Times New Roman" w:hAnsi="Times New Roman"/>
          <w:sz w:val="24"/>
        </w:rPr>
        <w:t>sufficient</w:t>
      </w:r>
      <w:proofErr w:type="gramEnd"/>
      <w:r w:rsidRPr="00E70557">
        <w:rPr>
          <w:rFonts w:ascii="Times New Roman" w:hAnsi="Times New Roman"/>
          <w:sz w:val="24"/>
        </w:rPr>
        <w:t xml:space="preserve"> control over fiscal risks and commitments to maintain expenditures during budget execution and deliver the budget aggregates as planned.</w:t>
      </w:r>
    </w:p>
    <w:p w14:paraId="2C46F779"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 xml:space="preserve">The government currently lacks a solid macro-fiscal framework and the definition of strict fiscal rules is limited in the absence of a consistent and sustainable fiscal strategy. </w:t>
      </w:r>
      <w:r w:rsidRPr="00E70557">
        <w:rPr>
          <w:rFonts w:ascii="Times New Roman" w:hAnsi="Times New Roman"/>
          <w:sz w:val="24"/>
        </w:rPr>
        <w:t xml:space="preserve">The simple modeling instruments in place based on realistic revenue forecasting and aligned with international practices are undermined by political decisions inherited from the centrally-planned systems (based on GDP targets). The platform established by the FPD as a medium-term fiscal framework (MTFF) provides a medium-term approach with forward estimates and fiscal outcomes. The fiscal rules on the total annual budget deficit, set at a maximum 5 percent of GDP and the outstanding (foreign and domestic) debt at not more than 60 percent of GDP are not </w:t>
      </w:r>
      <w:r w:rsidRPr="00E70557">
        <w:rPr>
          <w:rFonts w:ascii="Times New Roman" w:hAnsi="Times New Roman"/>
          <w:sz w:val="24"/>
        </w:rPr>
        <w:lastRenderedPageBreak/>
        <w:t xml:space="preserve">strictly obeyed. </w:t>
      </w:r>
    </w:p>
    <w:p w14:paraId="3990ABC9"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Cash management and payments of the main expenditures are controlled through the national Treasury and set against the constraints of the quarterly and monthly plans from the approved state budget.</w:t>
      </w:r>
      <w:r w:rsidRPr="00E70557">
        <w:rPr>
          <w:rFonts w:ascii="Times New Roman" w:hAnsi="Times New Roman"/>
          <w:sz w:val="24"/>
        </w:rPr>
        <w:t xml:space="preserve"> Payroll is centralized and has been strictly controlled since the last overruns in 2015. Expenditure arrears are not authorized and fiscal risks to the central government budget are identified. However, control over the provincial and municipal budgets is limited to cash rationing, even if it has not formally been the case in the recent years, and operations outside the government’s financial reporting by subnational level and SOEs still comprise significant amounts, that are neither consolidated not disclosed and therefore fiscal risks related to SOEs operations cannot be consistently monitored. The revenues and expenditures of the extra budgetary funds have their own financial reporting and benefit from spending flexibility. The main problem concerning the budget carry-overs at the end of each fiscal year have been addressed and payments allowed after the end of the closing date are based on liabilities recorded and authorized at the end of the fiscal year, therefore if it delays the closing of accounts, it does not undermine the meaning of annual budgets.</w:t>
      </w:r>
      <w:r w:rsidR="00743992">
        <w:rPr>
          <w:rFonts w:ascii="Times New Roman" w:hAnsi="Times New Roman"/>
          <w:sz w:val="24"/>
        </w:rPr>
        <w:t xml:space="preserve"> ODA funding is in the process of </w:t>
      </w:r>
      <w:proofErr w:type="spellStart"/>
      <w:r w:rsidR="00743992">
        <w:rPr>
          <w:rFonts w:ascii="Times New Roman" w:hAnsi="Times New Roman"/>
          <w:sz w:val="24"/>
        </w:rPr>
        <w:t>beeing</w:t>
      </w:r>
      <w:proofErr w:type="spellEnd"/>
      <w:r w:rsidR="00743992">
        <w:rPr>
          <w:rFonts w:ascii="Times New Roman" w:hAnsi="Times New Roman"/>
          <w:sz w:val="24"/>
        </w:rPr>
        <w:t xml:space="preserve"> progressively consolidated into Treasury systems but is still managed and reported separately. </w:t>
      </w:r>
    </w:p>
    <w:p w14:paraId="7E1B004A"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b/>
          <w:sz w:val="24"/>
        </w:rPr>
      </w:pPr>
      <w:r w:rsidRPr="00E70557">
        <w:rPr>
          <w:rFonts w:ascii="Times New Roman" w:hAnsi="Times New Roman"/>
          <w:b/>
          <w:sz w:val="24"/>
        </w:rPr>
        <w:t>The revenue administration has not yet defined plans to improve tax compliance and collect tax arrears.</w:t>
      </w:r>
      <w:r w:rsidR="00F9206C">
        <w:rPr>
          <w:rFonts w:ascii="Times New Roman" w:hAnsi="Times New Roman"/>
          <w:sz w:val="24"/>
        </w:rPr>
        <w:t xml:space="preserve"> </w:t>
      </w:r>
      <w:r w:rsidRPr="00E70557">
        <w:rPr>
          <w:rFonts w:ascii="Times New Roman" w:hAnsi="Times New Roman"/>
          <w:sz w:val="24"/>
        </w:rPr>
        <w:t xml:space="preserve">The absence – at present - of a well formulated risk-based administration of revenue is a constraint, as there is no </w:t>
      </w:r>
      <w:r w:rsidRPr="00E70557">
        <w:rPr>
          <w:rFonts w:ascii="Times New Roman" w:eastAsiaTheme="minorHAnsi" w:hAnsi="Times New Roman"/>
          <w:sz w:val="24"/>
        </w:rPr>
        <w:t>structured and systematic process for assessing, ranking and quantifyin</w:t>
      </w:r>
      <w:r w:rsidR="00F9206C">
        <w:rPr>
          <w:rFonts w:ascii="Times New Roman" w:eastAsiaTheme="minorHAnsi" w:hAnsi="Times New Roman"/>
          <w:sz w:val="24"/>
        </w:rPr>
        <w:t xml:space="preserve">g taxpayers’ compliance risks. </w:t>
      </w:r>
      <w:r w:rsidRPr="00E70557">
        <w:rPr>
          <w:rFonts w:ascii="Times New Roman" w:eastAsiaTheme="minorHAnsi" w:hAnsi="Times New Roman"/>
          <w:sz w:val="24"/>
        </w:rPr>
        <w:t xml:space="preserve">The application of risk criteria and </w:t>
      </w:r>
      <w:r w:rsidRPr="00E70557">
        <w:rPr>
          <w:rFonts w:ascii="Times New Roman" w:hAnsi="Times New Roman"/>
          <w:sz w:val="24"/>
        </w:rPr>
        <w:t xml:space="preserve">monitoring of the ageing and collectability of arrears </w:t>
      </w:r>
      <w:r w:rsidRPr="00E70557">
        <w:rPr>
          <w:rFonts w:ascii="Times New Roman" w:eastAsiaTheme="minorHAnsi" w:hAnsi="Times New Roman"/>
          <w:sz w:val="24"/>
        </w:rPr>
        <w:t xml:space="preserve">is conditioned by the access to reliable and comprehensive data from internal and external sources through a proper tax information management system, which has still to be developed and depends upon the enforcement capacity from the tax administration. At present, the tax legislation offers interpretation loopholes and many options for tax exemptions, and </w:t>
      </w:r>
      <w:r w:rsidRPr="00E70557">
        <w:rPr>
          <w:rFonts w:ascii="Times New Roman" w:hAnsi="Times New Roman"/>
          <w:sz w:val="24"/>
        </w:rPr>
        <w:t xml:space="preserve">a significant amount of tax debts are being negotiated between tax collectors and tax payers. </w:t>
      </w:r>
    </w:p>
    <w:p w14:paraId="6CE71D4D"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b/>
          <w:sz w:val="24"/>
        </w:rPr>
      </w:pPr>
      <w:r w:rsidRPr="00E70557">
        <w:rPr>
          <w:rFonts w:ascii="Times New Roman" w:hAnsi="Times New Roman"/>
          <w:b/>
          <w:sz w:val="24"/>
        </w:rPr>
        <w:t>Delays in reconciliations and accounting systems are inadequate to monitor and facilitate budget delivery.</w:t>
      </w:r>
      <w:r w:rsidRPr="00E70557">
        <w:rPr>
          <w:rFonts w:ascii="Times New Roman" w:hAnsi="Times New Roman"/>
          <w:sz w:val="24"/>
        </w:rPr>
        <w:t xml:space="preserve"> At the same time, fiscal discipline is undermined by a clear lack of public transparency in the administrative classification in budget and accounts and public and timely disclosure of budget information which would inform and facilitate public demand for accountability. It is also reflected in the limited economic appraisal of investment projects proposed in the budget and the social and economic costs and benefits is therefore not exposed to any scrutiny outside the legislature.</w:t>
      </w:r>
      <w:r w:rsidRPr="00E70557">
        <w:rPr>
          <w:rFonts w:ascii="Times New Roman" w:hAnsi="Times New Roman"/>
          <w:b/>
          <w:sz w:val="24"/>
        </w:rPr>
        <w:t xml:space="preserve"> </w:t>
      </w:r>
    </w:p>
    <w:p w14:paraId="795C0E14"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Contingent liabilities are identified and analyzed but cannot be disclosed.</w:t>
      </w:r>
      <w:r w:rsidR="00F9206C">
        <w:rPr>
          <w:rFonts w:ascii="Times New Roman" w:hAnsi="Times New Roman"/>
          <w:sz w:val="24"/>
        </w:rPr>
        <w:t xml:space="preserve"> </w:t>
      </w:r>
      <w:r w:rsidRPr="00E70557">
        <w:rPr>
          <w:rFonts w:ascii="Times New Roman" w:hAnsi="Times New Roman"/>
          <w:sz w:val="24"/>
        </w:rPr>
        <w:t xml:space="preserve">The comprehensive overview of the exposure to significant risks from explicit contingent liabilities within the infrastructure sector has been consolidated at the high level of government and led to a concrete debt restructuring effort over the last 2 </w:t>
      </w:r>
      <w:proofErr w:type="gramStart"/>
      <w:r w:rsidRPr="00E70557">
        <w:rPr>
          <w:rFonts w:ascii="Times New Roman" w:hAnsi="Times New Roman"/>
          <w:sz w:val="24"/>
        </w:rPr>
        <w:t>years, but</w:t>
      </w:r>
      <w:proofErr w:type="gramEnd"/>
      <w:r w:rsidRPr="00E70557">
        <w:rPr>
          <w:rFonts w:ascii="Times New Roman" w:hAnsi="Times New Roman"/>
          <w:sz w:val="24"/>
        </w:rPr>
        <w:t xml:space="preserve"> has not been made public. In addition, data on the quantification of, and provision for, implicit contingent liabilities, some of which may be considerable, are unavailable, for example the potential need to bail out large SOEs with non-guaranteed debts. Additionally, the lack of information pertaining to explicit contingencies relating to health and social security schemes, with no data available on these, is also a concern. </w:t>
      </w:r>
    </w:p>
    <w:p w14:paraId="5B94FFE3" w14:textId="77777777" w:rsidR="00E12685" w:rsidRPr="00720870"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The oversight from the external audit (SAO) and the formal scrutiny by the national assembly is improving the accountability over government operations</w:t>
      </w:r>
      <w:r w:rsidR="00F9206C">
        <w:rPr>
          <w:rFonts w:ascii="Times New Roman" w:hAnsi="Times New Roman"/>
          <w:b/>
          <w:sz w:val="24"/>
        </w:rPr>
        <w:t>.</w:t>
      </w:r>
      <w:r>
        <w:rPr>
          <w:rFonts w:ascii="Times New Roman" w:hAnsi="Times New Roman"/>
          <w:b/>
          <w:sz w:val="24"/>
        </w:rPr>
        <w:t xml:space="preserve"> </w:t>
      </w:r>
      <w:r w:rsidRPr="00720870">
        <w:rPr>
          <w:rFonts w:ascii="Times New Roman" w:hAnsi="Times New Roman"/>
          <w:sz w:val="24"/>
        </w:rPr>
        <w:lastRenderedPageBreak/>
        <w:t>There is limited capacity to assess the result of fiscal management and debate government’s fiscal policy choices which undermines the impact of the legislative exercise.</w:t>
      </w:r>
    </w:p>
    <w:p w14:paraId="7E299395"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720870">
        <w:rPr>
          <w:rFonts w:ascii="Times New Roman" w:hAnsi="Times New Roman"/>
          <w:b/>
          <w:color w:val="000000" w:themeColor="text1"/>
          <w:sz w:val="24"/>
        </w:rPr>
        <w:t>Strategic Allocation of Resources</w:t>
      </w:r>
      <w:r w:rsidR="00F9206C">
        <w:rPr>
          <w:rFonts w:ascii="Times New Roman" w:hAnsi="Times New Roman"/>
          <w:b/>
          <w:color w:val="000000" w:themeColor="text1"/>
          <w:sz w:val="24"/>
        </w:rPr>
        <w:t>.</w:t>
      </w:r>
      <w:r>
        <w:rPr>
          <w:rFonts w:ascii="Times New Roman" w:hAnsi="Times New Roman"/>
          <w:b/>
          <w:color w:val="000000" w:themeColor="text1"/>
          <w:sz w:val="24"/>
        </w:rPr>
        <w:t xml:space="preserve"> </w:t>
      </w:r>
      <w:r w:rsidRPr="00E70557">
        <w:rPr>
          <w:rFonts w:ascii="Times New Roman" w:hAnsi="Times New Roman"/>
          <w:sz w:val="24"/>
        </w:rPr>
        <w:t>This should be led by: the existence of budget rules and circulars that assign predictable budget ceilings for the annual budget formulation; the bottom-up and top-down budget formulation process and adoption of a five-year national strategic plan defining priorities; the submission of timely, complete and relevant information in the draft budget submission for consideration by parliament;  the regular and timely approval of the annual budget law before the effective date of the corresponding fiscal year.</w:t>
      </w:r>
    </w:p>
    <w:p w14:paraId="1C0FBF74"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As a strength, the solid and politically-driven p</w:t>
      </w:r>
      <w:r w:rsidR="00F9206C">
        <w:rPr>
          <w:rFonts w:ascii="Times New Roman" w:hAnsi="Times New Roman"/>
          <w:b/>
          <w:sz w:val="24"/>
        </w:rPr>
        <w:t>lanning process producing the 5-</w:t>
      </w:r>
      <w:r w:rsidRPr="00E70557">
        <w:rPr>
          <w:rFonts w:ascii="Times New Roman" w:hAnsi="Times New Roman"/>
          <w:b/>
          <w:sz w:val="24"/>
        </w:rPr>
        <w:t>year Socio Economic Development Plan, and its annual version, and the orderly and timely annual budget preparation process ensure that all the budget entities know their priorities and budget allocation before the start of the fiscal year</w:t>
      </w:r>
      <w:r w:rsidRPr="00E70557">
        <w:rPr>
          <w:rFonts w:ascii="Times New Roman" w:hAnsi="Times New Roman"/>
          <w:sz w:val="24"/>
        </w:rPr>
        <w:t>. The arrangements for revenue sharing with provinces are based on fixed expenditure and revenue ceilings, including the equalization transfers to poorer provinces and the distribution of provincial allocation by functions.</w:t>
      </w:r>
      <w:r w:rsidRPr="00E70557">
        <w:rPr>
          <w:rFonts w:ascii="Times New Roman" w:hAnsi="Times New Roman"/>
          <w:szCs w:val="22"/>
        </w:rPr>
        <w:t xml:space="preserve"> </w:t>
      </w:r>
      <w:r w:rsidRPr="00E70557">
        <w:rPr>
          <w:rFonts w:ascii="Times New Roman" w:hAnsi="Times New Roman"/>
          <w:sz w:val="24"/>
        </w:rPr>
        <w:t xml:space="preserve">The budget circular is a result of a due consultation between NA, MPI and MoF on investment priorities and portfolio and on the expenditure allocation. Although there are no budget ceilings as such, the budget instructions provide the budgetary units with the necessary information to set their priorities through their own budgeting processes. </w:t>
      </w:r>
    </w:p>
    <w:p w14:paraId="23309697"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 xml:space="preserve">On the other hand, the lack of reliability of resource flows – and the budget adjustments </w:t>
      </w:r>
      <w:r>
        <w:rPr>
          <w:rFonts w:ascii="Times New Roman" w:hAnsi="Times New Roman"/>
          <w:b/>
          <w:sz w:val="24"/>
        </w:rPr>
        <w:t>driven</w:t>
      </w:r>
      <w:r w:rsidRPr="00E70557">
        <w:rPr>
          <w:rFonts w:ascii="Times New Roman" w:hAnsi="Times New Roman"/>
          <w:b/>
          <w:sz w:val="24"/>
        </w:rPr>
        <w:t xml:space="preserve"> by lower than expected revenue outturns - affects the capacity to deliver the plans</w:t>
      </w:r>
      <w:r>
        <w:rPr>
          <w:rFonts w:ascii="Times New Roman" w:hAnsi="Times New Roman"/>
          <w:b/>
          <w:sz w:val="24"/>
        </w:rPr>
        <w:t>.</w:t>
      </w:r>
      <w:r w:rsidRPr="009C2C1B">
        <w:rPr>
          <w:rFonts w:ascii="Times New Roman" w:hAnsi="Times New Roman"/>
          <w:sz w:val="24"/>
        </w:rPr>
        <w:t xml:space="preserve">  Systematic in-year budget revisions </w:t>
      </w:r>
      <w:r>
        <w:rPr>
          <w:rFonts w:ascii="Times New Roman" w:hAnsi="Times New Roman"/>
          <w:sz w:val="24"/>
        </w:rPr>
        <w:t>ultimately affect</w:t>
      </w:r>
      <w:r w:rsidRPr="009C2C1B">
        <w:rPr>
          <w:rFonts w:ascii="Times New Roman" w:hAnsi="Times New Roman"/>
          <w:sz w:val="24"/>
        </w:rPr>
        <w:t xml:space="preserve"> the quality of spending.</w:t>
      </w:r>
      <w:r w:rsidRPr="00E70557">
        <w:rPr>
          <w:rFonts w:ascii="Times New Roman" w:hAnsi="Times New Roman"/>
          <w:sz w:val="24"/>
        </w:rPr>
        <w:t xml:space="preserve"> The general issue stems from the significant over-estimation of revenue forecasts</w:t>
      </w:r>
      <w:r>
        <w:rPr>
          <w:rFonts w:ascii="Times New Roman" w:hAnsi="Times New Roman"/>
          <w:sz w:val="24"/>
        </w:rPr>
        <w:t>.</w:t>
      </w:r>
      <w:r w:rsidRPr="00E70557">
        <w:rPr>
          <w:rFonts w:ascii="Times New Roman" w:hAnsi="Times New Roman"/>
          <w:sz w:val="24"/>
        </w:rPr>
        <w:t xml:space="preserve"> Furthermore, </w:t>
      </w:r>
      <w:r w:rsidRPr="00F9206C">
        <w:rPr>
          <w:rFonts w:ascii="Times New Roman" w:hAnsi="Times New Roman"/>
          <w:sz w:val="24"/>
        </w:rPr>
        <w:t xml:space="preserve">the existing medium-term fiscal framework and </w:t>
      </w:r>
      <w:proofErr w:type="gramStart"/>
      <w:r w:rsidRPr="00F9206C">
        <w:rPr>
          <w:rFonts w:ascii="Times New Roman" w:hAnsi="Times New Roman"/>
          <w:sz w:val="24"/>
        </w:rPr>
        <w:t>medium term</w:t>
      </w:r>
      <w:proofErr w:type="gramEnd"/>
      <w:r w:rsidRPr="00F9206C">
        <w:rPr>
          <w:rFonts w:ascii="Times New Roman" w:hAnsi="Times New Roman"/>
          <w:sz w:val="24"/>
        </w:rPr>
        <w:t xml:space="preserve"> expenditure framework established - with donor-support – are not consistent with resource availability, and the link between capital and recurrent expenditure managed through distinct processes is weak. As a result, they are not used as a basis to focus on priorities in the allocation of funds among institutions and sectors and strategic sector planning remains weak. The limited budget classification does not provide </w:t>
      </w:r>
      <w:proofErr w:type="gramStart"/>
      <w:r w:rsidRPr="00F9206C">
        <w:rPr>
          <w:rFonts w:ascii="Times New Roman" w:hAnsi="Times New Roman"/>
          <w:sz w:val="24"/>
        </w:rPr>
        <w:t>sufficient</w:t>
      </w:r>
      <w:proofErr w:type="gramEnd"/>
      <w:r w:rsidRPr="00F9206C">
        <w:rPr>
          <w:rFonts w:ascii="Times New Roman" w:hAnsi="Times New Roman"/>
          <w:sz w:val="24"/>
        </w:rPr>
        <w:t xml:space="preserve"> information on budget execution to enable effective monitoring of budget allocations by function and informed policy decisions.  Externally funded projects are monitored separately and there are no systems to track allocations received by service delivery units. Parliamentary scrutiny over budget formulation and execution is based on aggregate comprehensive information, with no detailed revenue and expenditure estimates. The absence of performance information in the budget execution reports, weak investment project costing</w:t>
      </w:r>
      <w:r w:rsidRPr="00E70557">
        <w:rPr>
          <w:rFonts w:ascii="Times New Roman" w:hAnsi="Times New Roman"/>
          <w:sz w:val="24"/>
        </w:rPr>
        <w:t xml:space="preserve"> and lack of clarity in the monitoring performed on the external control recommendations weaken the overall budgeting process. Improvements are required to facilitate accountability on the outputs of financial execution through the delivery of public services. </w:t>
      </w:r>
      <w:r>
        <w:rPr>
          <w:rFonts w:ascii="Times New Roman" w:hAnsi="Times New Roman"/>
          <w:sz w:val="24"/>
        </w:rPr>
        <w:t xml:space="preserve"> </w:t>
      </w:r>
      <w:r w:rsidRPr="00E70557">
        <w:rPr>
          <w:rFonts w:ascii="Times New Roman" w:hAnsi="Times New Roman"/>
          <w:sz w:val="24"/>
        </w:rPr>
        <w:t xml:space="preserve">Evaluation reports on line ministries’ performance – as produced </w:t>
      </w:r>
      <w:r w:rsidR="00743992">
        <w:rPr>
          <w:rFonts w:ascii="Times New Roman" w:hAnsi="Times New Roman"/>
          <w:sz w:val="24"/>
        </w:rPr>
        <w:t xml:space="preserve">and published </w:t>
      </w:r>
      <w:r w:rsidRPr="00E70557">
        <w:rPr>
          <w:rFonts w:ascii="Times New Roman" w:hAnsi="Times New Roman"/>
          <w:sz w:val="24"/>
        </w:rPr>
        <w:t xml:space="preserve">for Education and Health – are </w:t>
      </w:r>
      <w:r>
        <w:rPr>
          <w:rFonts w:ascii="Times New Roman" w:hAnsi="Times New Roman"/>
          <w:sz w:val="24"/>
        </w:rPr>
        <w:t>motivated by external financing</w:t>
      </w:r>
      <w:r w:rsidRPr="00E70557">
        <w:rPr>
          <w:rFonts w:ascii="Times New Roman" w:hAnsi="Times New Roman"/>
          <w:sz w:val="24"/>
        </w:rPr>
        <w:t xml:space="preserve"> requirements</w:t>
      </w:r>
      <w:r>
        <w:rPr>
          <w:rFonts w:ascii="Times New Roman" w:hAnsi="Times New Roman"/>
          <w:sz w:val="24"/>
        </w:rPr>
        <w:t xml:space="preserve"> and are not driven by the desire of the government to understand how government performs</w:t>
      </w:r>
      <w:r w:rsidRPr="00E70557">
        <w:rPr>
          <w:rFonts w:ascii="Times New Roman" w:hAnsi="Times New Roman"/>
          <w:sz w:val="24"/>
        </w:rPr>
        <w:t>.</w:t>
      </w:r>
    </w:p>
    <w:p w14:paraId="1A0DE358" w14:textId="77777777" w:rsidR="00E12685" w:rsidRPr="009C2C1B"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lang w:val="en-GB"/>
        </w:rPr>
      </w:pPr>
      <w:r w:rsidRPr="00E70557">
        <w:rPr>
          <w:rFonts w:ascii="Times New Roman" w:hAnsi="Times New Roman"/>
          <w:b/>
          <w:sz w:val="24"/>
        </w:rPr>
        <w:t xml:space="preserve">Procurement </w:t>
      </w:r>
      <w:r>
        <w:rPr>
          <w:rFonts w:ascii="Times New Roman" w:hAnsi="Times New Roman"/>
          <w:b/>
          <w:sz w:val="24"/>
        </w:rPr>
        <w:t>c</w:t>
      </w:r>
      <w:r w:rsidRPr="00E70557">
        <w:rPr>
          <w:rFonts w:ascii="Times New Roman" w:hAnsi="Times New Roman"/>
          <w:b/>
          <w:sz w:val="24"/>
        </w:rPr>
        <w:t xml:space="preserve">ompetitive tendering procedures </w:t>
      </w:r>
      <w:r>
        <w:rPr>
          <w:rFonts w:ascii="Times New Roman" w:hAnsi="Times New Roman"/>
          <w:b/>
          <w:sz w:val="24"/>
        </w:rPr>
        <w:t>can be improved to</w:t>
      </w:r>
      <w:r w:rsidRPr="00E70557">
        <w:rPr>
          <w:rFonts w:ascii="Times New Roman" w:hAnsi="Times New Roman"/>
          <w:b/>
          <w:sz w:val="24"/>
        </w:rPr>
        <w:t xml:space="preserve"> strengthen the way resources are allocated.</w:t>
      </w:r>
      <w:r w:rsidRPr="00E70557">
        <w:rPr>
          <w:rFonts w:ascii="Times New Roman" w:hAnsi="Times New Roman"/>
          <w:sz w:val="24"/>
        </w:rPr>
        <w:t xml:space="preserve"> The recently approved new Procurement Law will have new instructions concerning the principles and operation of capital construction </w:t>
      </w:r>
      <w:r w:rsidRPr="00E70557">
        <w:rPr>
          <w:rFonts w:ascii="Times New Roman" w:hAnsi="Times New Roman"/>
          <w:sz w:val="24"/>
        </w:rPr>
        <w:lastRenderedPageBreak/>
        <w:t xml:space="preserve">budgeting, including regulations on appropriations, fund allocation, payment, and final accounting for capital construction projects </w:t>
      </w:r>
      <w:proofErr w:type="gramStart"/>
      <w:r w:rsidRPr="00E70557">
        <w:rPr>
          <w:rFonts w:ascii="Times New Roman" w:hAnsi="Times New Roman"/>
          <w:sz w:val="24"/>
        </w:rPr>
        <w:t>so as to</w:t>
      </w:r>
      <w:proofErr w:type="gramEnd"/>
      <w:r w:rsidRPr="00E70557">
        <w:rPr>
          <w:rFonts w:ascii="Times New Roman" w:hAnsi="Times New Roman"/>
          <w:sz w:val="24"/>
        </w:rPr>
        <w:t xml:space="preserve"> bring it into line with good international practices.</w:t>
      </w:r>
    </w:p>
    <w:p w14:paraId="21D75B32"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b/>
          <w:sz w:val="24"/>
        </w:rPr>
      </w:pPr>
      <w:r w:rsidRPr="009C2C1B">
        <w:rPr>
          <w:rFonts w:ascii="Times New Roman" w:hAnsi="Times New Roman"/>
          <w:b/>
          <w:color w:val="000000" w:themeColor="text1"/>
          <w:sz w:val="24"/>
        </w:rPr>
        <w:t>Efficient Service Delivery</w:t>
      </w:r>
      <w:r>
        <w:rPr>
          <w:rFonts w:ascii="Times New Roman" w:hAnsi="Times New Roman"/>
          <w:b/>
          <w:color w:val="000000" w:themeColor="text1"/>
          <w:sz w:val="24"/>
        </w:rPr>
        <w:t xml:space="preserve">.  </w:t>
      </w:r>
      <w:r w:rsidRPr="009C2C1B">
        <w:rPr>
          <w:rFonts w:ascii="Times New Roman" w:hAnsi="Times New Roman"/>
          <w:color w:val="000000" w:themeColor="text1"/>
          <w:sz w:val="24"/>
        </w:rPr>
        <w:t>This i</w:t>
      </w:r>
      <w:r w:rsidRPr="009C2C1B">
        <w:rPr>
          <w:rFonts w:ascii="Times New Roman" w:hAnsi="Times New Roman"/>
          <w:sz w:val="24"/>
        </w:rPr>
        <w:t>s</w:t>
      </w:r>
      <w:r w:rsidRPr="00E70557">
        <w:rPr>
          <w:rFonts w:ascii="Times New Roman" w:hAnsi="Times New Roman"/>
          <w:sz w:val="24"/>
        </w:rPr>
        <w:t xml:space="preserve"> normally supported by strong public investment management and procurement</w:t>
      </w:r>
      <w:r>
        <w:rPr>
          <w:rFonts w:ascii="Times New Roman" w:hAnsi="Times New Roman"/>
          <w:sz w:val="24"/>
        </w:rPr>
        <w:t xml:space="preserve"> systems that can ensure value for m</w:t>
      </w:r>
      <w:r w:rsidRPr="00E70557">
        <w:rPr>
          <w:rFonts w:ascii="Times New Roman" w:hAnsi="Times New Roman"/>
          <w:sz w:val="24"/>
        </w:rPr>
        <w:t>oney in the provision of public services. The existence of a performance measurement framework and public availability of reports</w:t>
      </w:r>
      <w:r>
        <w:rPr>
          <w:rFonts w:ascii="Times New Roman" w:hAnsi="Times New Roman"/>
          <w:sz w:val="24"/>
        </w:rPr>
        <w:t xml:space="preserve"> on budget scrutiny and audit acts as </w:t>
      </w:r>
      <w:r w:rsidRPr="00E70557">
        <w:rPr>
          <w:rFonts w:ascii="Times New Roman" w:hAnsi="Times New Roman"/>
          <w:sz w:val="24"/>
        </w:rPr>
        <w:t>a tool for cost control and accountability.</w:t>
      </w:r>
    </w:p>
    <w:p w14:paraId="5DD257CB"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Pr>
          <w:rFonts w:ascii="Times New Roman" w:hAnsi="Times New Roman"/>
          <w:b/>
          <w:sz w:val="24"/>
        </w:rPr>
        <w:t>W</w:t>
      </w:r>
      <w:r w:rsidRPr="00E70557">
        <w:rPr>
          <w:rFonts w:ascii="Times New Roman" w:hAnsi="Times New Roman"/>
          <w:b/>
          <w:sz w:val="24"/>
        </w:rPr>
        <w:t>eakness</w:t>
      </w:r>
      <w:r>
        <w:rPr>
          <w:rFonts w:ascii="Times New Roman" w:hAnsi="Times New Roman"/>
          <w:b/>
          <w:sz w:val="24"/>
        </w:rPr>
        <w:t>es</w:t>
      </w:r>
      <w:r w:rsidRPr="00E70557">
        <w:rPr>
          <w:rFonts w:ascii="Times New Roman" w:hAnsi="Times New Roman"/>
          <w:b/>
          <w:sz w:val="24"/>
        </w:rPr>
        <w:t xml:space="preserve"> in public investment projects starts in the upstream phase, where the planning capacity is </w:t>
      </w:r>
      <w:proofErr w:type="gramStart"/>
      <w:r w:rsidRPr="00E70557">
        <w:rPr>
          <w:rFonts w:ascii="Times New Roman" w:hAnsi="Times New Roman"/>
          <w:b/>
          <w:sz w:val="24"/>
        </w:rPr>
        <w:t>limited</w:t>
      </w:r>
      <w:proofErr w:type="gramEnd"/>
      <w:r w:rsidRPr="00E70557">
        <w:rPr>
          <w:rFonts w:ascii="Times New Roman" w:hAnsi="Times New Roman"/>
          <w:b/>
          <w:sz w:val="24"/>
        </w:rPr>
        <w:t xml:space="preserve"> </w:t>
      </w:r>
      <w:r w:rsidRPr="009C2C1B">
        <w:rPr>
          <w:rFonts w:ascii="Times New Roman" w:hAnsi="Times New Roman"/>
          <w:b/>
          <w:sz w:val="24"/>
        </w:rPr>
        <w:t>and pre-feasibility and selection criteria are not systematically applied.</w:t>
      </w:r>
      <w:r w:rsidRPr="00E70557">
        <w:rPr>
          <w:rFonts w:ascii="Times New Roman" w:hAnsi="Times New Roman"/>
          <w:sz w:val="24"/>
        </w:rPr>
        <w:t xml:space="preserve"> This weakness continues into the downstream phase, where the consolidated monitoring of decentralized implementation is lacking and processes for the costing, quality assurance and reporting on value-for-money and fiduciary integrity are not harmonized. Detailed technical and costing guidelines are available at the central government level (provided by JICA) but the management of public investments is decentralized to the line ministries and provinces, with no standardized quality assurance for socioeconomic and environmental evaluations, and pre-feasibility studies. </w:t>
      </w:r>
    </w:p>
    <w:p w14:paraId="697EDD49"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 xml:space="preserve">Procurement systems suffer from a lack of </w:t>
      </w:r>
      <w:r>
        <w:rPr>
          <w:rFonts w:ascii="Times New Roman" w:hAnsi="Times New Roman"/>
          <w:b/>
          <w:sz w:val="24"/>
        </w:rPr>
        <w:t>centralized</w:t>
      </w:r>
      <w:r w:rsidRPr="00E70557">
        <w:rPr>
          <w:rFonts w:ascii="Times New Roman" w:hAnsi="Times New Roman"/>
          <w:b/>
          <w:sz w:val="24"/>
        </w:rPr>
        <w:t xml:space="preserve"> monitoring and reporting</w:t>
      </w:r>
      <w:r w:rsidRPr="00E70557">
        <w:rPr>
          <w:rFonts w:ascii="Times New Roman" w:hAnsi="Times New Roman"/>
          <w:sz w:val="24"/>
        </w:rPr>
        <w:t xml:space="preserve">. The use of competitive procurement methods could not be </w:t>
      </w:r>
      <w:r>
        <w:rPr>
          <w:rFonts w:ascii="Times New Roman" w:hAnsi="Times New Roman"/>
          <w:sz w:val="24"/>
        </w:rPr>
        <w:t xml:space="preserve">fully </w:t>
      </w:r>
      <w:r w:rsidRPr="00E70557">
        <w:rPr>
          <w:rFonts w:ascii="Times New Roman" w:hAnsi="Times New Roman"/>
          <w:sz w:val="24"/>
        </w:rPr>
        <w:t xml:space="preserve">estimated. Data on single-source procurement operations, the resolution of complaints and procurement statistics are not compiled, neither at ministry nor provincial level. </w:t>
      </w:r>
    </w:p>
    <w:p w14:paraId="42FC31DB"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Cs w:val="22"/>
        </w:rPr>
      </w:pPr>
      <w:r w:rsidRPr="00E70557">
        <w:rPr>
          <w:rFonts w:ascii="Times New Roman" w:hAnsi="Times New Roman"/>
          <w:b/>
          <w:sz w:val="24"/>
        </w:rPr>
        <w:t xml:space="preserve">Weak monitoring of provincial government spending undermines the quality of local spending and hampers efficient service delivery. </w:t>
      </w:r>
      <w:r w:rsidRPr="00E70557">
        <w:rPr>
          <w:rFonts w:ascii="Times New Roman" w:hAnsi="Times New Roman"/>
          <w:sz w:val="24"/>
        </w:rPr>
        <w:t>The inter-governmental fiscal transfer system is not fully transparent, and budget execution reports lack reliability as consolidation of the district level is entered manually into the GFIS system.</w:t>
      </w:r>
    </w:p>
    <w:p w14:paraId="60116D75"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eastAsiaTheme="minorHAnsi" w:hAnsi="Times New Roman"/>
          <w:b/>
          <w:sz w:val="24"/>
        </w:rPr>
        <w:t>Weaknesses in wage bill management and capacity constraints limit the effectiveness of the public sector.</w:t>
      </w:r>
      <w:r w:rsidRPr="00E70557">
        <w:rPr>
          <w:rFonts w:ascii="Times New Roman" w:eastAsiaTheme="minorHAnsi" w:hAnsi="Times New Roman"/>
          <w:sz w:val="24"/>
        </w:rPr>
        <w:t xml:space="preserve"> Lao PDR has a large public sector; however, the level of access, quality, and efficiency of government services suggest that human resource management has room for improvement.</w:t>
      </w:r>
      <w:r>
        <w:rPr>
          <w:rFonts w:ascii="Times New Roman" w:eastAsiaTheme="minorHAnsi" w:hAnsi="Times New Roman"/>
          <w:sz w:val="24"/>
        </w:rPr>
        <w:t xml:space="preserve"> B</w:t>
      </w:r>
      <w:r w:rsidRPr="00E70557">
        <w:rPr>
          <w:rFonts w:ascii="Times New Roman" w:eastAsiaTheme="minorHAnsi" w:hAnsi="Times New Roman"/>
          <w:sz w:val="24"/>
        </w:rPr>
        <w:t xml:space="preserve">oth wage bill spending and the number of </w:t>
      </w:r>
      <w:proofErr w:type="gramStart"/>
      <w:r w:rsidRPr="00E70557">
        <w:rPr>
          <w:rFonts w:ascii="Times New Roman" w:eastAsiaTheme="minorHAnsi" w:hAnsi="Times New Roman"/>
          <w:sz w:val="24"/>
        </w:rPr>
        <w:t>staff</w:t>
      </w:r>
      <w:proofErr w:type="gramEnd"/>
      <w:r w:rsidRPr="00E70557">
        <w:rPr>
          <w:rFonts w:ascii="Times New Roman" w:eastAsiaTheme="minorHAnsi" w:hAnsi="Times New Roman"/>
          <w:sz w:val="24"/>
        </w:rPr>
        <w:t xml:space="preserve"> employed in the public sector are high compared to </w:t>
      </w:r>
      <w:r>
        <w:rPr>
          <w:rFonts w:ascii="Times New Roman" w:eastAsiaTheme="minorHAnsi" w:hAnsi="Times New Roman"/>
          <w:sz w:val="24"/>
        </w:rPr>
        <w:t xml:space="preserve">neighboring </w:t>
      </w:r>
      <w:r w:rsidRPr="00E70557">
        <w:rPr>
          <w:rFonts w:ascii="Times New Roman" w:eastAsiaTheme="minorHAnsi" w:hAnsi="Times New Roman"/>
          <w:sz w:val="24"/>
        </w:rPr>
        <w:t>countries</w:t>
      </w:r>
      <w:r>
        <w:rPr>
          <w:rFonts w:ascii="Times New Roman" w:eastAsiaTheme="minorHAnsi" w:hAnsi="Times New Roman"/>
          <w:sz w:val="24"/>
        </w:rPr>
        <w:t>.</w:t>
      </w:r>
    </w:p>
    <w:p w14:paraId="17A1059C" w14:textId="77777777" w:rsidR="00E12685" w:rsidRPr="00E70557" w:rsidRDefault="00E12685" w:rsidP="00F9206C">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E70557">
        <w:rPr>
          <w:rFonts w:ascii="Times New Roman" w:hAnsi="Times New Roman"/>
          <w:b/>
          <w:sz w:val="24"/>
        </w:rPr>
        <w:t>Ex-post budget scrutiny reveals a mixed oversight performance between the external audit function and parliament.</w:t>
      </w:r>
      <w:r w:rsidRPr="00E70557">
        <w:rPr>
          <w:rFonts w:ascii="Times New Roman" w:hAnsi="Times New Roman"/>
          <w:sz w:val="24"/>
        </w:rPr>
        <w:t xml:space="preserve"> The low capacity and lack of effective internal control and internal audit function in line ministries and sub-national governments has resulted in fragmented, sub-optimal use of resources. The role of SAO in the oversight over government spending is essential and all central agencies and line ministries’ budget execution are audited but there is no audit opinion and SAO reports are not published. The response by the government to audit recommendations is not monitored on an annual basis and there is no comprehensive, transparent and effective follow-up on external audit and budget reports by the NA. Scrutiny and reviews of public investment expenditures should contribute to better service delivery, but insufficient qualifications and skills available hamper the actual capacity of the government institutions and </w:t>
      </w:r>
      <w:r w:rsidR="00743992">
        <w:rPr>
          <w:rFonts w:ascii="Times New Roman" w:hAnsi="Times New Roman"/>
          <w:sz w:val="24"/>
        </w:rPr>
        <w:t xml:space="preserve">still allow </w:t>
      </w:r>
      <w:r w:rsidRPr="00E70557">
        <w:rPr>
          <w:rFonts w:ascii="Times New Roman" w:hAnsi="Times New Roman"/>
          <w:sz w:val="24"/>
        </w:rPr>
        <w:t>nepotism and collusion.</w:t>
      </w:r>
    </w:p>
    <w:p w14:paraId="1760FEED" w14:textId="77777777" w:rsidR="00E12685" w:rsidRDefault="00E12685" w:rsidP="00F9206C">
      <w:pPr>
        <w:pStyle w:val="ListParagraph"/>
        <w:widowControl w:val="0"/>
        <w:numPr>
          <w:ilvl w:val="0"/>
          <w:numId w:val="76"/>
        </w:numPr>
        <w:autoSpaceDE w:val="0"/>
        <w:autoSpaceDN w:val="0"/>
        <w:adjustRightInd w:val="0"/>
        <w:spacing w:before="0" w:after="120"/>
        <w:contextualSpacing w:val="0"/>
        <w:rPr>
          <w:rFonts w:ascii="Times New Roman" w:eastAsiaTheme="minorHAnsi" w:hAnsi="Times New Roman"/>
          <w:sz w:val="24"/>
        </w:rPr>
      </w:pPr>
      <w:r w:rsidRPr="00E70557">
        <w:rPr>
          <w:rFonts w:ascii="Times New Roman" w:hAnsi="Times New Roman"/>
          <w:b/>
          <w:sz w:val="24"/>
        </w:rPr>
        <w:t xml:space="preserve">Transparency in public finances needs to be seriously improved as well as timely access to data and performance information. </w:t>
      </w:r>
      <w:r w:rsidRPr="00E70557">
        <w:rPr>
          <w:rFonts w:ascii="Times New Roman" w:hAnsi="Times New Roman"/>
          <w:sz w:val="24"/>
        </w:rPr>
        <w:t xml:space="preserve">As Lao PDR is committed to improve </w:t>
      </w:r>
      <w:r w:rsidRPr="00E70557">
        <w:rPr>
          <w:rFonts w:ascii="Times New Roman" w:hAnsi="Times New Roman"/>
          <w:sz w:val="24"/>
        </w:rPr>
        <w:lastRenderedPageBreak/>
        <w:t xml:space="preserve">PFM systems and adopt good governance principles, it </w:t>
      </w:r>
      <w:proofErr w:type="gramStart"/>
      <w:r w:rsidRPr="00E70557">
        <w:rPr>
          <w:rFonts w:ascii="Times New Roman" w:hAnsi="Times New Roman"/>
          <w:sz w:val="24"/>
        </w:rPr>
        <w:t>has to</w:t>
      </w:r>
      <w:proofErr w:type="gramEnd"/>
      <w:r w:rsidRPr="00E70557">
        <w:rPr>
          <w:rFonts w:ascii="Times New Roman" w:hAnsi="Times New Roman"/>
          <w:sz w:val="24"/>
        </w:rPr>
        <w:t xml:space="preserve"> improve accountability, transparency and efficiency in all aspects of the public sector performance. </w:t>
      </w:r>
      <w:r w:rsidRPr="00E70557">
        <w:rPr>
          <w:rFonts w:ascii="Times New Roman" w:eastAsiaTheme="minorHAnsi" w:hAnsi="Times New Roman"/>
          <w:sz w:val="24"/>
        </w:rPr>
        <w:t xml:space="preserve">Inadequate information management systems, based on cash transactions, manual reconciliations and cumbersome procedures </w:t>
      </w:r>
      <w:proofErr w:type="gramStart"/>
      <w:r w:rsidRPr="00E70557">
        <w:rPr>
          <w:rFonts w:ascii="Times New Roman" w:eastAsiaTheme="minorHAnsi" w:hAnsi="Times New Roman"/>
          <w:sz w:val="24"/>
        </w:rPr>
        <w:t>have to</w:t>
      </w:r>
      <w:proofErr w:type="gramEnd"/>
      <w:r w:rsidRPr="00E70557">
        <w:rPr>
          <w:rFonts w:ascii="Times New Roman" w:eastAsiaTheme="minorHAnsi" w:hAnsi="Times New Roman"/>
          <w:sz w:val="24"/>
        </w:rPr>
        <w:t xml:space="preserve"> be upgraded to allow for effective management of public expenditures.</w:t>
      </w:r>
    </w:p>
    <w:p w14:paraId="7F2087FC" w14:textId="77777777" w:rsidR="00E12685" w:rsidRDefault="00E12685">
      <w:pPr>
        <w:spacing w:after="240" w:line="276" w:lineRule="auto"/>
        <w:rPr>
          <w:rFonts w:ascii="Times New Roman" w:hAnsi="Times New Roman"/>
          <w:sz w:val="24"/>
        </w:rPr>
      </w:pPr>
      <w:r>
        <w:rPr>
          <w:rFonts w:ascii="Times New Roman" w:hAnsi="Times New Roman"/>
          <w:sz w:val="24"/>
        </w:rPr>
        <w:br w:type="page"/>
      </w:r>
    </w:p>
    <w:p w14:paraId="1E0DD01A" w14:textId="77777777" w:rsidR="00E12685" w:rsidRPr="00CA120E" w:rsidRDefault="00E12685" w:rsidP="00E12685">
      <w:pPr>
        <w:pStyle w:val="Heading1"/>
        <w:rPr>
          <w:rFonts w:ascii="Times New Roman" w:hAnsi="Times New Roman"/>
        </w:rPr>
      </w:pPr>
      <w:bookmarkStart w:id="126" w:name="_Toc4149018"/>
      <w:r w:rsidRPr="00CA120E">
        <w:rPr>
          <w:rFonts w:ascii="Times New Roman" w:hAnsi="Times New Roman"/>
        </w:rPr>
        <w:lastRenderedPageBreak/>
        <w:t>5.</w:t>
      </w:r>
      <w:r w:rsidRPr="00CA120E">
        <w:rPr>
          <w:rFonts w:ascii="Times New Roman" w:hAnsi="Times New Roman"/>
        </w:rPr>
        <w:tab/>
        <w:t>The Government’s PFM Reform Process</w:t>
      </w:r>
      <w:bookmarkEnd w:id="126"/>
    </w:p>
    <w:p w14:paraId="12F52B2C" w14:textId="77777777" w:rsidR="00E12685" w:rsidRPr="00051023" w:rsidRDefault="00E12685" w:rsidP="008037D9">
      <w:pPr>
        <w:keepNext/>
        <w:keepLines/>
        <w:numPr>
          <w:ilvl w:val="1"/>
          <w:numId w:val="21"/>
        </w:numPr>
        <w:spacing w:after="200" w:line="276" w:lineRule="auto"/>
        <w:ind w:left="374" w:hanging="374"/>
        <w:outlineLvl w:val="1"/>
        <w:rPr>
          <w:rFonts w:ascii="Times New Roman" w:eastAsia="MS Gothic" w:hAnsi="Times New Roman"/>
          <w:b/>
          <w:bCs/>
          <w:color w:val="0070C0"/>
          <w:sz w:val="32"/>
          <w:szCs w:val="32"/>
        </w:rPr>
      </w:pPr>
      <w:bookmarkStart w:id="127" w:name="_Toc4149019"/>
      <w:r w:rsidRPr="00051023">
        <w:rPr>
          <w:rFonts w:ascii="Times New Roman" w:eastAsia="MS Gothic" w:hAnsi="Times New Roman"/>
          <w:b/>
          <w:bCs/>
          <w:color w:val="0070C0"/>
          <w:sz w:val="32"/>
          <w:szCs w:val="32"/>
        </w:rPr>
        <w:t>Approach to PFM Reforms</w:t>
      </w:r>
      <w:bookmarkEnd w:id="127"/>
    </w:p>
    <w:p w14:paraId="6285F386" w14:textId="77777777" w:rsidR="00E12685" w:rsidRPr="00CA120E" w:rsidRDefault="00E12685" w:rsidP="008037D9">
      <w:pPr>
        <w:pStyle w:val="textbox"/>
        <w:numPr>
          <w:ilvl w:val="0"/>
          <w:numId w:val="97"/>
        </w:numPr>
        <w:shd w:val="clear" w:color="auto" w:fill="FFFFFF"/>
        <w:autoSpaceDE w:val="0"/>
        <w:autoSpaceDN w:val="0"/>
        <w:adjustRightInd w:val="0"/>
        <w:spacing w:before="240" w:beforeAutospacing="0" w:after="240" w:afterAutospacing="0"/>
        <w:ind w:left="0" w:firstLine="0"/>
        <w:jc w:val="both"/>
        <w:rPr>
          <w:rFonts w:eastAsiaTheme="minorHAnsi"/>
          <w:lang w:val="en-US"/>
        </w:rPr>
      </w:pPr>
      <w:r w:rsidRPr="00CA120E">
        <w:rPr>
          <w:b/>
          <w:lang w:val="en-US"/>
        </w:rPr>
        <w:t xml:space="preserve">Over the past 15 years, Public Financial Management (PFM) in Lao PDR has improved both in coverage and effectiveness. </w:t>
      </w:r>
      <w:r w:rsidRPr="00CA120E">
        <w:rPr>
          <w:lang w:val="en-US"/>
        </w:rPr>
        <w:t>Important lessons have been learnt and achieving a credible PFM system is now central to the Government and Central Party governance agenda. The Central Party Politburo and the Government have considered Public Finance Management reform as a crucial instrument for the implementation of macroeconomic management policy and the policy orientations at the VII to IX Congresses of the Central Party Committee and in the V to VII 5-year National Socio-Economic Development Plan (NSEDP).</w:t>
      </w:r>
      <w:bookmarkStart w:id="128" w:name="_Toc495306466"/>
      <w:bookmarkStart w:id="129" w:name="_Toc504974066"/>
    </w:p>
    <w:p w14:paraId="47DC52E4" w14:textId="77777777" w:rsidR="00E12685" w:rsidRPr="00CA120E" w:rsidRDefault="00E12685" w:rsidP="008037D9">
      <w:pPr>
        <w:pStyle w:val="textbox"/>
        <w:widowControl w:val="0"/>
        <w:numPr>
          <w:ilvl w:val="0"/>
          <w:numId w:val="97"/>
        </w:numPr>
        <w:shd w:val="clear" w:color="auto" w:fill="FFFFFF"/>
        <w:autoSpaceDE w:val="0"/>
        <w:autoSpaceDN w:val="0"/>
        <w:adjustRightInd w:val="0"/>
        <w:spacing w:before="240" w:beforeAutospacing="0" w:after="240" w:afterAutospacing="0"/>
        <w:ind w:left="0" w:firstLine="0"/>
        <w:jc w:val="both"/>
        <w:rPr>
          <w:rFonts w:eastAsiaTheme="minorHAnsi"/>
          <w:lang w:val="en-US"/>
        </w:rPr>
      </w:pPr>
      <w:r w:rsidRPr="00CA120E">
        <w:rPr>
          <w:rFonts w:eastAsiaTheme="minorHAnsi"/>
          <w:b/>
          <w:lang w:val="en-US"/>
        </w:rPr>
        <w:t xml:space="preserve">Following the Asian financial crisis in the 1990’s, the Lao Government launched in 2000/01 its five-year plan and a Poverty Reduction Strategy Paper. </w:t>
      </w:r>
      <w:r w:rsidRPr="00CA120E">
        <w:rPr>
          <w:rFonts w:eastAsiaTheme="minorHAnsi"/>
          <w:lang w:val="en-US"/>
        </w:rPr>
        <w:t xml:space="preserve">These were the start of the “first-generation of reforms” and lasted for about 12 years up to 2013. The early PFM reforms sought to tackle structural problems in budget formulation and execution with the goal of increasing efficiency of public spending and reducing fiscal imbalances. These structural reforms were aimed at supporting the implementation of the government’s national development strategies as Lao PDR moved towards a market-oriented economy and increase the efficiency of the public sector through policies and actions towards transparent and efficient public financial management.  </w:t>
      </w:r>
    </w:p>
    <w:p w14:paraId="6A64CE4A" w14:textId="77777777" w:rsidR="00E12685" w:rsidRPr="00CE5F86" w:rsidRDefault="00E12685" w:rsidP="008037D9">
      <w:pPr>
        <w:pStyle w:val="textbox"/>
        <w:widowControl w:val="0"/>
        <w:numPr>
          <w:ilvl w:val="0"/>
          <w:numId w:val="97"/>
        </w:numPr>
        <w:shd w:val="clear" w:color="auto" w:fill="FFFFFF"/>
        <w:autoSpaceDE w:val="0"/>
        <w:autoSpaceDN w:val="0"/>
        <w:adjustRightInd w:val="0"/>
        <w:spacing w:before="240" w:beforeAutospacing="0" w:after="240" w:afterAutospacing="0"/>
        <w:ind w:left="0" w:firstLine="0"/>
        <w:jc w:val="both"/>
        <w:rPr>
          <w:rFonts w:eastAsiaTheme="minorHAnsi"/>
          <w:lang w:val="en-US"/>
        </w:rPr>
      </w:pPr>
      <w:r w:rsidRPr="00CA120E">
        <w:rPr>
          <w:rFonts w:eastAsiaTheme="minorHAnsi"/>
          <w:b/>
          <w:lang w:val="en-US"/>
        </w:rPr>
        <w:t xml:space="preserve">The Public Financial Management Strengthening Program (PFMSP) adopted in 2005 was one of the important components of the long-term framework for public finance reform. </w:t>
      </w:r>
      <w:r w:rsidRPr="00CA120E">
        <w:rPr>
          <w:rFonts w:eastAsiaTheme="minorHAnsi"/>
          <w:lang w:val="en-US"/>
        </w:rPr>
        <w:t>Under its umbrella, the Government intended to implement its main policies and strategies, the 2004 National Growth and Poverty Eradication Strategy (NGPES), and the 6</w:t>
      </w:r>
      <w:r w:rsidRPr="00CA120E">
        <w:rPr>
          <w:rFonts w:eastAsiaTheme="minorHAnsi"/>
          <w:vertAlign w:val="superscript"/>
          <w:lang w:val="en-US"/>
        </w:rPr>
        <w:t>th</w:t>
      </w:r>
      <w:r w:rsidRPr="00CA120E">
        <w:rPr>
          <w:rFonts w:eastAsiaTheme="minorHAnsi"/>
          <w:lang w:val="en-US"/>
        </w:rPr>
        <w:t xml:space="preserve"> NSEDP (2006-10). The PFMSP was meant to improve consistency, efficiency, transparency, and accountability in public expenditure policy and management, as well as revenue collection. Its objectives were to strengthen the PFM legal and institutional framework and support the implementation of the 2007 revised Budget Law, to strengthen the Government Financial Management Information System (GFIS), build capacity through training and pilots at the provincial and sector levels, and to operationalize the hydropower Nam </w:t>
      </w:r>
      <w:proofErr w:type="spellStart"/>
      <w:r w:rsidRPr="00CA120E">
        <w:rPr>
          <w:rFonts w:eastAsiaTheme="minorHAnsi"/>
          <w:lang w:val="en-US"/>
        </w:rPr>
        <w:t>Theun</w:t>
      </w:r>
      <w:proofErr w:type="spellEnd"/>
      <w:r w:rsidRPr="00CA120E">
        <w:rPr>
          <w:rFonts w:eastAsiaTheme="minorHAnsi"/>
          <w:lang w:val="en-US"/>
        </w:rPr>
        <w:t xml:space="preserve"> 2 (NT2) Revenue Management Arrangements.</w:t>
      </w:r>
    </w:p>
    <w:p w14:paraId="384AE871" w14:textId="77777777" w:rsidR="00E12685" w:rsidRPr="00CA120E" w:rsidRDefault="00E12685" w:rsidP="008037D9">
      <w:pPr>
        <w:pStyle w:val="textbox"/>
        <w:widowControl w:val="0"/>
        <w:numPr>
          <w:ilvl w:val="0"/>
          <w:numId w:val="97"/>
        </w:numPr>
        <w:shd w:val="clear" w:color="auto" w:fill="FFFFFF"/>
        <w:autoSpaceDE w:val="0"/>
        <w:autoSpaceDN w:val="0"/>
        <w:adjustRightInd w:val="0"/>
        <w:spacing w:before="240" w:beforeAutospacing="0" w:after="240" w:afterAutospacing="0"/>
        <w:ind w:left="0" w:firstLine="0"/>
        <w:jc w:val="both"/>
        <w:rPr>
          <w:rFonts w:eastAsiaTheme="minorHAnsi"/>
          <w:lang w:val="en-US"/>
        </w:rPr>
      </w:pPr>
      <w:r w:rsidRPr="00CA120E">
        <w:rPr>
          <w:rFonts w:eastAsia="MercuryTextG1-Roman"/>
          <w:b/>
          <w:lang w:val="en-US"/>
        </w:rPr>
        <w:t>The achievements of this first-generation reform can be summarized as follows:</w:t>
      </w:r>
    </w:p>
    <w:p w14:paraId="2CC3FEAF" w14:textId="77777777" w:rsidR="00E12685" w:rsidRPr="000C3679" w:rsidRDefault="00E12685" w:rsidP="000C3679">
      <w:pPr>
        <w:pStyle w:val="ListParagraph"/>
        <w:widowControl w:val="0"/>
        <w:numPr>
          <w:ilvl w:val="0"/>
          <w:numId w:val="76"/>
        </w:numPr>
        <w:autoSpaceDE w:val="0"/>
        <w:autoSpaceDN w:val="0"/>
        <w:adjustRightInd w:val="0"/>
        <w:spacing w:before="0" w:after="120"/>
        <w:contextualSpacing w:val="0"/>
        <w:rPr>
          <w:rFonts w:ascii="Times New Roman" w:hAnsi="Times New Roman"/>
          <w:sz w:val="24"/>
        </w:rPr>
      </w:pPr>
      <w:r w:rsidRPr="000C3679">
        <w:rPr>
          <w:rFonts w:ascii="Times New Roman" w:hAnsi="Times New Roman"/>
          <w:b/>
          <w:color w:val="000000" w:themeColor="text1"/>
          <w:sz w:val="24"/>
        </w:rPr>
        <w:t>Budget revenue management</w:t>
      </w:r>
      <w:r w:rsidRPr="000C3679">
        <w:rPr>
          <w:rFonts w:ascii="Times New Roman" w:hAnsi="Times New Roman"/>
          <w:color w:val="4F81BD" w:themeColor="accent1"/>
          <w:sz w:val="24"/>
        </w:rPr>
        <w:t xml:space="preserve"> </w:t>
      </w:r>
      <w:r w:rsidRPr="000C3679">
        <w:rPr>
          <w:rFonts w:ascii="Times New Roman" w:hAnsi="Times New Roman"/>
          <w:sz w:val="24"/>
        </w:rPr>
        <w:t>improved, and revenue collection targets approved by the National Assembly in the period of 2006-2010, on average, were exceeded (102,3% of the planned targets). MOF put in place revenue policies to promote private investment and business operations with the aim to expand revenue sources and increase tax collection. At the same time, tax management and related procedures were simplified to be faster and more transparent. Aligning to customs international practices such as ASYCUDA, X-ray screening at international border check points, and faster tax payments through banking systems (Smart Tax, Easy Tax and others) provided incentives for taxpayers to fully comply with their obligations and act in accordance with laws and regulations.</w:t>
      </w:r>
    </w:p>
    <w:p w14:paraId="760E4BEC" w14:textId="77777777" w:rsidR="00E12685" w:rsidRPr="000C3679" w:rsidRDefault="00E12685" w:rsidP="00E12685">
      <w:pPr>
        <w:pStyle w:val="textbox"/>
        <w:shd w:val="clear" w:color="auto" w:fill="FFFFFF"/>
        <w:spacing w:before="0" w:beforeAutospacing="0" w:after="0" w:afterAutospacing="0"/>
        <w:jc w:val="both"/>
        <w:rPr>
          <w:lang w:val="en-US"/>
        </w:rPr>
      </w:pPr>
    </w:p>
    <w:p w14:paraId="1D83A076" w14:textId="77777777" w:rsidR="00E12685" w:rsidRPr="000C3679" w:rsidRDefault="00E12685" w:rsidP="000C3679">
      <w:pPr>
        <w:pStyle w:val="ListParagraph"/>
        <w:widowControl w:val="0"/>
        <w:numPr>
          <w:ilvl w:val="0"/>
          <w:numId w:val="76"/>
        </w:numPr>
        <w:autoSpaceDE w:val="0"/>
        <w:autoSpaceDN w:val="0"/>
        <w:adjustRightInd w:val="0"/>
        <w:spacing w:before="0" w:after="120"/>
        <w:contextualSpacing w:val="0"/>
        <w:rPr>
          <w:rFonts w:ascii="Times New Roman" w:eastAsia="MercuryTextG1-Roman" w:hAnsi="Times New Roman"/>
          <w:sz w:val="24"/>
        </w:rPr>
      </w:pPr>
      <w:r w:rsidRPr="000C3679">
        <w:rPr>
          <w:rFonts w:ascii="Times New Roman" w:eastAsia="MercuryTextG1-Roman" w:hAnsi="Times New Roman"/>
          <w:b/>
          <w:color w:val="000000" w:themeColor="text1"/>
          <w:sz w:val="24"/>
        </w:rPr>
        <w:t>Budget preparation</w:t>
      </w:r>
      <w:r w:rsidRPr="000C3679">
        <w:rPr>
          <w:rFonts w:ascii="Times New Roman" w:eastAsia="MercuryTextG1-Roman" w:hAnsi="Times New Roman"/>
          <w:b/>
          <w:sz w:val="24"/>
        </w:rPr>
        <w:t>:</w:t>
      </w:r>
      <w:r w:rsidRPr="000C3679">
        <w:rPr>
          <w:rFonts w:ascii="Times New Roman" w:eastAsia="MercuryTextG1-Roman" w:hAnsi="Times New Roman"/>
          <w:sz w:val="24"/>
        </w:rPr>
        <w:t xml:space="preserve"> Reform activities initially concentrated on the adoption and </w:t>
      </w:r>
      <w:r w:rsidRPr="000C3679">
        <w:rPr>
          <w:rFonts w:ascii="Times New Roman" w:eastAsia="MercuryTextG1-Roman" w:hAnsi="Times New Roman"/>
          <w:sz w:val="24"/>
        </w:rPr>
        <w:lastRenderedPageBreak/>
        <w:t xml:space="preserve">adherence to a budget calendar, implementation of regulations and procedures to facilitate a proper budget planning process and led to the approval of a new Budget Law in 2006 and its implementing legislation in 2008, and the adoption of new budget nomenclatures and a chart of accounts, although not fully adopted by all ministries. Similarly, adherence to the new budget calendar remained weak, and ceilings were not introduced. The Budget Law was revised again in </w:t>
      </w:r>
      <w:r w:rsidR="000C3679" w:rsidRPr="000C3679">
        <w:rPr>
          <w:rFonts w:ascii="Times New Roman" w:eastAsia="MercuryTextG1-Roman" w:hAnsi="Times New Roman"/>
          <w:sz w:val="24"/>
        </w:rPr>
        <w:t>2015 but</w:t>
      </w:r>
      <w:r w:rsidRPr="000C3679">
        <w:rPr>
          <w:rFonts w:ascii="Times New Roman" w:eastAsia="MercuryTextG1-Roman" w:hAnsi="Times New Roman"/>
          <w:sz w:val="24"/>
        </w:rPr>
        <w:t xml:space="preserve"> has not yet been fully implemented.</w:t>
      </w:r>
    </w:p>
    <w:p w14:paraId="5DAF8EEE" w14:textId="77777777" w:rsidR="00E12685" w:rsidRPr="000C3679" w:rsidRDefault="00E12685" w:rsidP="000C3679">
      <w:pPr>
        <w:pStyle w:val="ListParagraph"/>
        <w:widowControl w:val="0"/>
        <w:numPr>
          <w:ilvl w:val="0"/>
          <w:numId w:val="76"/>
        </w:numPr>
        <w:autoSpaceDE w:val="0"/>
        <w:autoSpaceDN w:val="0"/>
        <w:adjustRightInd w:val="0"/>
        <w:spacing w:before="0" w:after="120"/>
        <w:contextualSpacing w:val="0"/>
        <w:rPr>
          <w:rFonts w:ascii="Times New Roman" w:eastAsia="MercuryTextG1-Roman" w:hAnsi="Times New Roman"/>
          <w:sz w:val="24"/>
        </w:rPr>
      </w:pPr>
      <w:r w:rsidRPr="000C3679">
        <w:rPr>
          <w:rFonts w:ascii="Times New Roman" w:eastAsia="MercuryTextG1-Roman" w:hAnsi="Times New Roman"/>
          <w:b/>
          <w:color w:val="000000" w:themeColor="text1"/>
          <w:sz w:val="24"/>
        </w:rPr>
        <w:t>Budget execution</w:t>
      </w:r>
      <w:r w:rsidRPr="000C3679">
        <w:rPr>
          <w:rFonts w:ascii="Times New Roman" w:eastAsia="MercuryTextG1-Roman" w:hAnsi="Times New Roman"/>
          <w:sz w:val="24"/>
        </w:rPr>
        <w:t>: The first-generation reforms brought significant progress for the country’s treasury function by centralizing the National Treasury, and the introduction of the TSA. Zero-balance account arrangements were implemented in BOL and some commercial banks. Payment processes improved, specifically in the payments of the central government’s payroll, which was moved from cash transactions to direct deposits on bank accounts. The most important achievement was arguably the roll-out of a locally developed Government Financial Information System (GFIS) in 2006, and its expansion to provinces in 2008. The implementation of the GFIS connected the whole country and Financial Statements were generated for the first time, while reporting, the timeliness and disclosure of the state budget was improved. However, the upgrade of the National Treasury’s business processes and the envisaged enhancements to the system’s functionality—initially agreed to be replaced by a commercial-off-the shelf (COTS) system—was never implemented, and at present the government is planning a new FMIS development. The External Debt Management and Financial Analysis System (DMFAS) was introduced to manage and analyze public debt.</w:t>
      </w:r>
    </w:p>
    <w:p w14:paraId="330B25EA" w14:textId="77777777" w:rsidR="00E12685" w:rsidRPr="000C3679" w:rsidRDefault="00E12685" w:rsidP="000C3679">
      <w:pPr>
        <w:pStyle w:val="ListParagraph"/>
        <w:widowControl w:val="0"/>
        <w:numPr>
          <w:ilvl w:val="0"/>
          <w:numId w:val="76"/>
        </w:numPr>
        <w:autoSpaceDE w:val="0"/>
        <w:autoSpaceDN w:val="0"/>
        <w:adjustRightInd w:val="0"/>
        <w:spacing w:before="0" w:after="120"/>
        <w:contextualSpacing w:val="0"/>
        <w:rPr>
          <w:rFonts w:ascii="Times New Roman" w:eastAsia="MercuryTextG1-Roman" w:hAnsi="Times New Roman"/>
          <w:sz w:val="24"/>
        </w:rPr>
      </w:pPr>
      <w:r w:rsidRPr="000C3679">
        <w:rPr>
          <w:rFonts w:ascii="Times New Roman" w:eastAsia="MercuryTextG1-Roman" w:hAnsi="Times New Roman"/>
          <w:b/>
          <w:color w:val="000000" w:themeColor="text1"/>
          <w:sz w:val="24"/>
        </w:rPr>
        <w:t>Public Accounting and Auditing:</w:t>
      </w:r>
      <w:r w:rsidRPr="000C3679">
        <w:rPr>
          <w:rFonts w:ascii="Times New Roman" w:eastAsia="MercuryTextG1-Roman" w:hAnsi="Times New Roman"/>
          <w:b/>
          <w:color w:val="4F81BD" w:themeColor="accent1"/>
          <w:sz w:val="24"/>
        </w:rPr>
        <w:t xml:space="preserve"> </w:t>
      </w:r>
      <w:r w:rsidRPr="000C3679">
        <w:rPr>
          <w:rFonts w:ascii="Times New Roman" w:eastAsia="MercuryTextG1-Roman" w:hAnsi="Times New Roman"/>
          <w:sz w:val="24"/>
        </w:rPr>
        <w:t>Improvements to public accounting and audit functions also progressed. Implementing legislation for the Accounting Law and a new Audit law was approved by the National Assembly, granting autonomy to the SAO. So far there has been no progress on setting up internal control functions within the ministries, resulting in a continued weak control environment. SAO had initially made progress in establishing its mandated role, gradually being recognized by the public, and had made some early contributions to the government objective of transparency and public accountability in the management of public resources (it published a summary of audit findings for the FY2008/09 in the public media). However, SAO continues to suffer from low capacity (both financially and on human resources), and in recent years, no audits have been disclosed. Plans to strengthen the auditing profession have been slow, resulting to a continued shortage of qualified accountants in the country.</w:t>
      </w:r>
    </w:p>
    <w:p w14:paraId="4DBA5999" w14:textId="77777777" w:rsidR="00E12685" w:rsidRPr="00CA120E" w:rsidRDefault="00E12685" w:rsidP="000C3679">
      <w:pPr>
        <w:pStyle w:val="ListParagraph"/>
        <w:widowControl w:val="0"/>
        <w:numPr>
          <w:ilvl w:val="0"/>
          <w:numId w:val="76"/>
        </w:numPr>
        <w:autoSpaceDE w:val="0"/>
        <w:autoSpaceDN w:val="0"/>
        <w:adjustRightInd w:val="0"/>
        <w:spacing w:before="0" w:after="120"/>
        <w:contextualSpacing w:val="0"/>
      </w:pPr>
      <w:r w:rsidRPr="000C3679">
        <w:rPr>
          <w:rFonts w:ascii="Times New Roman" w:hAnsi="Times New Roman"/>
          <w:b/>
          <w:color w:val="000000" w:themeColor="text1"/>
          <w:sz w:val="24"/>
        </w:rPr>
        <w:t xml:space="preserve">Initial PFM legal framework: </w:t>
      </w:r>
      <w:r w:rsidRPr="000C3679">
        <w:rPr>
          <w:rFonts w:ascii="Times New Roman" w:hAnsi="Times New Roman"/>
          <w:color w:val="000000" w:themeColor="text1"/>
          <w:sz w:val="24"/>
        </w:rPr>
        <w:t>This was developed to translate Party and Government guidance and policies into laws and regulations making public finance entities more transparent, addressing irregulari</w:t>
      </w:r>
      <w:r w:rsidRPr="000C3679">
        <w:rPr>
          <w:rFonts w:ascii="Times New Roman" w:hAnsi="Times New Roman"/>
          <w:sz w:val="24"/>
        </w:rPr>
        <w:t xml:space="preserve">ties, and moving towards modern PFM practices. New fiscal legislation aimed at addressing revenue leakages and misuse of expenditures, introducing at the same time, a medium-term fiscal framework, a medium-term expenditure framework. Existing legislation was revised and translated into a basic package of core PFM laws: the Tax Law, VAT Law, Customs Law, State Budget Law, State Assets Law, Accounting Law, Independent Audit Law, and the Insurance Law; and secondary legislation was approved, including:  the Prime Minister’s Decree on Economization and Anti-Extravagant Spending; the Decree on State Reserves; the Unification of the Chart of Accounts and the Budget Nomenclature; Instructions on Administrative Costing Norms; Decree on the National Treasury; and the Presidential Ordinance on Excise Tax on Vehicles.  </w:t>
      </w:r>
    </w:p>
    <w:p w14:paraId="010C2963" w14:textId="77777777" w:rsidR="00E12685" w:rsidRPr="00CA120E" w:rsidRDefault="00E12685" w:rsidP="008037D9">
      <w:pPr>
        <w:pStyle w:val="textbox"/>
        <w:numPr>
          <w:ilvl w:val="0"/>
          <w:numId w:val="98"/>
        </w:numPr>
        <w:shd w:val="clear" w:color="auto" w:fill="FFFFFF"/>
        <w:spacing w:before="240" w:beforeAutospacing="0" w:after="240" w:afterAutospacing="0"/>
        <w:ind w:left="0" w:firstLine="0"/>
        <w:jc w:val="both"/>
        <w:rPr>
          <w:lang w:val="en-US"/>
        </w:rPr>
      </w:pPr>
      <w:r w:rsidRPr="00CA120E">
        <w:rPr>
          <w:rFonts w:eastAsiaTheme="minorHAnsi"/>
          <w:b/>
          <w:lang w:val="en-US"/>
        </w:rPr>
        <w:lastRenderedPageBreak/>
        <w:t>The MoF became the Government’s PFM reform champion</w:t>
      </w:r>
      <w:r w:rsidR="000C3679">
        <w:rPr>
          <w:rFonts w:eastAsiaTheme="minorHAnsi"/>
          <w:lang w:val="en-US"/>
        </w:rPr>
        <w:t xml:space="preserve">. </w:t>
      </w:r>
      <w:r w:rsidRPr="00CA120E">
        <w:rPr>
          <w:rFonts w:eastAsiaTheme="minorHAnsi"/>
          <w:lang w:val="en-US"/>
        </w:rPr>
        <w:t>This was driven mostly through the Directorate General for Fiscal Policy at the technical level,</w:t>
      </w:r>
      <w:r w:rsidRPr="00CA120E">
        <w:rPr>
          <w:rFonts w:eastAsiaTheme="minorHAnsi"/>
          <w:b/>
          <w:lang w:val="en-US"/>
        </w:rPr>
        <w:t xml:space="preserve"> </w:t>
      </w:r>
      <w:r w:rsidRPr="00CA120E">
        <w:rPr>
          <w:rFonts w:eastAsiaTheme="minorHAnsi"/>
          <w:lang w:val="en-US"/>
        </w:rPr>
        <w:t xml:space="preserve">with the mandate to coordinate, monitor and oversee the public finance reform agenda.  It has the responsibility to consolidate and prioritize the detailed MoF action plans and draft new legislation to be presented by the Government to the National Assembly. The current restructuring of MoF functions is endorsed at the level of the Minister of Finance. Other technical departments including the Budget and Tax Departments, Financial Information Technology Center (FITC) and the National Treasury within the MoF, and the State Audit Organization (SAO) have also been actively involved. </w:t>
      </w:r>
    </w:p>
    <w:p w14:paraId="4A9C7688" w14:textId="77777777" w:rsidR="00E12685" w:rsidRPr="00CA120E" w:rsidRDefault="00E12685" w:rsidP="008037D9">
      <w:pPr>
        <w:pStyle w:val="textbox"/>
        <w:numPr>
          <w:ilvl w:val="0"/>
          <w:numId w:val="98"/>
        </w:numPr>
        <w:shd w:val="clear" w:color="auto" w:fill="FFFFFF"/>
        <w:autoSpaceDE w:val="0"/>
        <w:autoSpaceDN w:val="0"/>
        <w:adjustRightInd w:val="0"/>
        <w:spacing w:before="240" w:beforeAutospacing="0" w:after="240" w:afterAutospacing="0"/>
        <w:ind w:left="0" w:firstLine="0"/>
        <w:jc w:val="both"/>
        <w:rPr>
          <w:rFonts w:eastAsiaTheme="minorHAnsi"/>
          <w:lang w:val="en-US"/>
        </w:rPr>
      </w:pPr>
      <w:r w:rsidRPr="00CA120E">
        <w:rPr>
          <w:b/>
          <w:lang w:val="en-US"/>
        </w:rPr>
        <w:t>An organizational restructuring was initiated at MoF to align with new political mandates, and guidance and roles and responsibilities of its departments and personnel were adjusted</w:t>
      </w:r>
      <w:r w:rsidRPr="00CA120E">
        <w:rPr>
          <w:lang w:val="en-US"/>
        </w:rPr>
        <w:t xml:space="preserve"> </w:t>
      </w:r>
      <w:r w:rsidRPr="00CA120E">
        <w:rPr>
          <w:b/>
          <w:lang w:val="en-US"/>
        </w:rPr>
        <w:t>accordingly</w:t>
      </w:r>
      <w:r w:rsidRPr="00CA120E">
        <w:rPr>
          <w:lang w:val="en-US"/>
        </w:rPr>
        <w:t xml:space="preserve">. Two new departments were created (the State Reserves Department and the International Cooperation Department) and the Customs Department, Tax Department and the National Treasury were centralized, and the organization of central and local level departments was improved. The Sam Sang pilot was initiated to delegate responsibilities of ministry level departments to local level finance departments and offices. Accounting, financial inspection and auditing functions have been further regulated to support financial management. The Law on Independent (External) Audit was enacted to regulate auditing. The Manual on Public Sector Accounting was also developed, and inspections of accounting systems used by private sector entities were introduced. Regular inspection of government entities that address irregularities in fiscal discipline have led to the recovery of </w:t>
      </w:r>
      <w:proofErr w:type="gramStart"/>
      <w:r w:rsidRPr="00CA120E">
        <w:rPr>
          <w:lang w:val="en-US"/>
        </w:rPr>
        <w:t>a number of</w:t>
      </w:r>
      <w:proofErr w:type="gramEnd"/>
      <w:r w:rsidRPr="00CA120E">
        <w:rPr>
          <w:lang w:val="en-US"/>
        </w:rPr>
        <w:t xml:space="preserve"> state assets. The sensitive and critical issue of debt repayments based on IOUs and promissory notes issued to construction contractors at provinces level was investigated and strict measures were imposed on those violating laws and fiscal discipline. </w:t>
      </w:r>
    </w:p>
    <w:p w14:paraId="6F7C28C1" w14:textId="77777777" w:rsidR="00E12685" w:rsidRPr="00CA120E" w:rsidRDefault="00E12685" w:rsidP="00CE5F86">
      <w:pPr>
        <w:pStyle w:val="textbox"/>
        <w:numPr>
          <w:ilvl w:val="0"/>
          <w:numId w:val="98"/>
        </w:numPr>
        <w:shd w:val="clear" w:color="auto" w:fill="FFFFFF"/>
        <w:autoSpaceDE w:val="0"/>
        <w:autoSpaceDN w:val="0"/>
        <w:adjustRightInd w:val="0"/>
        <w:spacing w:before="240" w:beforeAutospacing="0" w:after="240" w:afterAutospacing="0"/>
        <w:ind w:left="0" w:firstLine="0"/>
        <w:jc w:val="both"/>
        <w:rPr>
          <w:rFonts w:eastAsiaTheme="minorHAnsi"/>
          <w:lang w:val="en-US"/>
        </w:rPr>
      </w:pPr>
      <w:r w:rsidRPr="00CA120E">
        <w:rPr>
          <w:rFonts w:eastAsiaTheme="minorHAnsi"/>
          <w:b/>
          <w:lang w:val="en-US"/>
        </w:rPr>
        <w:t xml:space="preserve">The donor community played an instrumental role in supporting the Government’s public finance reform efforts. </w:t>
      </w:r>
      <w:r w:rsidRPr="00CA120E">
        <w:rPr>
          <w:rFonts w:eastAsiaTheme="minorHAnsi"/>
          <w:lang w:val="en-US"/>
        </w:rPr>
        <w:t xml:space="preserve">This first PFM reform design phase received US$21.3 million support from several donors through bilateral support and bundled support in Multi-Donor Trust Fund (MDTF): WB, ADB, EU and various bilateral donors. The WB provided direct support and implemented several multi-donor initiatives through the Financial Management Capacity Building Project (FMCBP), and from 2009-13 through the Public Financial Management Strengthening Program (PFMSP) financed through a MDTF. A series of Poverty Reduction Support Operations (PRSO) took place from 2005 onward and provided a total of USD118 million to Lao PDR government. Among other sectors it supported PFM reforms with the objective to “ensure efficient management of public sector resources and increase the poverty reduction impact of public spending”. Technical assistance was also provided through the preparation of the </w:t>
      </w:r>
      <w:r w:rsidR="00CE5F86">
        <w:rPr>
          <w:rFonts w:eastAsiaTheme="minorHAnsi"/>
          <w:lang w:val="en-US"/>
        </w:rPr>
        <w:t>NT2 Hydropower Project (see Box</w:t>
      </w:r>
      <w:r w:rsidRPr="00CA120E">
        <w:rPr>
          <w:rFonts w:eastAsiaTheme="minorHAnsi"/>
          <w:lang w:val="en-US"/>
        </w:rPr>
        <w:t xml:space="preserve"> below).</w:t>
      </w:r>
    </w:p>
    <w:p w14:paraId="09346841" w14:textId="77777777" w:rsidR="00E12685" w:rsidRPr="00CA120E" w:rsidRDefault="00CB6D5A" w:rsidP="000C3679">
      <w:pPr>
        <w:pStyle w:val="ListParagraph"/>
        <w:widowControl w:val="0"/>
        <w:numPr>
          <w:ilvl w:val="0"/>
          <w:numId w:val="98"/>
        </w:numPr>
        <w:autoSpaceDE w:val="0"/>
        <w:autoSpaceDN w:val="0"/>
        <w:adjustRightInd w:val="0"/>
        <w:spacing w:after="240"/>
        <w:ind w:left="0" w:firstLine="0"/>
        <w:contextualSpacing w:val="0"/>
        <w:rPr>
          <w:rFonts w:ascii="Times New Roman" w:eastAsia="MercuryTextG1-Roman" w:hAnsi="Times New Roman"/>
          <w:sz w:val="24"/>
        </w:rPr>
      </w:pPr>
      <w:r>
        <w:rPr>
          <w:rFonts w:ascii="Times New Roman" w:eastAsiaTheme="minorHAnsi" w:hAnsi="Times New Roman"/>
          <w:noProof/>
          <w:sz w:val="24"/>
          <w:lang w:val="en-GB" w:eastAsia="en-GB"/>
        </w:rPr>
        <w:lastRenderedPageBreak/>
        <mc:AlternateContent>
          <mc:Choice Requires="wps">
            <w:drawing>
              <wp:anchor distT="45720" distB="45720" distL="114300" distR="114300" simplePos="0" relativeHeight="251662336" behindDoc="0" locked="0" layoutInCell="1" allowOverlap="1" wp14:anchorId="5863D900" wp14:editId="0988B403">
                <wp:simplePos x="0" y="0"/>
                <wp:positionH relativeFrom="column">
                  <wp:posOffset>45720</wp:posOffset>
                </wp:positionH>
                <wp:positionV relativeFrom="paragraph">
                  <wp:posOffset>-260985</wp:posOffset>
                </wp:positionV>
                <wp:extent cx="5852160" cy="76454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7645400"/>
                        </a:xfrm>
                        <a:prstGeom prst="rect">
                          <a:avLst/>
                        </a:prstGeom>
                        <a:solidFill>
                          <a:srgbClr val="FFFFFF"/>
                        </a:solidFill>
                        <a:ln w="9525">
                          <a:solidFill>
                            <a:srgbClr val="000000"/>
                          </a:solidFill>
                          <a:miter lim="800000"/>
                          <a:headEnd/>
                          <a:tailEnd/>
                        </a:ln>
                      </wps:spPr>
                      <wps:txbx>
                        <w:txbxContent>
                          <w:p w14:paraId="6531F8EB" w14:textId="77777777" w:rsidR="00E82213" w:rsidRPr="008D036B" w:rsidRDefault="00E82213" w:rsidP="00CE5F86">
                            <w:pPr>
                              <w:autoSpaceDE w:val="0"/>
                              <w:autoSpaceDN w:val="0"/>
                              <w:adjustRightInd w:val="0"/>
                              <w:spacing w:before="120" w:after="120"/>
                              <w:ind w:left="0"/>
                              <w:rPr>
                                <w:rFonts w:ascii="Times New Roman" w:eastAsia="MercuryTextG1-Roman" w:hAnsi="Times New Roman"/>
                                <w:lang w:val="en-MY"/>
                              </w:rPr>
                            </w:pPr>
                            <w:r w:rsidRPr="00713079">
                              <w:rPr>
                                <w:rFonts w:ascii="Times New Roman" w:eastAsia="MercuryTextG1-Roman" w:hAnsi="Times New Roman"/>
                                <w:color w:val="000000" w:themeColor="text1"/>
                                <w:lang w:val="en-MY"/>
                              </w:rPr>
                              <w:t>The NT2 Hydropower Project</w:t>
                            </w:r>
                            <w:r w:rsidRPr="00E56705">
                              <w:rPr>
                                <w:rFonts w:ascii="Times New Roman" w:eastAsia="MercuryTextG1-Roman" w:hAnsi="Times New Roman"/>
                                <w:color w:val="4F81BD" w:themeColor="accent1"/>
                                <w:lang w:val="en-MY"/>
                              </w:rPr>
                              <w:t xml:space="preserve"> </w:t>
                            </w:r>
                            <w:r w:rsidRPr="008D036B">
                              <w:rPr>
                                <w:rFonts w:ascii="Times New Roman" w:eastAsia="MercuryTextG1-Roman" w:hAnsi="Times New Roman"/>
                                <w:lang w:val="en-MY"/>
                              </w:rPr>
                              <w:t>commenced in 2005</w:t>
                            </w:r>
                            <w:r>
                              <w:rPr>
                                <w:rFonts w:ascii="Times New Roman" w:eastAsia="MercuryTextG1-Roman" w:hAnsi="Times New Roman"/>
                                <w:lang w:val="en-MY"/>
                              </w:rPr>
                              <w:t xml:space="preserve"> </w:t>
                            </w:r>
                            <w:r w:rsidRPr="008D036B">
                              <w:rPr>
                                <w:rFonts w:ascii="Times New Roman" w:eastAsia="MercuryTextG1-Roman" w:hAnsi="Times New Roman"/>
                                <w:lang w:val="en-MY"/>
                              </w:rPr>
                              <w:t>played a significant role in the design of the PFM reforms</w:t>
                            </w:r>
                            <w:r>
                              <w:rPr>
                                <w:rFonts w:ascii="Times New Roman" w:eastAsia="MercuryTextG1-Roman" w:hAnsi="Times New Roman"/>
                                <w:lang w:val="en-MY"/>
                              </w:rPr>
                              <w:t xml:space="preserve"> as it </w:t>
                            </w:r>
                            <w:r w:rsidRPr="008D036B">
                              <w:rPr>
                                <w:rFonts w:ascii="Times New Roman" w:eastAsia="MercuryTextG1-Roman" w:hAnsi="Times New Roman"/>
                                <w:lang w:val="en-MY"/>
                              </w:rPr>
                              <w:t xml:space="preserve">included a Revenue Management Program (RMP) component which specified arrangements for budget preparation, execution and reporting of the NT2 revenues received by the government arising from the NT2 Hydropower operation. </w:t>
                            </w:r>
                          </w:p>
                          <w:p w14:paraId="492732A7" w14:textId="77777777" w:rsidR="00E82213" w:rsidRDefault="00E82213" w:rsidP="00CE5F86">
                            <w:pPr>
                              <w:autoSpaceDE w:val="0"/>
                              <w:autoSpaceDN w:val="0"/>
                              <w:adjustRightInd w:val="0"/>
                              <w:spacing w:before="120" w:after="120"/>
                              <w:ind w:left="0"/>
                              <w:rPr>
                                <w:rFonts w:ascii="Times New Roman" w:hAnsi="Times New Roman"/>
                                <w:szCs w:val="22"/>
                              </w:rPr>
                            </w:pPr>
                            <w:r>
                              <w:rPr>
                                <w:rFonts w:ascii="Times New Roman" w:hAnsi="Times New Roman"/>
                              </w:rPr>
                              <w:t>Net revenues from the Nam Theun 2 project come from royalties, dividends, profit taxes, and dividend taxes. Eligible programs and projects are identified by the Government of Lao PDR in the national budget, complying with the RMP criteria (poverty alleviation or environmental management) for budget allocation. The RMP seeks to ensure and monitor compliance of this requirement by tracking revenue sources and the allocation and disbursement to eligible projects and programs, including audits.</w:t>
                            </w:r>
                          </w:p>
                          <w:p w14:paraId="7FCEFDFE" w14:textId="77777777" w:rsidR="00E82213" w:rsidRDefault="00E82213" w:rsidP="00CE5F86">
                            <w:pPr>
                              <w:autoSpaceDE w:val="0"/>
                              <w:autoSpaceDN w:val="0"/>
                              <w:adjustRightInd w:val="0"/>
                              <w:spacing w:before="120" w:after="120"/>
                              <w:ind w:left="0"/>
                              <w:rPr>
                                <w:rFonts w:ascii="Times New Roman" w:hAnsi="Times New Roman"/>
                              </w:rPr>
                            </w:pPr>
                            <w:r>
                              <w:rPr>
                                <w:rFonts w:ascii="Times New Roman" w:hAnsi="Times New Roman"/>
                              </w:rPr>
                              <w:t xml:space="preserve">Eligible projects are public investment projects selected by the Ministry of Planning and Investment and implemented by sector specific ministries, such as Education, Health, and Energy and Mining.  Examples include reforestation, school and dormitory construction, supply of medical equipment to health centers, and rural access road construction, among others. Eligible programs include poverty programs such as School Block Grants, Free Maternal and Child Health Scheme, Poverty Reduction Fund, and Health Equity Fund, which are under the oversight of the Ministry of Finance, Ministry of Health, and Ministry of Education and Sports.  </w:t>
                            </w:r>
                          </w:p>
                          <w:p w14:paraId="42F2E47F" w14:textId="77777777" w:rsidR="00E82213" w:rsidRDefault="00E82213" w:rsidP="00CE5F86">
                            <w:pPr>
                              <w:autoSpaceDE w:val="0"/>
                              <w:autoSpaceDN w:val="0"/>
                              <w:adjustRightInd w:val="0"/>
                              <w:spacing w:before="120" w:after="120"/>
                              <w:ind w:left="0"/>
                              <w:rPr>
                                <w:rFonts w:ascii="Times New Roman" w:hAnsi="Times New Roman"/>
                              </w:rPr>
                            </w:pPr>
                            <w:r>
                              <w:rPr>
                                <w:rFonts w:ascii="Times New Roman" w:hAnsi="Times New Roman"/>
                              </w:rPr>
                              <w:t>Figure 1 shows the breakdown of disbursement of NT2 net revenues by sector, which is determined as part of the Government of Lao PDR’s annual budget process.</w:t>
                            </w:r>
                          </w:p>
                          <w:p w14:paraId="7B34B346" w14:textId="77777777" w:rsidR="00E82213" w:rsidRDefault="00E82213" w:rsidP="00E12685">
                            <w:pPr>
                              <w:rPr>
                                <w:rFonts w:ascii="Times New Roman" w:hAnsi="Times New Roman"/>
                              </w:rPr>
                            </w:pPr>
                            <w:r>
                              <w:rPr>
                                <w:rFonts w:ascii="Times New Roman" w:hAnsi="Times New Roman"/>
                                <w:i/>
                                <w:noProof/>
                                <w:color w:val="000000"/>
                                <w:lang w:val="en-GB" w:eastAsia="en-GB"/>
                              </w:rPr>
                              <w:drawing>
                                <wp:inline distT="0" distB="0" distL="0" distR="0" wp14:anchorId="24EF3D3A" wp14:editId="090C96D7">
                                  <wp:extent cx="4991735" cy="2521949"/>
                                  <wp:effectExtent l="0" t="0" r="0" b="0"/>
                                  <wp:docPr id="2" name="Picture 2" descr="NT2_chart_19O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2_chart_19O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8689" cy="2555776"/>
                                          </a:xfrm>
                                          <a:prstGeom prst="rect">
                                            <a:avLst/>
                                          </a:prstGeom>
                                          <a:noFill/>
                                          <a:ln>
                                            <a:noFill/>
                                          </a:ln>
                                        </pic:spPr>
                                      </pic:pic>
                                    </a:graphicData>
                                  </a:graphic>
                                </wp:inline>
                              </w:drawing>
                            </w:r>
                          </w:p>
                          <w:p w14:paraId="2FCE8E26" w14:textId="77777777" w:rsidR="00E82213" w:rsidRPr="008D036B" w:rsidRDefault="00E82213" w:rsidP="00CE5F86">
                            <w:pPr>
                              <w:autoSpaceDE w:val="0"/>
                              <w:autoSpaceDN w:val="0"/>
                              <w:adjustRightInd w:val="0"/>
                              <w:spacing w:before="120" w:after="120"/>
                              <w:ind w:left="0"/>
                              <w:rPr>
                                <w:rFonts w:ascii="MercuryTextG1-Roman" w:eastAsia="MercuryTextG1-Roman" w:cs="MercuryTextG1-Roman"/>
                                <w:sz w:val="19"/>
                                <w:szCs w:val="19"/>
                                <w:lang w:val="en-MY"/>
                              </w:rPr>
                            </w:pPr>
                            <w:r w:rsidRPr="008D036B">
                              <w:rPr>
                                <w:rFonts w:ascii="Times New Roman" w:hAnsi="Times New Roman"/>
                              </w:rPr>
                              <w:t>As of the end of December 2016, the Government has received over $153 million in net revenues from the project since the start of commercial operations in 2010. Net revenues of around $28 million are estimated in 2017.  On average, NT2 revenues have accounted for about 1% of the national budget during this period.</w:t>
                            </w:r>
                          </w:p>
                          <w:p w14:paraId="22301C40" w14:textId="77777777" w:rsidR="00E82213" w:rsidRPr="008D036B" w:rsidRDefault="00E82213" w:rsidP="00CE5F86">
                            <w:pPr>
                              <w:autoSpaceDE w:val="0"/>
                              <w:autoSpaceDN w:val="0"/>
                              <w:adjustRightInd w:val="0"/>
                              <w:spacing w:before="120" w:after="120"/>
                              <w:ind w:left="0"/>
                              <w:rPr>
                                <w:sz w:val="20"/>
                                <w:lang w:val="en-MY"/>
                              </w:rPr>
                            </w:pPr>
                            <w:r w:rsidRPr="008D036B">
                              <w:rPr>
                                <w:rFonts w:ascii="Times New Roman" w:eastAsia="MercuryTextG1-Roman" w:hAnsi="Times New Roman"/>
                                <w:lang w:val="en-MY"/>
                              </w:rPr>
                              <w:t xml:space="preserve">At the time, it was envisaged that as part of the broader PFM reforms, the RMP framework would be rolled out to the broader budget process. </w:t>
                            </w:r>
                            <w:r>
                              <w:rPr>
                                <w:rFonts w:ascii="Times New Roman" w:eastAsia="MercuryTextG1-Roman" w:hAnsi="Times New Roman"/>
                                <w:lang w:val="en-MY"/>
                              </w:rPr>
                              <w:t>However,</w:t>
                            </w:r>
                            <w:r w:rsidRPr="008D036B">
                              <w:rPr>
                                <w:rFonts w:ascii="Times New Roman" w:eastAsia="MercuryTextG1-Roman" w:hAnsi="Times New Roman"/>
                                <w:lang w:val="en-MY"/>
                              </w:rPr>
                              <w:t xml:space="preserve"> results were mixed and </w:t>
                            </w:r>
                            <w:r>
                              <w:rPr>
                                <w:rFonts w:ascii="Times New Roman" w:eastAsia="MercuryTextG1-Roman" w:hAnsi="Times New Roman"/>
                                <w:lang w:val="en-MY"/>
                              </w:rPr>
                              <w:t xml:space="preserve">led to </w:t>
                            </w:r>
                            <w:r w:rsidRPr="008D036B">
                              <w:rPr>
                                <w:rFonts w:ascii="Times New Roman" w:eastAsia="MercuryTextG1-Roman" w:hAnsi="Times New Roman"/>
                                <w:lang w:val="en-MY"/>
                              </w:rPr>
                              <w:t xml:space="preserve">misconceptions on what constituted success and demonstrable reform, and </w:t>
                            </w:r>
                            <w:r>
                              <w:rPr>
                                <w:rFonts w:ascii="Times New Roman" w:eastAsia="MercuryTextG1-Roman" w:hAnsi="Times New Roman"/>
                                <w:lang w:val="en-MY"/>
                              </w:rPr>
                              <w:t xml:space="preserve">ended up </w:t>
                            </w:r>
                            <w:r w:rsidRPr="008D036B">
                              <w:rPr>
                                <w:rFonts w:ascii="Times New Roman" w:eastAsia="MercuryTextG1-Roman" w:hAnsi="Times New Roman"/>
                                <w:lang w:val="en-MY"/>
                              </w:rPr>
                              <w:t>strain</w:t>
                            </w:r>
                            <w:r>
                              <w:rPr>
                                <w:rFonts w:ascii="Times New Roman" w:eastAsia="MercuryTextG1-Roman" w:hAnsi="Times New Roman"/>
                                <w:lang w:val="en-MY"/>
                              </w:rPr>
                              <w:t>ing</w:t>
                            </w:r>
                            <w:r w:rsidRPr="008D036B">
                              <w:rPr>
                                <w:rFonts w:ascii="Times New Roman" w:eastAsia="MercuryTextG1-Roman" w:hAnsi="Times New Roman"/>
                                <w:lang w:val="en-MY"/>
                              </w:rPr>
                              <w:t xml:space="preserve"> relations between the government and the institutions financing the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63D900" id="_x0000_t202" coordsize="21600,21600" o:spt="202" path="m,l,21600r21600,l21600,xe">
                <v:stroke joinstyle="miter"/>
                <v:path gradientshapeok="t" o:connecttype="rect"/>
              </v:shapetype>
              <v:shape id="Zone de texte 2" o:spid="_x0000_s1026" type="#_x0000_t202" style="position:absolute;left:0;text-align:left;margin-left:3.6pt;margin-top:-20.55pt;width:460.8pt;height:60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">
                <v:textbox style="mso-fit-shape-to-text:t">
                  <w:txbxContent>
                    <w:p w14:paraId="6531F8EB" w14:textId="77777777" w:rsidR="00E82213" w:rsidRPr="008D036B" w:rsidRDefault="00E82213" w:rsidP="00CE5F86">
                      <w:pPr>
                        <w:autoSpaceDE w:val="0"/>
                        <w:autoSpaceDN w:val="0"/>
                        <w:adjustRightInd w:val="0"/>
                        <w:spacing w:before="120" w:after="120"/>
                        <w:ind w:left="0"/>
                        <w:rPr>
                          <w:rFonts w:ascii="Times New Roman" w:eastAsia="MercuryTextG1-Roman" w:hAnsi="Times New Roman"/>
                          <w:lang w:val="en-MY"/>
                        </w:rPr>
                      </w:pPr>
                      <w:r w:rsidRPr="00713079">
                        <w:rPr>
                          <w:rFonts w:ascii="Times New Roman" w:eastAsia="MercuryTextG1-Roman" w:hAnsi="Times New Roman"/>
                          <w:color w:val="000000" w:themeColor="text1"/>
                          <w:lang w:val="en-MY"/>
                        </w:rPr>
                        <w:t>The NT2 Hydropower Project</w:t>
                      </w:r>
                      <w:r w:rsidRPr="00E56705">
                        <w:rPr>
                          <w:rFonts w:ascii="Times New Roman" w:eastAsia="MercuryTextG1-Roman" w:hAnsi="Times New Roman"/>
                          <w:color w:val="4F81BD" w:themeColor="accent1"/>
                          <w:lang w:val="en-MY"/>
                        </w:rPr>
                        <w:t xml:space="preserve"> </w:t>
                      </w:r>
                      <w:r w:rsidRPr="008D036B">
                        <w:rPr>
                          <w:rFonts w:ascii="Times New Roman" w:eastAsia="MercuryTextG1-Roman" w:hAnsi="Times New Roman"/>
                          <w:lang w:val="en-MY"/>
                        </w:rPr>
                        <w:t>commenced in 2005</w:t>
                      </w:r>
                      <w:r>
                        <w:rPr>
                          <w:rFonts w:ascii="Times New Roman" w:eastAsia="MercuryTextG1-Roman" w:hAnsi="Times New Roman"/>
                          <w:lang w:val="en-MY"/>
                        </w:rPr>
                        <w:t xml:space="preserve"> </w:t>
                      </w:r>
                      <w:r w:rsidRPr="008D036B">
                        <w:rPr>
                          <w:rFonts w:ascii="Times New Roman" w:eastAsia="MercuryTextG1-Roman" w:hAnsi="Times New Roman"/>
                          <w:lang w:val="en-MY"/>
                        </w:rPr>
                        <w:t>played a significant role in the design of the PFM reforms</w:t>
                      </w:r>
                      <w:r>
                        <w:rPr>
                          <w:rFonts w:ascii="Times New Roman" w:eastAsia="MercuryTextG1-Roman" w:hAnsi="Times New Roman"/>
                          <w:lang w:val="en-MY"/>
                        </w:rPr>
                        <w:t xml:space="preserve"> as it </w:t>
                      </w:r>
                      <w:r w:rsidRPr="008D036B">
                        <w:rPr>
                          <w:rFonts w:ascii="Times New Roman" w:eastAsia="MercuryTextG1-Roman" w:hAnsi="Times New Roman"/>
                          <w:lang w:val="en-MY"/>
                        </w:rPr>
                        <w:t xml:space="preserve">included a Revenue Management Program (RMP) component which specified arrangements for budget preparation, execution and reporting of the NT2 revenues received by the government arising from the NT2 Hydropower operation. </w:t>
                      </w:r>
                    </w:p>
                    <w:p w14:paraId="492732A7" w14:textId="77777777" w:rsidR="00E82213" w:rsidRDefault="00E82213" w:rsidP="00CE5F86">
                      <w:pPr>
                        <w:autoSpaceDE w:val="0"/>
                        <w:autoSpaceDN w:val="0"/>
                        <w:adjustRightInd w:val="0"/>
                        <w:spacing w:before="120" w:after="120"/>
                        <w:ind w:left="0"/>
                        <w:rPr>
                          <w:rFonts w:ascii="Times New Roman" w:hAnsi="Times New Roman"/>
                          <w:szCs w:val="22"/>
                        </w:rPr>
                      </w:pPr>
                      <w:r>
                        <w:rPr>
                          <w:rFonts w:ascii="Times New Roman" w:hAnsi="Times New Roman"/>
                        </w:rPr>
                        <w:t>Net revenues from the Nam Theun 2 project come from royalties, dividends, profit taxes, and dividend taxes. Eligible programs and projects are identified by the Government of Lao PDR in the national budget, complying with the RMP criteria (poverty alleviation or environmental management) for budget allocation. The RMP seeks to ensure and monitor compliance of this requirement by tracking revenue sources and the allocation and disbursement to eligible projects and programs, including audits.</w:t>
                      </w:r>
                    </w:p>
                    <w:p w14:paraId="7FCEFDFE" w14:textId="77777777" w:rsidR="00E82213" w:rsidRDefault="00E82213" w:rsidP="00CE5F86">
                      <w:pPr>
                        <w:autoSpaceDE w:val="0"/>
                        <w:autoSpaceDN w:val="0"/>
                        <w:adjustRightInd w:val="0"/>
                        <w:spacing w:before="120" w:after="120"/>
                        <w:ind w:left="0"/>
                        <w:rPr>
                          <w:rFonts w:ascii="Times New Roman" w:hAnsi="Times New Roman"/>
                        </w:rPr>
                      </w:pPr>
                      <w:r>
                        <w:rPr>
                          <w:rFonts w:ascii="Times New Roman" w:hAnsi="Times New Roman"/>
                        </w:rPr>
                        <w:t xml:space="preserve">Eligible projects are public investment projects selected by the Ministry of Planning and Investment and implemented by sector specific ministries, such as Education, Health, and Energy and Mining.  Examples include reforestation, school and dormitory construction, supply of medical equipment to health centers, and rural access road construction, among others. Eligible programs include poverty programs such as School Block Grants, Free Maternal and Child Health Scheme, Poverty Reduction Fund, and Health Equity Fund, which are under the oversight of the Ministry of Finance, Ministry of Health, and Ministry of Education and Sports.  </w:t>
                      </w:r>
                    </w:p>
                    <w:p w14:paraId="42F2E47F" w14:textId="77777777" w:rsidR="00E82213" w:rsidRDefault="00E82213" w:rsidP="00CE5F86">
                      <w:pPr>
                        <w:autoSpaceDE w:val="0"/>
                        <w:autoSpaceDN w:val="0"/>
                        <w:adjustRightInd w:val="0"/>
                        <w:spacing w:before="120" w:after="120"/>
                        <w:ind w:left="0"/>
                        <w:rPr>
                          <w:rFonts w:ascii="Times New Roman" w:hAnsi="Times New Roman"/>
                        </w:rPr>
                      </w:pPr>
                      <w:r>
                        <w:rPr>
                          <w:rFonts w:ascii="Times New Roman" w:hAnsi="Times New Roman"/>
                        </w:rPr>
                        <w:t>Figure 1 shows the breakdown of disbursement of NT2 net revenues by sector, which is determined as part of the Government of Lao PDR’s annual budget process.</w:t>
                      </w:r>
                    </w:p>
                    <w:p w14:paraId="7B34B346" w14:textId="77777777" w:rsidR="00E82213" w:rsidRDefault="00E82213" w:rsidP="00E12685">
                      <w:pPr>
                        <w:rPr>
                          <w:rFonts w:ascii="Times New Roman" w:hAnsi="Times New Roman"/>
                        </w:rPr>
                      </w:pPr>
                      <w:r>
                        <w:rPr>
                          <w:rFonts w:ascii="Times New Roman" w:hAnsi="Times New Roman"/>
                          <w:i/>
                          <w:noProof/>
                          <w:color w:val="000000"/>
                          <w:lang w:val="en-GB" w:eastAsia="en-GB"/>
                        </w:rPr>
                        <w:drawing>
                          <wp:inline distT="0" distB="0" distL="0" distR="0" wp14:anchorId="24EF3D3A" wp14:editId="090C96D7">
                            <wp:extent cx="4991735" cy="2521949"/>
                            <wp:effectExtent l="0" t="0" r="0" b="0"/>
                            <wp:docPr id="2" name="Picture 2" descr="NT2_chart_19O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2_chart_19O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8689" cy="2555776"/>
                                    </a:xfrm>
                                    <a:prstGeom prst="rect">
                                      <a:avLst/>
                                    </a:prstGeom>
                                    <a:noFill/>
                                    <a:ln>
                                      <a:noFill/>
                                    </a:ln>
                                  </pic:spPr>
                                </pic:pic>
                              </a:graphicData>
                            </a:graphic>
                          </wp:inline>
                        </w:drawing>
                      </w:r>
                    </w:p>
                    <w:p w14:paraId="2FCE8E26" w14:textId="77777777" w:rsidR="00E82213" w:rsidRPr="008D036B" w:rsidRDefault="00E82213" w:rsidP="00CE5F86">
                      <w:pPr>
                        <w:autoSpaceDE w:val="0"/>
                        <w:autoSpaceDN w:val="0"/>
                        <w:adjustRightInd w:val="0"/>
                        <w:spacing w:before="120" w:after="120"/>
                        <w:ind w:left="0"/>
                        <w:rPr>
                          <w:rFonts w:ascii="MercuryTextG1-Roman" w:eastAsia="MercuryTextG1-Roman" w:cs="MercuryTextG1-Roman"/>
                          <w:sz w:val="19"/>
                          <w:szCs w:val="19"/>
                          <w:lang w:val="en-MY"/>
                        </w:rPr>
                      </w:pPr>
                      <w:r w:rsidRPr="008D036B">
                        <w:rPr>
                          <w:rFonts w:ascii="Times New Roman" w:hAnsi="Times New Roman"/>
                        </w:rPr>
                        <w:t>As of the end of December 2016, the Government has received over $153 million in net revenues from the project since the start of commercial operations in 2010. Net revenues of around $28 million are estimated in 2017.  On average, NT2 revenues have accounted for about 1% of the national budget during this period.</w:t>
                      </w:r>
                    </w:p>
                    <w:p w14:paraId="22301C40" w14:textId="77777777" w:rsidR="00E82213" w:rsidRPr="008D036B" w:rsidRDefault="00E82213" w:rsidP="00CE5F86">
                      <w:pPr>
                        <w:autoSpaceDE w:val="0"/>
                        <w:autoSpaceDN w:val="0"/>
                        <w:adjustRightInd w:val="0"/>
                        <w:spacing w:before="120" w:after="120"/>
                        <w:ind w:left="0"/>
                        <w:rPr>
                          <w:sz w:val="20"/>
                          <w:lang w:val="en-MY"/>
                        </w:rPr>
                      </w:pPr>
                      <w:r w:rsidRPr="008D036B">
                        <w:rPr>
                          <w:rFonts w:ascii="Times New Roman" w:eastAsia="MercuryTextG1-Roman" w:hAnsi="Times New Roman"/>
                          <w:lang w:val="en-MY"/>
                        </w:rPr>
                        <w:t xml:space="preserve">At the time, it was envisaged that as part of the broader PFM reforms, the RMP framework would be rolled out to the broader budget process. </w:t>
                      </w:r>
                      <w:r>
                        <w:rPr>
                          <w:rFonts w:ascii="Times New Roman" w:eastAsia="MercuryTextG1-Roman" w:hAnsi="Times New Roman"/>
                          <w:lang w:val="en-MY"/>
                        </w:rPr>
                        <w:t>However,</w:t>
                      </w:r>
                      <w:r w:rsidRPr="008D036B">
                        <w:rPr>
                          <w:rFonts w:ascii="Times New Roman" w:eastAsia="MercuryTextG1-Roman" w:hAnsi="Times New Roman"/>
                          <w:lang w:val="en-MY"/>
                        </w:rPr>
                        <w:t xml:space="preserve"> results were mixed and </w:t>
                      </w:r>
                      <w:r>
                        <w:rPr>
                          <w:rFonts w:ascii="Times New Roman" w:eastAsia="MercuryTextG1-Roman" w:hAnsi="Times New Roman"/>
                          <w:lang w:val="en-MY"/>
                        </w:rPr>
                        <w:t xml:space="preserve">led to </w:t>
                      </w:r>
                      <w:r w:rsidRPr="008D036B">
                        <w:rPr>
                          <w:rFonts w:ascii="Times New Roman" w:eastAsia="MercuryTextG1-Roman" w:hAnsi="Times New Roman"/>
                          <w:lang w:val="en-MY"/>
                        </w:rPr>
                        <w:t xml:space="preserve">misconceptions on what constituted success and demonstrable reform, and </w:t>
                      </w:r>
                      <w:r>
                        <w:rPr>
                          <w:rFonts w:ascii="Times New Roman" w:eastAsia="MercuryTextG1-Roman" w:hAnsi="Times New Roman"/>
                          <w:lang w:val="en-MY"/>
                        </w:rPr>
                        <w:t xml:space="preserve">ended up </w:t>
                      </w:r>
                      <w:r w:rsidRPr="008D036B">
                        <w:rPr>
                          <w:rFonts w:ascii="Times New Roman" w:eastAsia="MercuryTextG1-Roman" w:hAnsi="Times New Roman"/>
                          <w:lang w:val="en-MY"/>
                        </w:rPr>
                        <w:t>strain</w:t>
                      </w:r>
                      <w:r>
                        <w:rPr>
                          <w:rFonts w:ascii="Times New Roman" w:eastAsia="MercuryTextG1-Roman" w:hAnsi="Times New Roman"/>
                          <w:lang w:val="en-MY"/>
                        </w:rPr>
                        <w:t>ing</w:t>
                      </w:r>
                      <w:r w:rsidRPr="008D036B">
                        <w:rPr>
                          <w:rFonts w:ascii="Times New Roman" w:eastAsia="MercuryTextG1-Roman" w:hAnsi="Times New Roman"/>
                          <w:lang w:val="en-MY"/>
                        </w:rPr>
                        <w:t xml:space="preserve"> relations between the government and the institutions financing the project.</w:t>
                      </w:r>
                    </w:p>
                  </w:txbxContent>
                </v:textbox>
                <w10:wrap type="square"/>
              </v:shape>
            </w:pict>
          </mc:Fallback>
        </mc:AlternateContent>
      </w:r>
      <w:r w:rsidR="00E12685" w:rsidRPr="00CA120E">
        <w:rPr>
          <w:rFonts w:ascii="Times New Roman" w:eastAsia="MercuryTextG1-Roman" w:hAnsi="Times New Roman"/>
          <w:b/>
          <w:color w:val="000000"/>
          <w:sz w:val="24"/>
        </w:rPr>
        <w:t>While progress advanced on some key PFM reforms, various aspects have remained work in progress.</w:t>
      </w:r>
      <w:r w:rsidR="00E12685" w:rsidRPr="00CA120E">
        <w:rPr>
          <w:rFonts w:ascii="Times New Roman" w:eastAsia="MercuryTextG1-Roman" w:hAnsi="Times New Roman"/>
          <w:color w:val="000000"/>
          <w:sz w:val="24"/>
        </w:rPr>
        <w:t xml:space="preserve"> </w:t>
      </w:r>
      <w:r w:rsidR="00E12685" w:rsidRPr="00CA120E">
        <w:rPr>
          <w:rFonts w:ascii="Times New Roman" w:eastAsia="MercuryTextG1-Roman" w:hAnsi="Times New Roman"/>
          <w:sz w:val="24"/>
        </w:rPr>
        <w:t xml:space="preserve">Changes in MOF’s senior management and implementing arrangement affected the </w:t>
      </w:r>
      <w:r w:rsidR="00E12685" w:rsidRPr="00CA120E">
        <w:rPr>
          <w:rFonts w:ascii="Times New Roman" w:eastAsia="MercuryTextG1-Roman" w:hAnsi="Times New Roman"/>
          <w:color w:val="000000"/>
          <w:sz w:val="24"/>
        </w:rPr>
        <w:t xml:space="preserve">pace </w:t>
      </w:r>
      <w:r w:rsidR="00E12685" w:rsidRPr="00CA120E">
        <w:rPr>
          <w:rFonts w:ascii="Times New Roman" w:eastAsia="MercuryTextG1-Roman" w:hAnsi="Times New Roman"/>
          <w:sz w:val="24"/>
        </w:rPr>
        <w:t xml:space="preserve">on the PFM reform agenda, which slowed down significantly after 2013 as the leadership’ engagement and coordination with the donors’ community dwindled. </w:t>
      </w:r>
    </w:p>
    <w:p w14:paraId="3A904E12" w14:textId="77777777" w:rsidR="00E12685" w:rsidRPr="00CA120E" w:rsidRDefault="00E12685" w:rsidP="008037D9">
      <w:pPr>
        <w:pStyle w:val="ListParagraph"/>
        <w:widowControl w:val="0"/>
        <w:numPr>
          <w:ilvl w:val="0"/>
          <w:numId w:val="98"/>
        </w:numPr>
        <w:autoSpaceDE w:val="0"/>
        <w:autoSpaceDN w:val="0"/>
        <w:adjustRightInd w:val="0"/>
        <w:spacing w:after="240"/>
        <w:ind w:left="0" w:firstLine="0"/>
        <w:contextualSpacing w:val="0"/>
        <w:rPr>
          <w:rFonts w:ascii="Times New Roman" w:eastAsia="MercuryTextG1-Roman" w:hAnsi="Times New Roman"/>
          <w:sz w:val="24"/>
        </w:rPr>
      </w:pPr>
      <w:r w:rsidRPr="00CA120E">
        <w:rPr>
          <w:rFonts w:ascii="Times New Roman" w:eastAsia="MercuryTextG1-Roman" w:hAnsi="Times New Roman"/>
          <w:b/>
          <w:sz w:val="24"/>
        </w:rPr>
        <w:lastRenderedPageBreak/>
        <w:t>A turning point came in 2016 with the appointment of a new government with a re-invigorated commitment for PFM reforms, initiating the preparation of the “second-generation reforms.”</w:t>
      </w:r>
      <w:r w:rsidRPr="00CA120E">
        <w:rPr>
          <w:rFonts w:ascii="Times New Roman" w:eastAsia="MercuryTextG1-Roman" w:hAnsi="Times New Roman"/>
          <w:sz w:val="24"/>
        </w:rPr>
        <w:t xml:space="preserve"> The 10th Party Congress of the People’s Revolutionary Party took place in January 2016 with notable changes in the Politburo, followed by the appointment of a new government under a reform-oriented Prime Minister. The new Minister of Finance, also Deputy Prime Minister, and his management team, engaged in a new dialogue with the donor community. </w:t>
      </w:r>
    </w:p>
    <w:p w14:paraId="4D0FD4D1" w14:textId="77777777" w:rsidR="00E12685" w:rsidRPr="00CA120E" w:rsidRDefault="00E12685" w:rsidP="00CE5F86">
      <w:pPr>
        <w:pStyle w:val="ListParagraph"/>
        <w:keepNext/>
        <w:keepLines/>
        <w:numPr>
          <w:ilvl w:val="1"/>
          <w:numId w:val="21"/>
        </w:numPr>
        <w:spacing w:after="240"/>
        <w:ind w:left="284" w:firstLine="0"/>
        <w:contextualSpacing w:val="0"/>
        <w:outlineLvl w:val="1"/>
        <w:rPr>
          <w:rFonts w:ascii="Times New Roman" w:eastAsia="MS Gothic" w:hAnsi="Times New Roman"/>
          <w:b/>
          <w:bCs/>
          <w:color w:val="0070C0"/>
          <w:sz w:val="26"/>
          <w:szCs w:val="26"/>
        </w:rPr>
      </w:pPr>
      <w:bookmarkStart w:id="130" w:name="_Toc4149020"/>
      <w:r w:rsidRPr="00CA120E">
        <w:rPr>
          <w:rFonts w:ascii="Times New Roman" w:eastAsia="MS Gothic" w:hAnsi="Times New Roman"/>
          <w:b/>
          <w:bCs/>
          <w:color w:val="0070C0"/>
          <w:sz w:val="26"/>
          <w:szCs w:val="26"/>
        </w:rPr>
        <w:t xml:space="preserve">Recent and </w:t>
      </w:r>
      <w:r w:rsidRPr="00CE5F86">
        <w:rPr>
          <w:rFonts w:ascii="Times New Roman" w:eastAsia="MS Gothic" w:hAnsi="Times New Roman"/>
          <w:b/>
          <w:bCs/>
          <w:color w:val="0070C0"/>
          <w:sz w:val="32"/>
          <w:szCs w:val="32"/>
        </w:rPr>
        <w:t>Ongoing</w:t>
      </w:r>
      <w:r w:rsidRPr="00CA120E">
        <w:rPr>
          <w:rFonts w:ascii="Times New Roman" w:eastAsia="MS Gothic" w:hAnsi="Times New Roman"/>
          <w:b/>
          <w:bCs/>
          <w:color w:val="0070C0"/>
          <w:sz w:val="26"/>
          <w:szCs w:val="26"/>
        </w:rPr>
        <w:t xml:space="preserve"> Reform Actions</w:t>
      </w:r>
      <w:bookmarkEnd w:id="130"/>
    </w:p>
    <w:p w14:paraId="73642C51" w14:textId="77777777" w:rsidR="00E12685" w:rsidRPr="00CA120E" w:rsidRDefault="00E12685" w:rsidP="00CE5F86">
      <w:pPr>
        <w:pStyle w:val="ListParagraph"/>
        <w:numPr>
          <w:ilvl w:val="0"/>
          <w:numId w:val="99"/>
        </w:numPr>
        <w:autoSpaceDE w:val="0"/>
        <w:autoSpaceDN w:val="0"/>
        <w:adjustRightInd w:val="0"/>
        <w:spacing w:after="240"/>
        <w:ind w:left="0" w:firstLine="0"/>
        <w:contextualSpacing w:val="0"/>
        <w:rPr>
          <w:rFonts w:ascii="Times New Roman" w:eastAsia="MercuryTextG1-Roman" w:hAnsi="Times New Roman"/>
          <w:sz w:val="24"/>
        </w:rPr>
      </w:pPr>
      <w:r w:rsidRPr="00CA120E">
        <w:rPr>
          <w:rFonts w:ascii="Times New Roman" w:eastAsia="MercuryTextG1-Roman" w:hAnsi="Times New Roman"/>
          <w:b/>
          <w:sz w:val="24"/>
        </w:rPr>
        <w:t>The approval of the Public Finance Development Strategy (PFDS) 2025 and Vision 2030 by the Prime Minister in July 2017 placed PFM reforms as the government’s priority and initiated the second-generation PFM reforms (2018-2025).</w:t>
      </w:r>
      <w:r w:rsidRPr="00CA120E">
        <w:rPr>
          <w:rFonts w:ascii="Times New Roman" w:eastAsia="MercuryTextG1-Roman" w:hAnsi="Times New Roman"/>
          <w:sz w:val="24"/>
        </w:rPr>
        <w:t xml:space="preserve"> The main objective of the Public Finance Development Strategy for 2025 is to strengthen public finances to contribute to sustaining dynamic and stable economic growth and a graduation from least developed country (LDC) status by 2020. The Strategy provides the framework for the medium and long-term reform envisaged by the government. Emphasis is on regional and international integration of Lao PDR, while at the same time focusing on protecting the environment, creating prosperity, and enhancing the livelihoods of all ethnic groups. The PFM agenda has benefited greatly from the new enabling environment created by government’s emphasis on openness and regional integration, allowing for Lao PDR finance officials to engage more fully in regional PFM events and networks, including the Public Expenditure Management Network in Asia (PEMNA). The envisaged “second generation” reforms and related strategy have high level political support, including from the Prime Minister, Minister of Finance/Deputy PM and the Vice ministers and is assisted by various champions at the technical level. The wider donor community renewed its commitment to support those reforms through funding and technical assistance. The vision has been developed in three phases and the current phase II is divided in 2 steps, as follows:</w:t>
      </w:r>
    </w:p>
    <w:p w14:paraId="650509D2" w14:textId="77777777" w:rsidR="00E12685" w:rsidRPr="00CA120E" w:rsidRDefault="00E12685" w:rsidP="00E12685">
      <w:pPr>
        <w:autoSpaceDE w:val="0"/>
        <w:autoSpaceDN w:val="0"/>
        <w:adjustRightInd w:val="0"/>
        <w:rPr>
          <w:rFonts w:ascii="Times New Roman" w:eastAsia="MercuryTextG1-Roman" w:hAnsi="Times New Roman"/>
          <w:sz w:val="24"/>
        </w:rPr>
      </w:pPr>
      <w:r w:rsidRPr="00CA120E">
        <w:rPr>
          <w:rFonts w:ascii="Times New Roman" w:hAnsi="Times New Roman"/>
          <w:noProof/>
          <w:lang w:val="en-GB" w:eastAsia="en-GB"/>
        </w:rPr>
        <w:lastRenderedPageBreak/>
        <w:drawing>
          <wp:inline distT="0" distB="0" distL="0" distR="0" wp14:anchorId="5C6E96DA" wp14:editId="199E1924">
            <wp:extent cx="5731510" cy="3792193"/>
            <wp:effectExtent l="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92193"/>
                    </a:xfrm>
                    <a:prstGeom prst="rect">
                      <a:avLst/>
                    </a:prstGeom>
                    <a:noFill/>
                    <a:ln>
                      <a:noFill/>
                    </a:ln>
                  </pic:spPr>
                </pic:pic>
              </a:graphicData>
            </a:graphic>
          </wp:inline>
        </w:drawing>
      </w:r>
    </w:p>
    <w:p w14:paraId="0D56BACC" w14:textId="77777777" w:rsidR="00E12685" w:rsidRPr="00CA120E" w:rsidRDefault="00E12685" w:rsidP="008037D9">
      <w:pPr>
        <w:pStyle w:val="textbox"/>
        <w:numPr>
          <w:ilvl w:val="0"/>
          <w:numId w:val="99"/>
        </w:numPr>
        <w:shd w:val="clear" w:color="auto" w:fill="FFFFFF"/>
        <w:spacing w:before="240" w:beforeAutospacing="0" w:after="240" w:afterAutospacing="0"/>
        <w:ind w:left="0" w:firstLine="0"/>
        <w:jc w:val="both"/>
        <w:rPr>
          <w:lang w:val="en-US"/>
        </w:rPr>
      </w:pPr>
      <w:r w:rsidRPr="00CA120E">
        <w:rPr>
          <w:b/>
          <w:lang w:val="en-US"/>
        </w:rPr>
        <w:t xml:space="preserve">The PFDS aims at shifting the government’s PFM reform trajectory to a higher level and address major PFM challenges for the successful implementation of the NSEDP. </w:t>
      </w:r>
      <w:r w:rsidRPr="00CA120E">
        <w:rPr>
          <w:lang w:val="en-US"/>
        </w:rPr>
        <w:t>Embedded in the country’s broader development path defined by the Party Guidelines, The NSEDP and Sam Sang and the global and regional integration, the PFDS is articulated around:</w:t>
      </w:r>
    </w:p>
    <w:p w14:paraId="5348E11A" w14:textId="77777777" w:rsidR="00E12685" w:rsidRPr="00CA120E" w:rsidRDefault="00E12685" w:rsidP="008037D9">
      <w:pPr>
        <w:pStyle w:val="textbox"/>
        <w:numPr>
          <w:ilvl w:val="0"/>
          <w:numId w:val="23"/>
        </w:numPr>
        <w:shd w:val="clear" w:color="auto" w:fill="FFFFFF"/>
        <w:spacing w:before="0" w:beforeAutospacing="0" w:after="0" w:afterAutospacing="0"/>
        <w:jc w:val="both"/>
        <w:rPr>
          <w:b/>
          <w:lang w:val="en-US"/>
        </w:rPr>
      </w:pPr>
      <w:r w:rsidRPr="00CA120E">
        <w:rPr>
          <w:b/>
          <w:lang w:val="en-US"/>
        </w:rPr>
        <w:t>Macro Targets to 2020:</w:t>
      </w:r>
    </w:p>
    <w:p w14:paraId="2DF076BE"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Annual GDP growth at least 7.2% (per year)</w:t>
      </w:r>
    </w:p>
    <w:p w14:paraId="7D0817C2"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GDP/capita doubled since 2016 rates</w:t>
      </w:r>
    </w:p>
    <w:p w14:paraId="3A846B48"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Inflation rate below economic growth rate</w:t>
      </w:r>
    </w:p>
    <w:p w14:paraId="0514821A"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USD Exchange rate fluctuation within +/- 5% per year</w:t>
      </w:r>
    </w:p>
    <w:p w14:paraId="7ECFC3DB"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Public revenue between 17-18% of GDP</w:t>
      </w:r>
    </w:p>
    <w:p w14:paraId="0399B368"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Public debt below 65% of GDP</w:t>
      </w:r>
    </w:p>
    <w:p w14:paraId="3A844039" w14:textId="77777777" w:rsidR="00E12685" w:rsidRPr="00CA120E" w:rsidRDefault="00E12685" w:rsidP="000C3679">
      <w:pPr>
        <w:pStyle w:val="textbox"/>
        <w:numPr>
          <w:ilvl w:val="0"/>
          <w:numId w:val="23"/>
        </w:numPr>
        <w:shd w:val="clear" w:color="auto" w:fill="FFFFFF"/>
        <w:spacing w:before="240" w:beforeAutospacing="0" w:after="0" w:afterAutospacing="0"/>
        <w:jc w:val="both"/>
        <w:rPr>
          <w:b/>
          <w:lang w:val="en-US"/>
        </w:rPr>
      </w:pPr>
      <w:r w:rsidRPr="00CA120E">
        <w:rPr>
          <w:b/>
          <w:lang w:val="en-US"/>
        </w:rPr>
        <w:t>Targets to 2025:</w:t>
      </w:r>
    </w:p>
    <w:p w14:paraId="7EA0A152"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State Budget Law strictly applied</w:t>
      </w:r>
    </w:p>
    <w:p w14:paraId="7359C617"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Approved State Budget Plan implemented</w:t>
      </w:r>
    </w:p>
    <w:p w14:paraId="56115192"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Civil servants have adequate technical capacity</w:t>
      </w:r>
    </w:p>
    <w:p w14:paraId="7173398F"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Comprehensive modern legal framework in place</w:t>
      </w:r>
    </w:p>
    <w:p w14:paraId="6C7415E3"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State Budget Revenue and Expenditures managed effectively (limited leakages)</w:t>
      </w:r>
    </w:p>
    <w:p w14:paraId="3C7897E2"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Modern systems in line with international standards</w:t>
      </w:r>
    </w:p>
    <w:p w14:paraId="79677AA9" w14:textId="77777777" w:rsidR="00E12685" w:rsidRPr="00CA120E" w:rsidRDefault="00E12685" w:rsidP="008037D9">
      <w:pPr>
        <w:pStyle w:val="textbox"/>
        <w:numPr>
          <w:ilvl w:val="1"/>
          <w:numId w:val="23"/>
        </w:numPr>
        <w:shd w:val="clear" w:color="auto" w:fill="FFFFFF"/>
        <w:spacing w:before="0" w:beforeAutospacing="0" w:after="0" w:afterAutospacing="0"/>
        <w:jc w:val="both"/>
        <w:rPr>
          <w:lang w:val="en-US"/>
        </w:rPr>
      </w:pPr>
      <w:r w:rsidRPr="00CA120E">
        <w:rPr>
          <w:lang w:val="en-US"/>
        </w:rPr>
        <w:t>Public Debt managed and in line with international standards</w:t>
      </w:r>
    </w:p>
    <w:p w14:paraId="11D9A321" w14:textId="77777777" w:rsidR="00E12685" w:rsidRPr="00CA120E" w:rsidRDefault="00E12685" w:rsidP="000C3679">
      <w:pPr>
        <w:pStyle w:val="textbox"/>
        <w:numPr>
          <w:ilvl w:val="0"/>
          <w:numId w:val="23"/>
        </w:numPr>
        <w:shd w:val="clear" w:color="auto" w:fill="FFFFFF"/>
        <w:spacing w:before="240" w:beforeAutospacing="0" w:after="0" w:afterAutospacing="0"/>
        <w:jc w:val="both"/>
        <w:rPr>
          <w:b/>
          <w:lang w:val="en-US"/>
        </w:rPr>
      </w:pPr>
      <w:r w:rsidRPr="00CA120E">
        <w:rPr>
          <w:b/>
          <w:lang w:val="en-US"/>
        </w:rPr>
        <w:t>10 Strategies with their respective goals and priorities</w:t>
      </w:r>
    </w:p>
    <w:p w14:paraId="6553D4AB" w14:textId="77777777" w:rsidR="00E12685" w:rsidRPr="00CA120E" w:rsidRDefault="00E12685" w:rsidP="00E12685">
      <w:pPr>
        <w:pStyle w:val="textbox"/>
        <w:shd w:val="clear" w:color="auto" w:fill="FFFFFF"/>
        <w:spacing w:before="0" w:beforeAutospacing="0" w:after="0" w:afterAutospacing="0"/>
        <w:ind w:left="720"/>
        <w:jc w:val="both"/>
        <w:rPr>
          <w:lang w:val="en-US"/>
        </w:rPr>
      </w:pPr>
      <w:r w:rsidRPr="00CA120E">
        <w:rPr>
          <w:noProof/>
          <w:lang w:val="en-GB" w:eastAsia="en-GB"/>
        </w:rPr>
        <w:lastRenderedPageBreak/>
        <w:drawing>
          <wp:inline distT="0" distB="0" distL="0" distR="0" wp14:anchorId="61373BCA" wp14:editId="1EFD99B0">
            <wp:extent cx="4618503" cy="4243999"/>
            <wp:effectExtent l="0" t="0" r="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090" cy="4299673"/>
                    </a:xfrm>
                    <a:prstGeom prst="rect">
                      <a:avLst/>
                    </a:prstGeom>
                    <a:noFill/>
                    <a:ln>
                      <a:noFill/>
                    </a:ln>
                  </pic:spPr>
                </pic:pic>
              </a:graphicData>
            </a:graphic>
          </wp:inline>
        </w:drawing>
      </w:r>
    </w:p>
    <w:p w14:paraId="5C12A05A" w14:textId="77777777" w:rsidR="00E12685" w:rsidRPr="00CA120E" w:rsidRDefault="00E12685" w:rsidP="00E12685">
      <w:pPr>
        <w:pStyle w:val="textbox"/>
        <w:shd w:val="clear" w:color="auto" w:fill="FFFFFF"/>
        <w:spacing w:before="0" w:beforeAutospacing="0" w:after="0" w:afterAutospacing="0"/>
        <w:ind w:left="720"/>
        <w:jc w:val="both"/>
        <w:rPr>
          <w:lang w:val="en-US"/>
        </w:rPr>
      </w:pPr>
    </w:p>
    <w:p w14:paraId="519E7CAD" w14:textId="77777777" w:rsidR="00E12685" w:rsidRPr="00CA120E" w:rsidRDefault="00E12685" w:rsidP="008037D9">
      <w:pPr>
        <w:pStyle w:val="textbox"/>
        <w:numPr>
          <w:ilvl w:val="0"/>
          <w:numId w:val="99"/>
        </w:numPr>
        <w:shd w:val="clear" w:color="auto" w:fill="FFFFFF"/>
        <w:spacing w:before="240" w:beforeAutospacing="0" w:after="240" w:afterAutospacing="0"/>
        <w:ind w:left="0" w:firstLine="0"/>
        <w:jc w:val="both"/>
        <w:rPr>
          <w:lang w:val="en-US"/>
        </w:rPr>
      </w:pPr>
      <w:r w:rsidRPr="00CA120E">
        <w:rPr>
          <w:b/>
          <w:lang w:val="en-US"/>
        </w:rPr>
        <w:t xml:space="preserve">Six prioritized programs for Step1 (2018-2020) of Phase II have been translated into Action Plans.  </w:t>
      </w:r>
      <w:r w:rsidRPr="00CA120E">
        <w:rPr>
          <w:lang w:val="en-US"/>
        </w:rPr>
        <w:t>These have been assigned to MoF departments with the relevant source of funds and expected outcomes. It is therefore expected that MoF can monitor and report on progress in the implementation of this initial roadmap, defined as follows:</w:t>
      </w:r>
    </w:p>
    <w:p w14:paraId="4821ECD6" w14:textId="77777777" w:rsidR="00E12685" w:rsidRPr="00CA120E" w:rsidRDefault="00E12685" w:rsidP="00E12685">
      <w:pPr>
        <w:pStyle w:val="textbox"/>
        <w:shd w:val="clear" w:color="auto" w:fill="FFFFFF"/>
        <w:spacing w:before="0" w:beforeAutospacing="0" w:after="0" w:afterAutospacing="0"/>
        <w:jc w:val="both"/>
        <w:rPr>
          <w:lang w:val="en-US"/>
        </w:rPr>
      </w:pPr>
      <w:r w:rsidRPr="00CA120E">
        <w:rPr>
          <w:noProof/>
          <w:lang w:val="en-GB" w:eastAsia="en-GB"/>
        </w:rPr>
        <w:lastRenderedPageBreak/>
        <w:drawing>
          <wp:inline distT="0" distB="0" distL="0" distR="0" wp14:anchorId="01FDBE99" wp14:editId="7E8595E5">
            <wp:extent cx="4815840" cy="4857750"/>
            <wp:effectExtent l="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6504" cy="4868507"/>
                    </a:xfrm>
                    <a:prstGeom prst="rect">
                      <a:avLst/>
                    </a:prstGeom>
                    <a:noFill/>
                    <a:ln>
                      <a:noFill/>
                    </a:ln>
                  </pic:spPr>
                </pic:pic>
              </a:graphicData>
            </a:graphic>
          </wp:inline>
        </w:drawing>
      </w:r>
    </w:p>
    <w:p w14:paraId="5887AE79" w14:textId="77777777" w:rsidR="00E12685" w:rsidRPr="00CA120E" w:rsidRDefault="00E12685" w:rsidP="008037D9">
      <w:pPr>
        <w:pStyle w:val="textbox"/>
        <w:numPr>
          <w:ilvl w:val="0"/>
          <w:numId w:val="99"/>
        </w:numPr>
        <w:shd w:val="clear" w:color="auto" w:fill="FFFFFF"/>
        <w:spacing w:before="240" w:beforeAutospacing="0" w:after="240" w:afterAutospacing="0"/>
        <w:ind w:left="0" w:firstLine="0"/>
        <w:jc w:val="both"/>
        <w:rPr>
          <w:lang w:val="en-US"/>
        </w:rPr>
      </w:pPr>
      <w:r w:rsidRPr="00CA120E">
        <w:rPr>
          <w:b/>
          <w:lang w:val="en-US"/>
        </w:rPr>
        <w:t xml:space="preserve">The PEFA assessment confirmed the need for strong commitment and delivery of key PFM reforms in several areas. </w:t>
      </w:r>
      <w:r w:rsidRPr="00CA120E">
        <w:rPr>
          <w:lang w:val="en-US"/>
        </w:rPr>
        <w:t xml:space="preserve">As explained in the context of the discussion of each Performance Indicator in the Section 3 above, much work is already in progress to address many of the difficulties identified. The key weaknesses from the PEFA assessment as identified in section 4 above are addressed in the Public Finance Management Reform Implementation Plan, Step 1 (2018-2020) of Phase II (2018-2025) as follows: </w:t>
      </w:r>
    </w:p>
    <w:p w14:paraId="683D44E7" w14:textId="77777777" w:rsidR="00E12685" w:rsidRPr="00CA120E" w:rsidRDefault="00E12685" w:rsidP="00E12685">
      <w:pPr>
        <w:pStyle w:val="textbox"/>
        <w:shd w:val="clear" w:color="auto" w:fill="FFFFFF"/>
        <w:spacing w:before="0" w:beforeAutospacing="0" w:after="0" w:afterAutospacing="0"/>
        <w:ind w:left="0"/>
        <w:jc w:val="both"/>
        <w:rPr>
          <w:b/>
          <w:bCs/>
          <w:color w:val="000000" w:themeColor="text1"/>
          <w:lang w:val="en-US"/>
        </w:rPr>
      </w:pPr>
      <w:r w:rsidRPr="00CA120E">
        <w:rPr>
          <w:b/>
          <w:bCs/>
          <w:color w:val="000000" w:themeColor="text1"/>
          <w:lang w:val="en-US"/>
        </w:rPr>
        <w:t xml:space="preserve">Program 1: Fiscal Policy Improvement </w:t>
      </w:r>
    </w:p>
    <w:p w14:paraId="11892FCE" w14:textId="77777777" w:rsidR="00E12685" w:rsidRPr="00CA120E" w:rsidRDefault="00E12685" w:rsidP="000C3679">
      <w:pPr>
        <w:pStyle w:val="textbox"/>
        <w:numPr>
          <w:ilvl w:val="0"/>
          <w:numId w:val="24"/>
        </w:numPr>
        <w:shd w:val="clear" w:color="auto" w:fill="FFFFFF"/>
        <w:spacing w:before="0" w:beforeAutospacing="0" w:after="120" w:afterAutospacing="0"/>
        <w:ind w:left="1080"/>
        <w:jc w:val="both"/>
        <w:rPr>
          <w:lang w:val="en-US"/>
        </w:rPr>
      </w:pPr>
      <w:r w:rsidRPr="00CA120E">
        <w:rPr>
          <w:lang w:val="en-US"/>
        </w:rPr>
        <w:t>Revise the Tax administration structure (PI-19)</w:t>
      </w:r>
    </w:p>
    <w:p w14:paraId="56FBBC2A" w14:textId="77777777" w:rsidR="00E12685" w:rsidRPr="00CA120E" w:rsidRDefault="00E12685" w:rsidP="000C3679">
      <w:pPr>
        <w:pStyle w:val="textbox"/>
        <w:numPr>
          <w:ilvl w:val="0"/>
          <w:numId w:val="24"/>
        </w:numPr>
        <w:shd w:val="clear" w:color="auto" w:fill="FFFFFF"/>
        <w:spacing w:before="0" w:beforeAutospacing="0" w:after="120" w:afterAutospacing="0"/>
        <w:ind w:left="1080"/>
        <w:jc w:val="both"/>
        <w:rPr>
          <w:lang w:val="en-US"/>
        </w:rPr>
      </w:pPr>
      <w:r w:rsidRPr="00CA120E">
        <w:rPr>
          <w:lang w:val="en-US"/>
        </w:rPr>
        <w:t xml:space="preserve">Develop an MTFF and MTEF and define annual budget ceilings (PI-15 and 16) </w:t>
      </w:r>
    </w:p>
    <w:p w14:paraId="126E784B" w14:textId="77777777" w:rsidR="00E12685" w:rsidRPr="00CA120E" w:rsidRDefault="00E12685" w:rsidP="000C3679">
      <w:pPr>
        <w:pStyle w:val="textbox"/>
        <w:numPr>
          <w:ilvl w:val="0"/>
          <w:numId w:val="24"/>
        </w:numPr>
        <w:shd w:val="clear" w:color="auto" w:fill="FFFFFF"/>
        <w:spacing w:before="0" w:beforeAutospacing="0" w:after="120" w:afterAutospacing="0"/>
        <w:ind w:left="1080"/>
        <w:jc w:val="both"/>
        <w:rPr>
          <w:lang w:val="en-US"/>
        </w:rPr>
      </w:pPr>
      <w:r w:rsidRPr="00CA120E">
        <w:rPr>
          <w:lang w:val="en-US"/>
        </w:rPr>
        <w:t>Following the enactment of the Debt Management Law in June 2018, develop Public Debt Management Strategy and regulations to manage domestic and external debt and produce Public Debt Status Report (PI-13)</w:t>
      </w:r>
    </w:p>
    <w:p w14:paraId="33099157" w14:textId="77777777" w:rsidR="00E12685" w:rsidRDefault="00E12685" w:rsidP="000C3679">
      <w:pPr>
        <w:pStyle w:val="textbox"/>
        <w:numPr>
          <w:ilvl w:val="0"/>
          <w:numId w:val="24"/>
        </w:numPr>
        <w:shd w:val="clear" w:color="auto" w:fill="FFFFFF"/>
        <w:spacing w:before="0" w:beforeAutospacing="0" w:after="120" w:afterAutospacing="0"/>
        <w:ind w:left="1080"/>
        <w:jc w:val="both"/>
        <w:rPr>
          <w:lang w:val="en-US"/>
        </w:rPr>
      </w:pPr>
      <w:r w:rsidRPr="00CA120E">
        <w:rPr>
          <w:lang w:val="en-US"/>
        </w:rPr>
        <w:t>Pilot budget allocation for priority sectors and district block grants in support of Sam Sang policy and implementation of 8</w:t>
      </w:r>
      <w:r w:rsidRPr="00CA120E">
        <w:rPr>
          <w:vertAlign w:val="superscript"/>
          <w:lang w:val="en-US"/>
        </w:rPr>
        <w:t>th</w:t>
      </w:r>
      <w:r w:rsidRPr="00CA120E">
        <w:rPr>
          <w:lang w:val="en-US"/>
        </w:rPr>
        <w:t xml:space="preserve"> NSEDP and SDGs at local level and strengthen the central-local fiscal transfers and districts’ service delivery capacity.</w:t>
      </w:r>
    </w:p>
    <w:p w14:paraId="11198402" w14:textId="77777777" w:rsidR="009F2E43" w:rsidRPr="00CA120E" w:rsidRDefault="009F2E43" w:rsidP="000C3679">
      <w:pPr>
        <w:pStyle w:val="textbox"/>
        <w:numPr>
          <w:ilvl w:val="0"/>
          <w:numId w:val="24"/>
        </w:numPr>
        <w:shd w:val="clear" w:color="auto" w:fill="FFFFFF"/>
        <w:spacing w:before="0" w:beforeAutospacing="0" w:after="120" w:afterAutospacing="0"/>
        <w:ind w:left="1080"/>
        <w:jc w:val="both"/>
        <w:rPr>
          <w:lang w:val="en-US"/>
        </w:rPr>
      </w:pPr>
      <w:r>
        <w:rPr>
          <w:lang w:val="en-US"/>
        </w:rPr>
        <w:t>Establish and institutionalize a ministerial ceiling setting process that allows spending entities to allocate their resources within the ceilings early in the budget formulation process</w:t>
      </w:r>
    </w:p>
    <w:p w14:paraId="1AEA0C8E" w14:textId="77777777" w:rsidR="00E12685" w:rsidRPr="00CA120E" w:rsidRDefault="00E12685" w:rsidP="000C3679">
      <w:pPr>
        <w:pStyle w:val="textbox"/>
        <w:shd w:val="clear" w:color="auto" w:fill="FFFFFF"/>
        <w:spacing w:before="240" w:beforeAutospacing="0" w:after="0" w:afterAutospacing="0"/>
        <w:ind w:left="0"/>
        <w:jc w:val="both"/>
        <w:rPr>
          <w:color w:val="000000" w:themeColor="text1"/>
          <w:lang w:val="en-US"/>
        </w:rPr>
      </w:pPr>
      <w:r w:rsidRPr="00CA120E">
        <w:rPr>
          <w:b/>
          <w:bCs/>
          <w:color w:val="000000" w:themeColor="text1"/>
          <w:lang w:val="en-US"/>
        </w:rPr>
        <w:lastRenderedPageBreak/>
        <w:t>Program 2: Legal framework development</w:t>
      </w:r>
      <w:r w:rsidRPr="00CA120E">
        <w:rPr>
          <w:color w:val="000000" w:themeColor="text1"/>
          <w:lang w:val="en-US"/>
        </w:rPr>
        <w:t xml:space="preserve"> </w:t>
      </w:r>
    </w:p>
    <w:p w14:paraId="1FF07689"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Revision of existing laws to align them to international practices and standards: VAT Law (June 2018), Tax, Insurance, Customs, Accounting and External Audit Laws</w:t>
      </w:r>
    </w:p>
    <w:p w14:paraId="67001C2A"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Develop new Excise, Income, Land and Assets, Administration and Environment Tax Laws to enhance revenue mobilization (PI-19)</w:t>
      </w:r>
    </w:p>
    <w:p w14:paraId="0A457285"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Develop and enforce secondary legislation for the key core PFM Laws in line with MoF role: State Budget Law and Tax, Customs Laws (overall budget and revenue collection process)</w:t>
      </w:r>
    </w:p>
    <w:p w14:paraId="25470414"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Develop public and private sector accounting and external audit standards (Pillars 6 and 7).</w:t>
      </w:r>
    </w:p>
    <w:p w14:paraId="307429BD" w14:textId="77777777" w:rsidR="00E12685" w:rsidRPr="00CA120E" w:rsidRDefault="00E12685" w:rsidP="00E12685">
      <w:pPr>
        <w:pStyle w:val="textbox"/>
        <w:shd w:val="clear" w:color="auto" w:fill="FFFFFF"/>
        <w:spacing w:before="0" w:beforeAutospacing="0" w:after="0" w:afterAutospacing="0"/>
        <w:ind w:left="0"/>
        <w:jc w:val="both"/>
        <w:rPr>
          <w:b/>
          <w:bCs/>
          <w:color w:val="000000" w:themeColor="text1"/>
          <w:lang w:val="en-US"/>
        </w:rPr>
      </w:pPr>
      <w:r w:rsidRPr="00CA120E">
        <w:rPr>
          <w:b/>
          <w:bCs/>
          <w:color w:val="000000" w:themeColor="text1"/>
          <w:lang w:val="en-US"/>
        </w:rPr>
        <w:t>Program 3: Revenue Management Reform</w:t>
      </w:r>
    </w:p>
    <w:p w14:paraId="73721385"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Implement Tax development plan: definition of LTU criteria, internal control, services to taxpayers, etc.; and Customs development plan: develop a Harmonized Commodity Description and Coding Systems (HS), prepare for AEO implementation, develop the National Single Window scheme at international border crossings, seeking to speed up customs clearance (PI-19)</w:t>
      </w:r>
    </w:p>
    <w:p w14:paraId="7A63C9AD"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Reform plan for SOEs including a Decree on SOEs (PI-10)</w:t>
      </w:r>
    </w:p>
    <w:p w14:paraId="613CF57F"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Develop State Assets Management Strategy and reporting system (PI-11)</w:t>
      </w:r>
    </w:p>
    <w:p w14:paraId="7AA2E884"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Revenue management: prepare detailed revenue plans for all type of revenues and relating reports from Treasury for revenue collected at central and provincial level (PI-3, PI-6, PI-20)</w:t>
      </w:r>
    </w:p>
    <w:p w14:paraId="56BF18EC" w14:textId="77777777" w:rsidR="00E12685" w:rsidRPr="00CA120E" w:rsidRDefault="00E12685" w:rsidP="00E12685">
      <w:pPr>
        <w:pStyle w:val="textbox"/>
        <w:shd w:val="clear" w:color="auto" w:fill="FFFFFF"/>
        <w:spacing w:before="0" w:beforeAutospacing="0" w:after="0" w:afterAutospacing="0"/>
        <w:ind w:left="0"/>
        <w:jc w:val="both"/>
        <w:rPr>
          <w:b/>
          <w:bCs/>
          <w:color w:val="000000" w:themeColor="text1"/>
          <w:lang w:val="en-US"/>
        </w:rPr>
      </w:pPr>
      <w:r w:rsidRPr="00CA120E">
        <w:rPr>
          <w:b/>
          <w:bCs/>
          <w:color w:val="000000" w:themeColor="text1"/>
          <w:lang w:val="en-US"/>
        </w:rPr>
        <w:t>Program 4: Expenditure Management Reform</w:t>
      </w:r>
    </w:p>
    <w:p w14:paraId="7C2BF112"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 xml:space="preserve">Enforce the State Budget Law lays the foundations for an orderly and coherent budgeting process: Fiscal Policy Statement presented to NA (art.55 of SBL) (PI-9), </w:t>
      </w:r>
      <w:proofErr w:type="gramStart"/>
      <w:r w:rsidRPr="00CA120E">
        <w:rPr>
          <w:lang w:val="en-US"/>
        </w:rPr>
        <w:t>3 year</w:t>
      </w:r>
      <w:proofErr w:type="gramEnd"/>
      <w:r w:rsidRPr="00CA120E">
        <w:rPr>
          <w:lang w:val="en-US"/>
        </w:rPr>
        <w:t xml:space="preserve"> MTEF developed providing expenditure ceilings to spending units (PI-16), pilot baseline budgeting in ministries/sectors/provinces (PI-17)</w:t>
      </w:r>
    </w:p>
    <w:p w14:paraId="3CCC297D"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Link capital investment and current budget expenditure plans (PI-11, PI-17)</w:t>
      </w:r>
    </w:p>
    <w:p w14:paraId="7F607440"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Strengthening Treasury and cash management: develop commitment control, revise budget nomenclature for second tier budget units (districts, etc.), implement the automated Clearing House (ACH) with Bank of Lao and web-based portal for transaction recording and reconciliation, technical revenue management system (PI-20 and PI-25)</w:t>
      </w:r>
    </w:p>
    <w:p w14:paraId="3258C545"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lang w:val="en-US"/>
        </w:rPr>
      </w:pPr>
      <w:r w:rsidRPr="00CA120E">
        <w:rPr>
          <w:lang w:val="en-US"/>
        </w:rPr>
        <w:t>Develop procurement monitoring system (PI-24)</w:t>
      </w:r>
    </w:p>
    <w:p w14:paraId="1294B206" w14:textId="77777777" w:rsidR="00E12685" w:rsidRPr="00CA120E" w:rsidRDefault="00E12685" w:rsidP="00E12685">
      <w:pPr>
        <w:pStyle w:val="textbox"/>
        <w:shd w:val="clear" w:color="auto" w:fill="FFFFFF"/>
        <w:spacing w:before="0" w:beforeAutospacing="0" w:after="0" w:afterAutospacing="0"/>
        <w:ind w:left="0"/>
        <w:jc w:val="both"/>
        <w:rPr>
          <w:b/>
          <w:bCs/>
          <w:color w:val="000000" w:themeColor="text1"/>
          <w:lang w:val="en-US"/>
        </w:rPr>
      </w:pPr>
      <w:r w:rsidRPr="00CA120E">
        <w:rPr>
          <w:b/>
          <w:bCs/>
          <w:color w:val="000000" w:themeColor="text1"/>
          <w:lang w:val="en-US"/>
        </w:rPr>
        <w:t>Program 5: Modernization of Public Finance Sector</w:t>
      </w:r>
    </w:p>
    <w:p w14:paraId="6D7E4E5E"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Develop and integrated ICT strategy for the public finance management sector (PI-27)</w:t>
      </w:r>
    </w:p>
    <w:p w14:paraId="21916336"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 xml:space="preserve">Improve and expand GFIS functions: based on the accounting reform and development of a budget classification and Chart of Accounts aligned to GFS 2014, web-based access for second-tier budget units (PI-4, PI-6) </w:t>
      </w:r>
    </w:p>
    <w:p w14:paraId="6197DA38"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lastRenderedPageBreak/>
        <w:t xml:space="preserve"> Modules Implementation of an FMIS based on 7 modules including payroll and procurement to improve treasury management, accounting and reporting systems (PI-23, PI-24, PI-29)</w:t>
      </w:r>
    </w:p>
    <w:p w14:paraId="199B7AC0"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 xml:space="preserve">Establish the </w:t>
      </w:r>
      <w:proofErr w:type="spellStart"/>
      <w:r w:rsidRPr="000C3679">
        <w:rPr>
          <w:lang w:val="en-US"/>
        </w:rPr>
        <w:t>TaxRIS</w:t>
      </w:r>
      <w:proofErr w:type="spellEnd"/>
      <w:r w:rsidRPr="000C3679">
        <w:rPr>
          <w:lang w:val="en-US"/>
        </w:rPr>
        <w:t xml:space="preserve"> system: taxpayers’ management system at provincial level and the ASYCUDA and smart tax, Easy tax systems at district and spending </w:t>
      </w:r>
      <w:proofErr w:type="gramStart"/>
      <w:r w:rsidRPr="000C3679">
        <w:rPr>
          <w:lang w:val="en-US"/>
        </w:rPr>
        <w:t>units</w:t>
      </w:r>
      <w:proofErr w:type="gramEnd"/>
      <w:r w:rsidRPr="000C3679">
        <w:rPr>
          <w:lang w:val="en-US"/>
        </w:rPr>
        <w:t xml:space="preserve"> level (PI-19, PI-20)</w:t>
      </w:r>
    </w:p>
    <w:p w14:paraId="7CC0DA82"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Upgrade DMFAS coverage and reporting (PI-13)</w:t>
      </w:r>
    </w:p>
    <w:p w14:paraId="0D8BA75D"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Develop a State Assets Management system (PI-12)</w:t>
      </w:r>
    </w:p>
    <w:p w14:paraId="41A05142"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Improve the Treasury Single Account system as the unified tool for budget execution and treasury management</w:t>
      </w:r>
    </w:p>
    <w:p w14:paraId="3E5A2CD7"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bCs/>
          <w:lang w:val="en-US"/>
        </w:rPr>
      </w:pPr>
      <w:r w:rsidRPr="000C3679">
        <w:rPr>
          <w:lang w:val="en-US"/>
        </w:rPr>
        <w:t>Improve the payroll syste</w:t>
      </w:r>
      <w:r w:rsidRPr="00CA120E">
        <w:rPr>
          <w:bCs/>
          <w:lang w:val="en-US"/>
        </w:rPr>
        <w:t>m and salary bank transfers at central level</w:t>
      </w:r>
    </w:p>
    <w:p w14:paraId="2477021C" w14:textId="77777777" w:rsidR="00E12685" w:rsidRPr="00CA120E" w:rsidRDefault="00E12685" w:rsidP="00E12685">
      <w:pPr>
        <w:pStyle w:val="textbox"/>
        <w:shd w:val="clear" w:color="auto" w:fill="FFFFFF"/>
        <w:spacing w:before="0" w:beforeAutospacing="0" w:after="0" w:afterAutospacing="0"/>
        <w:jc w:val="both"/>
        <w:rPr>
          <w:bCs/>
          <w:lang w:val="en-US"/>
        </w:rPr>
      </w:pPr>
    </w:p>
    <w:p w14:paraId="0498A306" w14:textId="77777777" w:rsidR="00E12685" w:rsidRPr="00CA120E" w:rsidRDefault="00E12685" w:rsidP="00E12685">
      <w:pPr>
        <w:pStyle w:val="textbox"/>
        <w:shd w:val="clear" w:color="auto" w:fill="FFFFFF"/>
        <w:spacing w:before="0" w:beforeAutospacing="0" w:after="0" w:afterAutospacing="0"/>
        <w:ind w:left="0"/>
        <w:jc w:val="both"/>
        <w:rPr>
          <w:b/>
          <w:bCs/>
          <w:color w:val="000000" w:themeColor="text1"/>
          <w:lang w:val="en-US"/>
        </w:rPr>
      </w:pPr>
      <w:r w:rsidRPr="00CA120E">
        <w:rPr>
          <w:b/>
          <w:bCs/>
          <w:color w:val="000000" w:themeColor="text1"/>
          <w:lang w:val="en-US"/>
        </w:rPr>
        <w:t>Program 6: Organizational structure and Human Resource Development</w:t>
      </w:r>
    </w:p>
    <w:p w14:paraId="6EB2CF28"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 xml:space="preserve">Revise MoF organizational structure and </w:t>
      </w:r>
      <w:proofErr w:type="spellStart"/>
      <w:r w:rsidRPr="000C3679">
        <w:rPr>
          <w:lang w:val="en-US"/>
        </w:rPr>
        <w:t>ToRs</w:t>
      </w:r>
      <w:proofErr w:type="spellEnd"/>
      <w:r w:rsidRPr="000C3679">
        <w:rPr>
          <w:lang w:val="en-US"/>
        </w:rPr>
        <w:t xml:space="preserve"> of centralized departments Treasury, Tax and Customs for revenue collection management from central to local levels, and responsibilities between Budget and Treasury departments (PI-19, PI-20)</w:t>
      </w:r>
    </w:p>
    <w:p w14:paraId="5CC2114A"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Develop legislation for civil service management and job descriptions for MoF staff (permanent and service contracts)</w:t>
      </w:r>
    </w:p>
    <w:p w14:paraId="1C1E231F" w14:textId="77777777" w:rsidR="00E12685" w:rsidRPr="000C3679" w:rsidRDefault="00E12685" w:rsidP="000C3679">
      <w:pPr>
        <w:pStyle w:val="textbox"/>
        <w:numPr>
          <w:ilvl w:val="0"/>
          <w:numId w:val="25"/>
        </w:numPr>
        <w:shd w:val="clear" w:color="auto" w:fill="FFFFFF"/>
        <w:spacing w:before="0" w:beforeAutospacing="0" w:after="120" w:afterAutospacing="0"/>
        <w:ind w:left="1080"/>
        <w:jc w:val="both"/>
        <w:rPr>
          <w:lang w:val="en-US"/>
        </w:rPr>
      </w:pPr>
      <w:r w:rsidRPr="000C3679">
        <w:rPr>
          <w:lang w:val="en-US"/>
        </w:rPr>
        <w:t>Evaluate capacity, develop a PFM curriculum including change management training for MoF technical and management staff and set up a staff performance evaluation system</w:t>
      </w:r>
    </w:p>
    <w:p w14:paraId="4B360A91" w14:textId="77777777" w:rsidR="00E12685" w:rsidRPr="00CA120E" w:rsidRDefault="00E12685" w:rsidP="000C3679">
      <w:pPr>
        <w:pStyle w:val="textbox"/>
        <w:numPr>
          <w:ilvl w:val="0"/>
          <w:numId w:val="25"/>
        </w:numPr>
        <w:shd w:val="clear" w:color="auto" w:fill="FFFFFF"/>
        <w:spacing w:before="0" w:beforeAutospacing="0" w:after="120" w:afterAutospacing="0"/>
        <w:ind w:left="1080"/>
        <w:jc w:val="both"/>
        <w:rPr>
          <w:bCs/>
          <w:lang w:val="en-US"/>
        </w:rPr>
      </w:pPr>
      <w:r w:rsidRPr="000C3679">
        <w:rPr>
          <w:lang w:val="en-US"/>
        </w:rPr>
        <w:t>Carry out functional analysis and Human Resource Development at local level and adjust the organizational</w:t>
      </w:r>
      <w:r w:rsidRPr="00CA120E">
        <w:rPr>
          <w:bCs/>
          <w:lang w:val="en-US"/>
        </w:rPr>
        <w:t xml:space="preserve"> structure for Provincial and district finance divisions.</w:t>
      </w:r>
    </w:p>
    <w:p w14:paraId="73404041" w14:textId="77777777" w:rsidR="00E12685" w:rsidRPr="00CE5F86" w:rsidRDefault="00E12685" w:rsidP="008037D9">
      <w:pPr>
        <w:pStyle w:val="ListParagraph"/>
        <w:keepNext/>
        <w:keepLines/>
        <w:numPr>
          <w:ilvl w:val="1"/>
          <w:numId w:val="100"/>
        </w:numPr>
        <w:spacing w:after="240"/>
        <w:contextualSpacing w:val="0"/>
        <w:outlineLvl w:val="1"/>
        <w:rPr>
          <w:rFonts w:ascii="Times New Roman" w:eastAsia="MS Gothic" w:hAnsi="Times New Roman"/>
          <w:b/>
          <w:bCs/>
          <w:color w:val="0070C0"/>
          <w:sz w:val="32"/>
          <w:szCs w:val="32"/>
        </w:rPr>
      </w:pPr>
      <w:bookmarkStart w:id="131" w:name="_Toc4149021"/>
      <w:r w:rsidRPr="00CE5F86">
        <w:rPr>
          <w:rFonts w:ascii="Times New Roman" w:eastAsia="MS Gothic" w:hAnsi="Times New Roman"/>
          <w:b/>
          <w:bCs/>
          <w:color w:val="0070C0"/>
          <w:sz w:val="32"/>
          <w:szCs w:val="32"/>
        </w:rPr>
        <w:t>Institutional Considerations</w:t>
      </w:r>
      <w:bookmarkEnd w:id="131"/>
    </w:p>
    <w:p w14:paraId="02EDE6D1" w14:textId="77777777" w:rsidR="00E12685" w:rsidRPr="00CA120E" w:rsidRDefault="00E12685" w:rsidP="008037D9">
      <w:pPr>
        <w:pStyle w:val="ListParagraph"/>
        <w:numPr>
          <w:ilvl w:val="0"/>
          <w:numId w:val="101"/>
        </w:numPr>
        <w:spacing w:after="240"/>
        <w:ind w:left="0" w:firstLine="0"/>
        <w:contextualSpacing w:val="0"/>
        <w:rPr>
          <w:rFonts w:ascii="Times New Roman" w:hAnsi="Times New Roman"/>
          <w:sz w:val="24"/>
        </w:rPr>
      </w:pPr>
      <w:r w:rsidRPr="00CA120E">
        <w:rPr>
          <w:rFonts w:ascii="Times New Roman" w:hAnsi="Times New Roman"/>
          <w:b/>
          <w:sz w:val="24"/>
        </w:rPr>
        <w:t xml:space="preserve">Lessons from the first-generation reform have been integrated into the new Vision to 2030 and Public Finance Strategy to 2025. </w:t>
      </w:r>
      <w:r w:rsidRPr="00CA120E">
        <w:rPr>
          <w:rFonts w:ascii="Times New Roman" w:hAnsi="Times New Roman"/>
          <w:sz w:val="24"/>
        </w:rPr>
        <w:t>The current PFM Reform Implementation Plans</w:t>
      </w:r>
      <w:r w:rsidRPr="00CA120E">
        <w:rPr>
          <w:rFonts w:ascii="Times New Roman" w:hAnsi="Times New Roman"/>
          <w:b/>
          <w:sz w:val="24"/>
        </w:rPr>
        <w:t xml:space="preserve"> </w:t>
      </w:r>
      <w:r w:rsidRPr="00CA120E">
        <w:rPr>
          <w:rFonts w:ascii="Times New Roman" w:hAnsi="Times New Roman"/>
          <w:sz w:val="24"/>
        </w:rPr>
        <w:t>offer a new opportunity to: 1) review and complete the legal framework; 2) develop the core systems (particularly the treasury, accounting and reporting systems); 3) integrate progressively all parallel Information Management systems into an FMIS architecture and 4) support the effective enforcement of the PFM regulatory framework. In addition to the implementation of the State Budget law (and the various implementing regulations underpinning its operation), work is already in progress on integrating medium-term fiscal planning into the budgetary process, improving</w:t>
      </w:r>
      <w:r w:rsidRPr="00CA120E">
        <w:rPr>
          <w:rFonts w:ascii="Times New Roman" w:hAnsi="Times New Roman"/>
          <w:sz w:val="28"/>
        </w:rPr>
        <w:t xml:space="preserve"> </w:t>
      </w:r>
      <w:r w:rsidRPr="00CA120E">
        <w:rPr>
          <w:rFonts w:ascii="Times New Roman" w:hAnsi="Times New Roman"/>
          <w:sz w:val="24"/>
        </w:rPr>
        <w:t xml:space="preserve">tax administration, establishing more effective supervision over State-Owned Enterprises, making public procurement more efficient and transparent, reconsidering the standards used in the Government’s financial statements, and developing the work and resource plans of the State Audit Agency. </w:t>
      </w:r>
    </w:p>
    <w:p w14:paraId="7BBC944C" w14:textId="77777777" w:rsidR="00E12685" w:rsidRPr="00CA120E" w:rsidRDefault="00E12685" w:rsidP="00E12685">
      <w:pPr>
        <w:pStyle w:val="textbox"/>
        <w:shd w:val="clear" w:color="auto" w:fill="FFFFFF"/>
        <w:spacing w:before="240" w:beforeAutospacing="0" w:after="240" w:afterAutospacing="0"/>
        <w:ind w:left="0"/>
        <w:jc w:val="both"/>
        <w:rPr>
          <w:b/>
          <w:color w:val="000000" w:themeColor="text1"/>
          <w:lang w:val="en-US"/>
        </w:rPr>
      </w:pPr>
      <w:r w:rsidRPr="00CA120E">
        <w:rPr>
          <w:b/>
          <w:color w:val="000000" w:themeColor="text1"/>
          <w:lang w:val="en-US"/>
        </w:rPr>
        <w:t>Government leadership and ownership</w:t>
      </w:r>
    </w:p>
    <w:p w14:paraId="0C92268B" w14:textId="77777777" w:rsidR="00E12685" w:rsidRPr="00CA120E" w:rsidRDefault="00E12685" w:rsidP="008037D9">
      <w:pPr>
        <w:pStyle w:val="textbox"/>
        <w:numPr>
          <w:ilvl w:val="0"/>
          <w:numId w:val="101"/>
        </w:numPr>
        <w:shd w:val="clear" w:color="auto" w:fill="FFFFFF"/>
        <w:spacing w:before="240" w:beforeAutospacing="0" w:after="240" w:afterAutospacing="0"/>
        <w:ind w:left="0" w:firstLine="0"/>
        <w:jc w:val="both"/>
        <w:rPr>
          <w:color w:val="000000" w:themeColor="text1"/>
          <w:lang w:val="en-US"/>
        </w:rPr>
      </w:pPr>
      <w:r w:rsidRPr="00CA120E">
        <w:rPr>
          <w:b/>
          <w:lang w:val="en-US"/>
        </w:rPr>
        <w:t xml:space="preserve">The PFM Reform Implementation Plan is still financed by donors but fully owned and led by the Government of Lao PDR. </w:t>
      </w:r>
      <w:r w:rsidRPr="00CA120E">
        <w:rPr>
          <w:lang w:val="en-US"/>
        </w:rPr>
        <w:t>The PFM reform enjoys a strong political support from the leadership and the Central Party and has identified specific enabling factors for successful reform process:</w:t>
      </w:r>
    </w:p>
    <w:p w14:paraId="5DDD6182" w14:textId="77777777" w:rsidR="00E12685" w:rsidRPr="00CA120E" w:rsidRDefault="00E12685" w:rsidP="000C3679">
      <w:pPr>
        <w:pStyle w:val="textbox"/>
        <w:numPr>
          <w:ilvl w:val="0"/>
          <w:numId w:val="30"/>
        </w:numPr>
        <w:shd w:val="clear" w:color="auto" w:fill="FFFFFF"/>
        <w:spacing w:before="0" w:beforeAutospacing="0" w:after="120" w:afterAutospacing="0"/>
        <w:jc w:val="both"/>
        <w:rPr>
          <w:bCs/>
          <w:lang w:val="en-US"/>
        </w:rPr>
      </w:pPr>
      <w:r w:rsidRPr="00CA120E">
        <w:rPr>
          <w:b/>
          <w:bCs/>
          <w:lang w:val="en-US"/>
        </w:rPr>
        <w:lastRenderedPageBreak/>
        <w:t xml:space="preserve">Leadership </w:t>
      </w:r>
      <w:r w:rsidRPr="00CA120E">
        <w:rPr>
          <w:lang w:val="en-US"/>
        </w:rPr>
        <w:t xml:space="preserve">of Party Committees at all levels should provide </w:t>
      </w:r>
      <w:r w:rsidRPr="00CA120E">
        <w:rPr>
          <w:bCs/>
          <w:lang w:val="en-US"/>
        </w:rPr>
        <w:t>close guidance</w:t>
      </w:r>
      <w:r w:rsidRPr="00CA120E">
        <w:rPr>
          <w:lang w:val="en-US"/>
        </w:rPr>
        <w:t xml:space="preserve"> on the performance of the duties of </w:t>
      </w:r>
      <w:r w:rsidRPr="00CA120E">
        <w:rPr>
          <w:bCs/>
          <w:lang w:val="en-US"/>
        </w:rPr>
        <w:t xml:space="preserve">public finance </w:t>
      </w:r>
      <w:r w:rsidRPr="00CA120E">
        <w:rPr>
          <w:lang w:val="en-US"/>
        </w:rPr>
        <w:t xml:space="preserve">personnel and ensure </w:t>
      </w:r>
      <w:r w:rsidRPr="00CA120E">
        <w:rPr>
          <w:bCs/>
          <w:lang w:val="en-US"/>
        </w:rPr>
        <w:t>strict fiscal discipline</w:t>
      </w:r>
    </w:p>
    <w:p w14:paraId="10F2AF37" w14:textId="77777777" w:rsidR="00E12685" w:rsidRPr="00CA120E" w:rsidRDefault="00E12685" w:rsidP="000C3679">
      <w:pPr>
        <w:pStyle w:val="textbox"/>
        <w:numPr>
          <w:ilvl w:val="0"/>
          <w:numId w:val="30"/>
        </w:numPr>
        <w:shd w:val="clear" w:color="auto" w:fill="FFFFFF"/>
        <w:spacing w:before="0" w:beforeAutospacing="0" w:after="120" w:afterAutospacing="0"/>
        <w:jc w:val="both"/>
        <w:rPr>
          <w:b/>
          <w:bCs/>
          <w:lang w:val="en-US"/>
        </w:rPr>
      </w:pPr>
      <w:r w:rsidRPr="00CA120E">
        <w:rPr>
          <w:b/>
          <w:bCs/>
          <w:lang w:val="en-US"/>
        </w:rPr>
        <w:t xml:space="preserve">People are key </w:t>
      </w:r>
      <w:r w:rsidRPr="00CA120E">
        <w:rPr>
          <w:b/>
          <w:lang w:val="en-US"/>
        </w:rPr>
        <w:t>in all tasks:</w:t>
      </w:r>
      <w:r w:rsidRPr="00CA120E">
        <w:rPr>
          <w:lang w:val="en-US"/>
        </w:rPr>
        <w:t xml:space="preserve"> civil servants should receive </w:t>
      </w:r>
      <w:r w:rsidRPr="00CA120E">
        <w:rPr>
          <w:bCs/>
          <w:lang w:val="en-US"/>
        </w:rPr>
        <w:t xml:space="preserve">political, behavioral and technical training. </w:t>
      </w:r>
      <w:r w:rsidRPr="00CA120E">
        <w:rPr>
          <w:lang w:val="en-US"/>
        </w:rPr>
        <w:t xml:space="preserve">Human resources are the cornerstone of effective and efficient performance. Moving forward, focus for finance sector should be put on </w:t>
      </w:r>
      <w:r w:rsidRPr="00CA120E">
        <w:rPr>
          <w:bCs/>
          <w:lang w:val="en-US"/>
        </w:rPr>
        <w:t>institutional improvement</w:t>
      </w:r>
      <w:r w:rsidRPr="00CA120E">
        <w:rPr>
          <w:lang w:val="en-US"/>
        </w:rPr>
        <w:t xml:space="preserve">, staff recruitment and assigning staff to positions that match their technical knowledge and skills. </w:t>
      </w:r>
    </w:p>
    <w:p w14:paraId="4938958A" w14:textId="77777777" w:rsidR="00E12685" w:rsidRPr="00CA120E" w:rsidRDefault="00E12685" w:rsidP="000C3679">
      <w:pPr>
        <w:pStyle w:val="textbox"/>
        <w:numPr>
          <w:ilvl w:val="0"/>
          <w:numId w:val="30"/>
        </w:numPr>
        <w:shd w:val="clear" w:color="auto" w:fill="FFFFFF"/>
        <w:spacing w:before="0" w:beforeAutospacing="0" w:after="120" w:afterAutospacing="0"/>
        <w:jc w:val="both"/>
        <w:rPr>
          <w:lang w:val="en-US"/>
        </w:rPr>
      </w:pPr>
      <w:r w:rsidRPr="00CA120E">
        <w:rPr>
          <w:b/>
          <w:lang w:val="en-US"/>
        </w:rPr>
        <w:t xml:space="preserve">PFM-related </w:t>
      </w:r>
      <w:r w:rsidRPr="00CA120E">
        <w:rPr>
          <w:b/>
          <w:bCs/>
          <w:lang w:val="en-US"/>
        </w:rPr>
        <w:t xml:space="preserve">Legislation </w:t>
      </w:r>
      <w:r w:rsidRPr="00CA120E">
        <w:rPr>
          <w:b/>
          <w:lang w:val="en-US"/>
        </w:rPr>
        <w:t>should be developed</w:t>
      </w:r>
      <w:r w:rsidRPr="00CA120E">
        <w:rPr>
          <w:lang w:val="en-US"/>
        </w:rPr>
        <w:t xml:space="preserve"> and improved in consistency with the needs of </w:t>
      </w:r>
      <w:r w:rsidRPr="00CA120E">
        <w:rPr>
          <w:bCs/>
          <w:lang w:val="en-US"/>
        </w:rPr>
        <w:t xml:space="preserve">dynamic socio-economic growth </w:t>
      </w:r>
      <w:r w:rsidRPr="00CA120E">
        <w:rPr>
          <w:lang w:val="en-US"/>
        </w:rPr>
        <w:t xml:space="preserve">and should serve as an effective instrument for managing public finances. In this regard, </w:t>
      </w:r>
      <w:r w:rsidRPr="00CA120E">
        <w:rPr>
          <w:bCs/>
          <w:lang w:val="en-US"/>
        </w:rPr>
        <w:t xml:space="preserve">monitoring of budget expenditure </w:t>
      </w:r>
      <w:r w:rsidRPr="00CA120E">
        <w:rPr>
          <w:lang w:val="en-US"/>
        </w:rPr>
        <w:t xml:space="preserve">execution and the complete cycle of public investment projects is key, as these efforts are geared towards enhancing discipline in planning and PFM. </w:t>
      </w:r>
    </w:p>
    <w:p w14:paraId="1ACDB0B1" w14:textId="77777777" w:rsidR="00E12685" w:rsidRPr="00CA120E" w:rsidRDefault="00E12685" w:rsidP="000C3679">
      <w:pPr>
        <w:pStyle w:val="textbox"/>
        <w:numPr>
          <w:ilvl w:val="0"/>
          <w:numId w:val="30"/>
        </w:numPr>
        <w:shd w:val="clear" w:color="auto" w:fill="FFFFFF"/>
        <w:spacing w:before="0" w:beforeAutospacing="0" w:after="120" w:afterAutospacing="0"/>
        <w:jc w:val="both"/>
        <w:rPr>
          <w:lang w:val="en-US"/>
        </w:rPr>
      </w:pPr>
      <w:r w:rsidRPr="00CA120E">
        <w:rPr>
          <w:b/>
          <w:bCs/>
          <w:lang w:val="en-US"/>
        </w:rPr>
        <w:t xml:space="preserve">Adequate budget allocations </w:t>
      </w:r>
      <w:r w:rsidRPr="00CA120E">
        <w:rPr>
          <w:b/>
          <w:lang w:val="en-US"/>
        </w:rPr>
        <w:t xml:space="preserve">should be made for the </w:t>
      </w:r>
      <w:r w:rsidRPr="00CA120E">
        <w:rPr>
          <w:b/>
          <w:bCs/>
          <w:lang w:val="en-US"/>
        </w:rPr>
        <w:t>education, health and social sectors</w:t>
      </w:r>
      <w:r w:rsidRPr="00CA120E">
        <w:rPr>
          <w:b/>
          <w:lang w:val="en-US"/>
        </w:rPr>
        <w:t>,</w:t>
      </w:r>
      <w:r w:rsidRPr="00CA120E">
        <w:rPr>
          <w:lang w:val="en-US"/>
        </w:rPr>
        <w:t xml:space="preserve"> and should aim at poverty reduction and </w:t>
      </w:r>
      <w:r w:rsidRPr="00CA120E">
        <w:rPr>
          <w:bCs/>
          <w:lang w:val="en-US"/>
        </w:rPr>
        <w:t>improvement of people’s livelihoods.</w:t>
      </w:r>
      <w:r w:rsidRPr="00CA120E">
        <w:rPr>
          <w:lang w:val="en-US"/>
        </w:rPr>
        <w:t xml:space="preserve"> A medium and long-term fiscal Sam Sang policy are key in all tasks policy formulation and in implementation focus on exploiting potential revenue sources to education, health and social sectors to improve people’s livelihoods.</w:t>
      </w:r>
    </w:p>
    <w:p w14:paraId="60003CCF" w14:textId="77777777" w:rsidR="00E12685" w:rsidRPr="00CA120E" w:rsidRDefault="00E12685" w:rsidP="008037D9">
      <w:pPr>
        <w:pStyle w:val="textbox"/>
        <w:numPr>
          <w:ilvl w:val="0"/>
          <w:numId w:val="31"/>
        </w:numPr>
        <w:shd w:val="clear" w:color="auto" w:fill="FFFFFF"/>
        <w:spacing w:before="0" w:beforeAutospacing="0" w:after="0" w:afterAutospacing="0"/>
        <w:jc w:val="both"/>
        <w:rPr>
          <w:lang w:val="en-US"/>
        </w:rPr>
      </w:pPr>
      <w:r w:rsidRPr="00CA120E">
        <w:rPr>
          <w:b/>
          <w:lang w:val="en-US"/>
        </w:rPr>
        <w:t xml:space="preserve">Budget management should be carried out in line with the delegation of responsibility between the central and local level to increase </w:t>
      </w:r>
      <w:r w:rsidRPr="00CA120E">
        <w:rPr>
          <w:b/>
          <w:bCs/>
          <w:lang w:val="en-US"/>
        </w:rPr>
        <w:t>local authorities’ ownership over PFM</w:t>
      </w:r>
      <w:r w:rsidRPr="00CA120E">
        <w:rPr>
          <w:b/>
          <w:lang w:val="en-US"/>
        </w:rPr>
        <w:t>.</w:t>
      </w:r>
      <w:r w:rsidRPr="00CA120E">
        <w:rPr>
          <w:lang w:val="en-US"/>
        </w:rPr>
        <w:t xml:space="preserve"> Central level focuses on policy-making, while local levels focus on execution: a clear division of responsibilities in </w:t>
      </w:r>
      <w:r w:rsidRPr="00CA120E">
        <w:rPr>
          <w:bCs/>
          <w:lang w:val="en-US"/>
        </w:rPr>
        <w:t>revenue and expenditure management</w:t>
      </w:r>
      <w:r w:rsidRPr="00CA120E">
        <w:rPr>
          <w:lang w:val="en-US"/>
        </w:rPr>
        <w:t xml:space="preserve"> between the </w:t>
      </w:r>
      <w:r w:rsidRPr="00CA120E">
        <w:rPr>
          <w:bCs/>
          <w:lang w:val="en-US"/>
        </w:rPr>
        <w:t xml:space="preserve">central and local government </w:t>
      </w:r>
      <w:r w:rsidRPr="00CA120E">
        <w:rPr>
          <w:lang w:val="en-US"/>
        </w:rPr>
        <w:t xml:space="preserve">should be established to ensure unity in </w:t>
      </w:r>
      <w:r w:rsidRPr="00CA120E">
        <w:rPr>
          <w:bCs/>
          <w:lang w:val="en-US"/>
        </w:rPr>
        <w:t xml:space="preserve">policy formulation and implementation, with consideration to </w:t>
      </w:r>
      <w:r w:rsidRPr="00CA120E">
        <w:rPr>
          <w:lang w:val="en-US"/>
        </w:rPr>
        <w:t>the current financial context.</w:t>
      </w:r>
    </w:p>
    <w:p w14:paraId="0429A81F" w14:textId="77777777" w:rsidR="00E12685" w:rsidRPr="00CA120E" w:rsidRDefault="00E12685" w:rsidP="00E12685">
      <w:pPr>
        <w:spacing w:after="240"/>
        <w:ind w:left="0"/>
        <w:rPr>
          <w:rFonts w:ascii="Times New Roman" w:hAnsi="Times New Roman"/>
          <w:color w:val="000000" w:themeColor="text1"/>
          <w:sz w:val="24"/>
        </w:rPr>
      </w:pPr>
      <w:r w:rsidRPr="00CA120E">
        <w:rPr>
          <w:rFonts w:ascii="Times New Roman" w:hAnsi="Times New Roman"/>
          <w:b/>
          <w:color w:val="000000" w:themeColor="text1"/>
          <w:sz w:val="24"/>
        </w:rPr>
        <w:t>Coordination across government</w:t>
      </w:r>
    </w:p>
    <w:p w14:paraId="4D235559" w14:textId="77777777" w:rsidR="00E12685" w:rsidRPr="00E55A2B" w:rsidRDefault="00E12685" w:rsidP="008037D9">
      <w:pPr>
        <w:pStyle w:val="ListParagraph"/>
        <w:numPr>
          <w:ilvl w:val="0"/>
          <w:numId w:val="101"/>
        </w:numPr>
        <w:spacing w:after="120"/>
        <w:ind w:left="0" w:firstLine="0"/>
        <w:contextualSpacing w:val="0"/>
        <w:rPr>
          <w:rFonts w:ascii="Times New Roman" w:hAnsi="Times New Roman"/>
          <w:sz w:val="24"/>
        </w:rPr>
      </w:pPr>
      <w:r w:rsidRPr="00CA120E">
        <w:rPr>
          <w:rFonts w:ascii="Times New Roman" w:hAnsi="Times New Roman"/>
          <w:b/>
          <w:sz w:val="24"/>
        </w:rPr>
        <w:t xml:space="preserve">The PFM reform agenda is driven and owned by the Government of Lao PDR, with the MoF in the main leading role. </w:t>
      </w:r>
      <w:r w:rsidRPr="00CA120E">
        <w:rPr>
          <w:rFonts w:ascii="Times New Roman" w:hAnsi="Times New Roman"/>
          <w:sz w:val="24"/>
        </w:rPr>
        <w:t xml:space="preserve">The Ministry of Finance, on behalf of the Government, is directly responsible for public finance management, developed the PFDS and is mainly responsible for its implementation. The MoF is mandated to develop and modernize required PFM tools to increase annual revenues, finance socioeconomic development, and address liquidity shortfalls by adhering to budget deficit targets and maintain overall macroeconomic stability. </w:t>
      </w:r>
      <w:bookmarkEnd w:id="128"/>
      <w:bookmarkEnd w:id="129"/>
      <w:r w:rsidRPr="00CA120E">
        <w:rPr>
          <w:rFonts w:ascii="Times New Roman" w:hAnsi="Times New Roman"/>
          <w:sz w:val="24"/>
        </w:rPr>
        <w:t xml:space="preserve">Within MoF all departments have a critical role to play in the reform but most of the technical responsibilities are centralized in the Fiscal Policy, Treasury and Budget Departments. </w:t>
      </w:r>
    </w:p>
    <w:p w14:paraId="5F8E17FD" w14:textId="77777777" w:rsidR="00E12685" w:rsidRPr="00CA120E" w:rsidRDefault="00E12685" w:rsidP="008037D9">
      <w:pPr>
        <w:pStyle w:val="ListParagraph"/>
        <w:numPr>
          <w:ilvl w:val="0"/>
          <w:numId w:val="101"/>
        </w:numPr>
        <w:spacing w:after="120"/>
        <w:ind w:left="0" w:firstLine="0"/>
        <w:contextualSpacing w:val="0"/>
        <w:rPr>
          <w:rFonts w:ascii="Times New Roman" w:hAnsi="Times New Roman"/>
          <w:sz w:val="24"/>
        </w:rPr>
      </w:pPr>
      <w:r w:rsidRPr="00CA120E">
        <w:rPr>
          <w:rFonts w:ascii="Times New Roman" w:hAnsi="Times New Roman"/>
          <w:b/>
          <w:color w:val="000000" w:themeColor="text1"/>
          <w:sz w:val="24"/>
        </w:rPr>
        <w:t xml:space="preserve">Collecting more tax and strengthening tax administration are critical to raising government revenue and a top priority for the government. </w:t>
      </w:r>
      <w:r w:rsidRPr="00CA120E">
        <w:rPr>
          <w:rFonts w:ascii="Times New Roman" w:hAnsi="Times New Roman"/>
          <w:color w:val="000000" w:themeColor="text1"/>
          <w:sz w:val="24"/>
        </w:rPr>
        <w:t>The performance of tax administration remains critical if the government is to meet its ambitious tax collection goals. The government has also set out an ambitious tax policy reform agenda. In 2018, MoF revised the VAT law, which has just been approved by NA.</w:t>
      </w:r>
    </w:p>
    <w:p w14:paraId="693B2AE3" w14:textId="77777777" w:rsidR="00E12685" w:rsidRPr="00CA120E" w:rsidRDefault="00E12685" w:rsidP="00E12685">
      <w:pPr>
        <w:spacing w:after="240"/>
        <w:ind w:left="0"/>
        <w:rPr>
          <w:rFonts w:ascii="Times New Roman" w:hAnsi="Times New Roman"/>
          <w:b/>
          <w:color w:val="000000" w:themeColor="text1"/>
          <w:sz w:val="24"/>
        </w:rPr>
      </w:pPr>
      <w:r w:rsidRPr="00CA120E">
        <w:rPr>
          <w:rFonts w:ascii="Times New Roman" w:hAnsi="Times New Roman"/>
          <w:b/>
          <w:color w:val="000000" w:themeColor="text1"/>
          <w:sz w:val="24"/>
        </w:rPr>
        <w:t xml:space="preserve">A sustainable reform </w:t>
      </w:r>
      <w:proofErr w:type="gramStart"/>
      <w:r w:rsidRPr="00CA120E">
        <w:rPr>
          <w:rFonts w:ascii="Times New Roman" w:hAnsi="Times New Roman"/>
          <w:b/>
          <w:color w:val="000000" w:themeColor="text1"/>
          <w:sz w:val="24"/>
        </w:rPr>
        <w:t>process</w:t>
      </w:r>
      <w:proofErr w:type="gramEnd"/>
    </w:p>
    <w:p w14:paraId="1DE92879" w14:textId="77777777" w:rsidR="00E12685" w:rsidRPr="004746DA" w:rsidRDefault="00E12685" w:rsidP="008037D9">
      <w:pPr>
        <w:pStyle w:val="ListParagraph"/>
        <w:numPr>
          <w:ilvl w:val="0"/>
          <w:numId w:val="101"/>
        </w:numPr>
        <w:shd w:val="clear" w:color="auto" w:fill="FFFFFF"/>
        <w:autoSpaceDE w:val="0"/>
        <w:autoSpaceDN w:val="0"/>
        <w:adjustRightInd w:val="0"/>
        <w:spacing w:after="240"/>
        <w:ind w:left="0" w:firstLine="0"/>
        <w:contextualSpacing w:val="0"/>
        <w:rPr>
          <w:rFonts w:ascii="Times New Roman" w:hAnsi="Times New Roman"/>
          <w:sz w:val="24"/>
        </w:rPr>
      </w:pPr>
      <w:r w:rsidRPr="00CA120E">
        <w:rPr>
          <w:rFonts w:ascii="Times New Roman" w:hAnsi="Times New Roman"/>
          <w:b/>
          <w:sz w:val="24"/>
        </w:rPr>
        <w:t>Sustainability of PFM reforms across government is critically dependent on several factors, such as strong ownership, the capacity to internalize reforms, the institutional set-up and stakeholders’ understanding of the benefit of changes.</w:t>
      </w:r>
      <w:r w:rsidRPr="00CA120E">
        <w:rPr>
          <w:rFonts w:ascii="Times New Roman" w:hAnsi="Times New Roman"/>
          <w:sz w:val="24"/>
        </w:rPr>
        <w:t xml:space="preserve"> Although </w:t>
      </w:r>
      <w:r w:rsidRPr="00CA120E">
        <w:rPr>
          <w:rFonts w:ascii="Times New Roman" w:hAnsi="Times New Roman"/>
          <w:sz w:val="24"/>
        </w:rPr>
        <w:lastRenderedPageBreak/>
        <w:t xml:space="preserve">there is strong government commitment to sustain reforms, the ownership of the reform process is still largely limited to the MOF and </w:t>
      </w:r>
      <w:proofErr w:type="gramStart"/>
      <w:r w:rsidRPr="00CA120E">
        <w:rPr>
          <w:rFonts w:ascii="Times New Roman" w:hAnsi="Times New Roman"/>
          <w:sz w:val="24"/>
        </w:rPr>
        <w:t>a number of</w:t>
      </w:r>
      <w:proofErr w:type="gramEnd"/>
      <w:r w:rsidRPr="00CA120E">
        <w:rPr>
          <w:rFonts w:ascii="Times New Roman" w:hAnsi="Times New Roman"/>
          <w:sz w:val="24"/>
        </w:rPr>
        <w:t xml:space="preserve"> MoF departments responsible for broad-based institutional change management. Other key institutions, such as the Ministry of Planning and Investment, </w:t>
      </w:r>
      <w:proofErr w:type="spellStart"/>
      <w:r w:rsidRPr="00CA120E">
        <w:rPr>
          <w:rFonts w:ascii="Times New Roman" w:hAnsi="Times New Roman"/>
          <w:sz w:val="24"/>
        </w:rPr>
        <w:t>MoHA</w:t>
      </w:r>
      <w:proofErr w:type="spellEnd"/>
      <w:r w:rsidRPr="00CA120E">
        <w:rPr>
          <w:rFonts w:ascii="Times New Roman" w:hAnsi="Times New Roman"/>
          <w:sz w:val="24"/>
        </w:rPr>
        <w:t xml:space="preserve"> and key line ministries are not fully integrated in the PFDS planning. </w:t>
      </w:r>
      <w:r w:rsidRPr="00CA120E">
        <w:rPr>
          <w:rFonts w:ascii="Times New Roman" w:eastAsia="MercuryTextG1-Roman" w:hAnsi="Times New Roman"/>
          <w:sz w:val="24"/>
        </w:rPr>
        <w:t>Insufficient availability of skilled human resources is a key obstacle. While there is no evidence of significant resistance from middle management</w:t>
      </w:r>
      <w:r w:rsidRPr="00CA120E">
        <w:rPr>
          <w:rFonts w:ascii="Times New Roman" w:eastAsia="MercuryTextG1-Roman" w:hAnsi="Times New Roman"/>
          <w:b/>
          <w:sz w:val="24"/>
        </w:rPr>
        <w:t xml:space="preserve"> </w:t>
      </w:r>
      <w:r w:rsidRPr="00CA120E">
        <w:rPr>
          <w:rFonts w:ascii="Times New Roman" w:eastAsia="MercuryTextG1-Roman" w:hAnsi="Times New Roman"/>
          <w:sz w:val="24"/>
        </w:rPr>
        <w:t>or civil servants to reform, inadequate human capital at the technical level also prevented a more rapid implementation of the reforms.</w:t>
      </w:r>
      <w:r w:rsidRPr="00CA120E">
        <w:rPr>
          <w:rFonts w:ascii="Times New Roman" w:eastAsia="MercuryTextG1-Roman" w:hAnsi="Times New Roman"/>
          <w:b/>
          <w:sz w:val="24"/>
        </w:rPr>
        <w:t xml:space="preserve"> </w:t>
      </w:r>
      <w:r w:rsidRPr="00CA120E">
        <w:rPr>
          <w:rFonts w:ascii="Times New Roman" w:eastAsia="MercuryTextG1-Roman" w:hAnsi="Times New Roman"/>
          <w:sz w:val="24"/>
        </w:rPr>
        <w:t xml:space="preserve">The risk to rely on scarce capacity concentrated on specific reform areas or spread thin over a range of activities is high. </w:t>
      </w:r>
      <w:r w:rsidRPr="00CA120E">
        <w:rPr>
          <w:rFonts w:ascii="Times New Roman" w:hAnsi="Times New Roman"/>
          <w:sz w:val="24"/>
        </w:rPr>
        <w:t xml:space="preserve">It is key that the reforms extend to the other line ministries </w:t>
      </w:r>
      <w:r w:rsidRPr="00CA120E">
        <w:rPr>
          <w:rFonts w:ascii="Times New Roman" w:eastAsia="MercuryTextG1-Roman" w:hAnsi="Times New Roman"/>
          <w:sz w:val="24"/>
        </w:rPr>
        <w:t xml:space="preserve">to ensure the institutionalization of new processes and rule, </w:t>
      </w:r>
      <w:r w:rsidRPr="00CA120E">
        <w:rPr>
          <w:rFonts w:ascii="Times New Roman" w:hAnsi="Times New Roman"/>
          <w:sz w:val="24"/>
        </w:rPr>
        <w:t xml:space="preserve">and eventually to SNGs, where capacity constraints are particularly acute. In general, the key to sustainable reform requires the effort to strengthen the capacity to internalize reforms, particularly from an institutional perspective, and to ensure that the main stakeholders recognize that the benefits of change are to their own advantage and will enable them to function and perform better in the future. </w:t>
      </w:r>
    </w:p>
    <w:p w14:paraId="14C273EA" w14:textId="77777777" w:rsidR="00E12685" w:rsidRPr="00CA120E" w:rsidRDefault="00E12685" w:rsidP="008037D9">
      <w:pPr>
        <w:pStyle w:val="ListParagraph"/>
        <w:numPr>
          <w:ilvl w:val="0"/>
          <w:numId w:val="101"/>
        </w:numPr>
        <w:shd w:val="clear" w:color="auto" w:fill="FFFFFF"/>
        <w:autoSpaceDE w:val="0"/>
        <w:autoSpaceDN w:val="0"/>
        <w:adjustRightInd w:val="0"/>
        <w:spacing w:after="240"/>
        <w:ind w:left="0" w:firstLine="0"/>
        <w:contextualSpacing w:val="0"/>
        <w:rPr>
          <w:rFonts w:ascii="Times New Roman" w:hAnsi="Times New Roman"/>
          <w:sz w:val="24"/>
        </w:rPr>
      </w:pPr>
      <w:r w:rsidRPr="00CA120E">
        <w:rPr>
          <w:rFonts w:ascii="Times New Roman" w:hAnsi="Times New Roman"/>
          <w:b/>
          <w:sz w:val="24"/>
        </w:rPr>
        <w:t xml:space="preserve">Recognizing the main constraints to improving public sector’s rigid, hierarchical, institutional and bureaucratic structures, the government </w:t>
      </w:r>
      <w:proofErr w:type="gramStart"/>
      <w:r w:rsidRPr="00CA120E">
        <w:rPr>
          <w:rFonts w:ascii="Times New Roman" w:hAnsi="Times New Roman"/>
          <w:b/>
          <w:sz w:val="24"/>
        </w:rPr>
        <w:t>has to</w:t>
      </w:r>
      <w:proofErr w:type="gramEnd"/>
      <w:r w:rsidRPr="00CA120E">
        <w:rPr>
          <w:rFonts w:ascii="Times New Roman" w:hAnsi="Times New Roman"/>
          <w:b/>
          <w:sz w:val="24"/>
        </w:rPr>
        <w:t xml:space="preserve"> follow the Central Party guidelines defined as the Policy of the Four Breakthroughs</w:t>
      </w:r>
      <w:r w:rsidRPr="00CA120E">
        <w:rPr>
          <w:rFonts w:ascii="Times New Roman" w:hAnsi="Times New Roman"/>
          <w:sz w:val="24"/>
        </w:rPr>
        <w:t xml:space="preserve">: </w:t>
      </w:r>
    </w:p>
    <w:p w14:paraId="02E59634" w14:textId="77777777" w:rsidR="00E12685" w:rsidRPr="00CA120E" w:rsidRDefault="00E12685" w:rsidP="000C3679">
      <w:pPr>
        <w:pStyle w:val="ListParagraph"/>
        <w:numPr>
          <w:ilvl w:val="0"/>
          <w:numId w:val="102"/>
        </w:numPr>
        <w:shd w:val="clear" w:color="auto" w:fill="FFFFFF"/>
        <w:autoSpaceDE w:val="0"/>
        <w:autoSpaceDN w:val="0"/>
        <w:adjustRightInd w:val="0"/>
        <w:spacing w:after="120"/>
        <w:contextualSpacing w:val="0"/>
        <w:rPr>
          <w:rFonts w:ascii="Times New Roman" w:hAnsi="Times New Roman"/>
          <w:sz w:val="24"/>
        </w:rPr>
      </w:pPr>
      <w:r w:rsidRPr="00CA120E">
        <w:rPr>
          <w:rFonts w:ascii="Times New Roman" w:hAnsi="Times New Roman"/>
          <w:sz w:val="24"/>
        </w:rPr>
        <w:t>Firstly, the obligation to embark on a breakthrough in thinking by liberating and addressing the characteristics of dogma, stereotyping, complacency, and extremism; to promote creativity and the attributes of having the courage to think, to do and to be responsible, with the aim of successfully implementing the Party’s resolution.</w:t>
      </w:r>
    </w:p>
    <w:p w14:paraId="3CBFF33A" w14:textId="77777777" w:rsidR="00E12685" w:rsidRPr="00CA120E" w:rsidRDefault="00E12685" w:rsidP="000C3679">
      <w:pPr>
        <w:pStyle w:val="ListParagraph"/>
        <w:numPr>
          <w:ilvl w:val="0"/>
          <w:numId w:val="102"/>
        </w:numPr>
        <w:shd w:val="clear" w:color="auto" w:fill="FFFFFF"/>
        <w:autoSpaceDE w:val="0"/>
        <w:autoSpaceDN w:val="0"/>
        <w:adjustRightInd w:val="0"/>
        <w:spacing w:before="0" w:after="120"/>
        <w:contextualSpacing w:val="0"/>
        <w:rPr>
          <w:rFonts w:ascii="Times New Roman" w:hAnsi="Times New Roman"/>
          <w:sz w:val="24"/>
        </w:rPr>
      </w:pPr>
      <w:r w:rsidRPr="00CA120E">
        <w:rPr>
          <w:rFonts w:ascii="Times New Roman" w:hAnsi="Times New Roman"/>
          <w:sz w:val="24"/>
        </w:rPr>
        <w:t xml:space="preserve">Secondly, breakthroughs in human resource development, especially in training and improving knowledge and techniques in various fields, so that a qualified workforce is available to meet the demands of development. </w:t>
      </w:r>
    </w:p>
    <w:p w14:paraId="2AE2C39A" w14:textId="77777777" w:rsidR="00E12685" w:rsidRPr="00CA120E" w:rsidRDefault="00E12685" w:rsidP="000C3679">
      <w:pPr>
        <w:pStyle w:val="ListParagraph"/>
        <w:numPr>
          <w:ilvl w:val="0"/>
          <w:numId w:val="102"/>
        </w:numPr>
        <w:shd w:val="clear" w:color="auto" w:fill="FFFFFF"/>
        <w:autoSpaceDE w:val="0"/>
        <w:autoSpaceDN w:val="0"/>
        <w:adjustRightInd w:val="0"/>
        <w:spacing w:before="0" w:after="120"/>
        <w:contextualSpacing w:val="0"/>
        <w:rPr>
          <w:rFonts w:ascii="Times New Roman" w:hAnsi="Times New Roman"/>
          <w:sz w:val="24"/>
        </w:rPr>
      </w:pPr>
      <w:r w:rsidRPr="00CA120E">
        <w:rPr>
          <w:rFonts w:ascii="Times New Roman" w:hAnsi="Times New Roman"/>
          <w:sz w:val="24"/>
        </w:rPr>
        <w:t xml:space="preserve">Thirdly, a breakthrough in completely removing administrative and managerial orders and methods that impede business production and services. </w:t>
      </w:r>
    </w:p>
    <w:p w14:paraId="5876B905" w14:textId="77777777" w:rsidR="00E12685" w:rsidRPr="00CA120E" w:rsidRDefault="00E12685" w:rsidP="000C3679">
      <w:pPr>
        <w:pStyle w:val="ListParagraph"/>
        <w:numPr>
          <w:ilvl w:val="0"/>
          <w:numId w:val="102"/>
        </w:numPr>
        <w:shd w:val="clear" w:color="auto" w:fill="FFFFFF"/>
        <w:autoSpaceDE w:val="0"/>
        <w:autoSpaceDN w:val="0"/>
        <w:adjustRightInd w:val="0"/>
        <w:spacing w:before="0" w:after="120"/>
        <w:contextualSpacing w:val="0"/>
        <w:rPr>
          <w:rFonts w:ascii="Times New Roman" w:hAnsi="Times New Roman"/>
          <w:sz w:val="24"/>
        </w:rPr>
      </w:pPr>
      <w:r w:rsidRPr="00CA120E">
        <w:rPr>
          <w:rFonts w:ascii="Times New Roman" w:hAnsi="Times New Roman"/>
          <w:sz w:val="24"/>
        </w:rPr>
        <w:t>Fourthly, a breakthrough in addressing poverty by seeking funding sources and introducing special promotion policies, and by creating a focused social and economic infrastructure that will become a driving force for development in other areas.</w:t>
      </w:r>
    </w:p>
    <w:p w14:paraId="5DA4D8FE" w14:textId="77777777" w:rsidR="00E12685" w:rsidRPr="00CA120E" w:rsidRDefault="00E12685" w:rsidP="008037D9">
      <w:pPr>
        <w:pStyle w:val="ListParagraph"/>
        <w:numPr>
          <w:ilvl w:val="0"/>
          <w:numId w:val="101"/>
        </w:numPr>
        <w:autoSpaceDE w:val="0"/>
        <w:autoSpaceDN w:val="0"/>
        <w:adjustRightInd w:val="0"/>
        <w:spacing w:after="240"/>
        <w:ind w:left="0" w:firstLine="0"/>
        <w:contextualSpacing w:val="0"/>
        <w:rPr>
          <w:rFonts w:ascii="Times New Roman" w:eastAsia="MercuryTextG1-Roman" w:hAnsi="Times New Roman"/>
          <w:sz w:val="24"/>
        </w:rPr>
      </w:pPr>
      <w:r w:rsidRPr="00CA120E">
        <w:rPr>
          <w:rFonts w:ascii="Times New Roman" w:eastAsia="MercuryTextG1-Roman" w:hAnsi="Times New Roman"/>
          <w:b/>
          <w:sz w:val="24"/>
        </w:rPr>
        <w:t>Development partner engagement will continue to play an important role in keeping the momentum for the reform and support the change management process.</w:t>
      </w:r>
      <w:r w:rsidRPr="00CA120E">
        <w:rPr>
          <w:rFonts w:ascii="Times New Roman" w:eastAsia="MercuryTextG1-Roman" w:hAnsi="Times New Roman"/>
          <w:sz w:val="24"/>
        </w:rPr>
        <w:t xml:space="preserve"> Donor commitment and continued engagement, paired with the provision of funding resources and technical assistance, </w:t>
      </w:r>
      <w:r w:rsidR="00141E3B">
        <w:rPr>
          <w:rFonts w:ascii="Times New Roman" w:eastAsia="MercuryTextG1-Roman" w:hAnsi="Times New Roman"/>
          <w:sz w:val="24"/>
        </w:rPr>
        <w:t>is</w:t>
      </w:r>
      <w:r w:rsidRPr="00CA120E">
        <w:rPr>
          <w:rFonts w:ascii="Times New Roman" w:eastAsia="MercuryTextG1-Roman" w:hAnsi="Times New Roman"/>
          <w:sz w:val="24"/>
        </w:rPr>
        <w:t xml:space="preserve"> an important enabling factor. While the government’s restricted financial situation </w:t>
      </w:r>
      <w:proofErr w:type="gramStart"/>
      <w:r w:rsidRPr="00CA120E">
        <w:rPr>
          <w:rFonts w:ascii="Times New Roman" w:eastAsia="MercuryTextG1-Roman" w:hAnsi="Times New Roman"/>
          <w:sz w:val="24"/>
        </w:rPr>
        <w:t>do</w:t>
      </w:r>
      <w:proofErr w:type="gramEnd"/>
      <w:r w:rsidRPr="00CA120E">
        <w:rPr>
          <w:rFonts w:ascii="Times New Roman" w:eastAsia="MercuryTextG1-Roman" w:hAnsi="Times New Roman"/>
          <w:sz w:val="24"/>
        </w:rPr>
        <w:t xml:space="preserve"> not allow for major investments, technical assistance and guidance in the reform process is probably the most important contribution from the donor community. Long term engagements such as the PRSO series and the NT2 Hydropower Project in the past provided a platform for not only continuous dialogue, but also facilitated transitions towards international practice on reporting standards. </w:t>
      </w:r>
    </w:p>
    <w:p w14:paraId="182582DC" w14:textId="77777777" w:rsidR="00E12685" w:rsidRPr="00CA120E" w:rsidRDefault="00E12685" w:rsidP="008037D9">
      <w:pPr>
        <w:pStyle w:val="ListParagraph"/>
        <w:numPr>
          <w:ilvl w:val="0"/>
          <w:numId w:val="101"/>
        </w:numPr>
        <w:autoSpaceDE w:val="0"/>
        <w:autoSpaceDN w:val="0"/>
        <w:adjustRightInd w:val="0"/>
        <w:spacing w:after="240"/>
        <w:ind w:left="0" w:firstLine="0"/>
        <w:contextualSpacing w:val="0"/>
        <w:rPr>
          <w:rFonts w:ascii="Times New Roman" w:eastAsia="MercuryTextG1-Roman" w:hAnsi="Times New Roman"/>
          <w:sz w:val="24"/>
        </w:rPr>
      </w:pPr>
      <w:r w:rsidRPr="00CA120E">
        <w:rPr>
          <w:rFonts w:ascii="Times New Roman" w:eastAsia="MercuryTextG1-Roman" w:hAnsi="Times New Roman"/>
          <w:b/>
          <w:sz w:val="24"/>
        </w:rPr>
        <w:t xml:space="preserve">Finally, the dynamic development of enhanced ICT tools is envisioned to support Lao PDR PFM reforms by providing the foundation on which advanced planning, budgeting and resource management reforms can be anchored and progressed. </w:t>
      </w:r>
      <w:r w:rsidRPr="00CA120E">
        <w:rPr>
          <w:rFonts w:ascii="Times New Roman" w:eastAsia="MercuryTextG1-Roman" w:hAnsi="Times New Roman"/>
          <w:sz w:val="24"/>
        </w:rPr>
        <w:t>The government’s decision to embark upon the FMIS development program is a game changer and will potentially help MoF articulate different parts of the reform together from early stage.</w:t>
      </w:r>
    </w:p>
    <w:p w14:paraId="7219EBB0" w14:textId="77777777" w:rsidR="00E12685" w:rsidRPr="00CA120E" w:rsidRDefault="00E12685" w:rsidP="00E12685">
      <w:pPr>
        <w:spacing w:after="240"/>
        <w:ind w:left="0"/>
        <w:rPr>
          <w:rFonts w:ascii="Times New Roman" w:hAnsi="Times New Roman"/>
          <w:b/>
          <w:color w:val="000000" w:themeColor="text1"/>
          <w:sz w:val="24"/>
        </w:rPr>
      </w:pPr>
      <w:r w:rsidRPr="00CA120E">
        <w:rPr>
          <w:rFonts w:ascii="Times New Roman" w:hAnsi="Times New Roman"/>
          <w:b/>
          <w:color w:val="000000" w:themeColor="text1"/>
          <w:sz w:val="24"/>
        </w:rPr>
        <w:lastRenderedPageBreak/>
        <w:t>Transparency of the PFM Program</w:t>
      </w:r>
    </w:p>
    <w:p w14:paraId="6773C0DC" w14:textId="77777777" w:rsidR="00E12685" w:rsidRPr="00CA120E" w:rsidRDefault="00E12685" w:rsidP="008037D9">
      <w:pPr>
        <w:pStyle w:val="ListParagraph"/>
        <w:numPr>
          <w:ilvl w:val="0"/>
          <w:numId w:val="101"/>
        </w:numPr>
        <w:spacing w:after="240"/>
        <w:ind w:left="0" w:firstLine="0"/>
        <w:contextualSpacing w:val="0"/>
        <w:rPr>
          <w:rFonts w:ascii="Times New Roman" w:hAnsi="Times New Roman"/>
          <w:sz w:val="24"/>
        </w:rPr>
      </w:pPr>
      <w:r w:rsidRPr="00CA120E">
        <w:rPr>
          <w:rFonts w:ascii="Times New Roman" w:hAnsi="Times New Roman"/>
          <w:b/>
          <w:sz w:val="24"/>
        </w:rPr>
        <w:t>The PFDS is the result of a broad and extensive consultation and consensus-building exercise within the government for PFM reform</w:t>
      </w:r>
      <w:r w:rsidRPr="00CA120E">
        <w:rPr>
          <w:rFonts w:ascii="Times New Roman" w:hAnsi="Times New Roman"/>
          <w:sz w:val="24"/>
        </w:rPr>
        <w:t xml:space="preserve">. It reflects the decision from the high level of the Central Party and the leadership of government. At the early stage of its implementation, it is expected that more dissemination and activities are carried out to gain the interest and understanding of all stakeholders within and outside MoF. The mechanisms for evaluating and reporting on the implementation </w:t>
      </w:r>
      <w:proofErr w:type="gramStart"/>
      <w:r w:rsidRPr="00CA120E">
        <w:rPr>
          <w:rFonts w:ascii="Times New Roman" w:hAnsi="Times New Roman"/>
          <w:sz w:val="24"/>
        </w:rPr>
        <w:t>have to</w:t>
      </w:r>
      <w:proofErr w:type="gramEnd"/>
      <w:r w:rsidRPr="00CA120E">
        <w:rPr>
          <w:rFonts w:ascii="Times New Roman" w:hAnsi="Times New Roman"/>
          <w:sz w:val="24"/>
        </w:rPr>
        <w:t xml:space="preserve"> be defined so that quick wins and future achievements can maintain the political support and the required traction at the decision-making level and promote the overall accountability of the government.</w:t>
      </w:r>
    </w:p>
    <w:p w14:paraId="5EBAB6EC" w14:textId="77777777" w:rsidR="00E12685" w:rsidRPr="00CA120E" w:rsidRDefault="00E12685" w:rsidP="00E12685">
      <w:pPr>
        <w:spacing w:after="240"/>
        <w:ind w:left="0"/>
        <w:rPr>
          <w:rFonts w:ascii="Times New Roman" w:hAnsi="Times New Roman"/>
          <w:b/>
          <w:color w:val="000000" w:themeColor="text1"/>
          <w:sz w:val="24"/>
        </w:rPr>
      </w:pPr>
      <w:r w:rsidRPr="00CA120E">
        <w:rPr>
          <w:rFonts w:ascii="Times New Roman" w:hAnsi="Times New Roman"/>
          <w:b/>
          <w:color w:val="000000" w:themeColor="text1"/>
          <w:sz w:val="24"/>
        </w:rPr>
        <w:t>Conclusion</w:t>
      </w:r>
    </w:p>
    <w:p w14:paraId="3C08775E" w14:textId="77777777" w:rsidR="007518E4" w:rsidRPr="00E12685" w:rsidRDefault="00E12685" w:rsidP="00CE5F86">
      <w:pPr>
        <w:pStyle w:val="ListParagraph"/>
        <w:numPr>
          <w:ilvl w:val="0"/>
          <w:numId w:val="111"/>
        </w:numPr>
        <w:spacing w:after="240"/>
        <w:rPr>
          <w:rFonts w:ascii="Times New Roman" w:eastAsia="ヒラギノ角ゴ Pro W3" w:hAnsi="Times New Roman"/>
          <w:b/>
          <w:color w:val="000000"/>
          <w:sz w:val="24"/>
          <w:lang w:eastAsia="en-IN"/>
        </w:rPr>
      </w:pPr>
      <w:r w:rsidRPr="00E12685">
        <w:rPr>
          <w:rFonts w:ascii="Times New Roman" w:hAnsi="Times New Roman"/>
          <w:b/>
          <w:sz w:val="24"/>
        </w:rPr>
        <w:t xml:space="preserve">During the past 15 years, public finance management in Lao PDR has </w:t>
      </w:r>
      <w:proofErr w:type="gramStart"/>
      <w:r w:rsidRPr="00E12685">
        <w:rPr>
          <w:rFonts w:ascii="Times New Roman" w:hAnsi="Times New Roman"/>
          <w:b/>
          <w:sz w:val="24"/>
        </w:rPr>
        <w:t>definitely improved</w:t>
      </w:r>
      <w:proofErr w:type="gramEnd"/>
      <w:r w:rsidRPr="00E12685">
        <w:rPr>
          <w:rFonts w:ascii="Times New Roman" w:hAnsi="Times New Roman"/>
          <w:b/>
          <w:sz w:val="24"/>
        </w:rPr>
        <w:t>.</w:t>
      </w:r>
      <w:r w:rsidRPr="00E12685">
        <w:rPr>
          <w:rFonts w:ascii="Times New Roman" w:hAnsi="Times New Roman"/>
          <w:sz w:val="24"/>
        </w:rPr>
        <w:t xml:space="preserve"> Central and local public finance entities have been strengthened in many ways, including in their political mandate, institutional set-up and human resources. The development of public finance has been supported by a stronger public finance legal framework, resulting in the gradual modernization and transparency of revenue and expenditure management, and the reduction of misappropriation of public resources, loopholes, leakages and budget irregularities. The second-generation reform agenda is an ambitious, </w:t>
      </w:r>
      <w:proofErr w:type="spellStart"/>
      <w:r w:rsidRPr="00E12685">
        <w:rPr>
          <w:rFonts w:ascii="Times New Roman" w:hAnsi="Times New Roman"/>
          <w:sz w:val="24"/>
        </w:rPr>
        <w:t>well articulated</w:t>
      </w:r>
      <w:proofErr w:type="spellEnd"/>
      <w:r w:rsidRPr="00E12685">
        <w:rPr>
          <w:rFonts w:ascii="Times New Roman" w:hAnsi="Times New Roman"/>
          <w:sz w:val="24"/>
        </w:rPr>
        <w:t xml:space="preserve"> and challenging program aiming at taking the country systems to the next level, and it is of paramount importance that the reform message and future achievements be communicated with clarity and implemented with consistency throughout the govern</w:t>
      </w:r>
    </w:p>
    <w:p w14:paraId="2BD81FC0" w14:textId="77777777" w:rsidR="007518E4" w:rsidRPr="00C135BA" w:rsidRDefault="007518E4" w:rsidP="007518E4">
      <w:pPr>
        <w:pStyle w:val="Heading1"/>
        <w:ind w:left="0"/>
        <w:rPr>
          <w:rFonts w:ascii="Times New Roman" w:hAnsi="Times New Roman"/>
        </w:rPr>
      </w:pPr>
      <w:r>
        <w:rPr>
          <w:rFonts w:eastAsia="ヒラギノ角ゴ Pro W3"/>
          <w:color w:val="000000"/>
          <w:sz w:val="24"/>
          <w:lang w:eastAsia="en-IN"/>
        </w:rPr>
        <w:br w:type="page"/>
      </w:r>
      <w:bookmarkStart w:id="132" w:name="_Toc518901825"/>
      <w:bookmarkStart w:id="133" w:name="_Toc4149022"/>
      <w:r w:rsidR="00E12685" w:rsidRPr="00C135BA">
        <w:rPr>
          <w:rFonts w:ascii="Times New Roman" w:hAnsi="Times New Roman"/>
        </w:rPr>
        <w:lastRenderedPageBreak/>
        <w:t>Annex 1</w:t>
      </w:r>
      <w:r w:rsidRPr="00C135BA">
        <w:rPr>
          <w:rFonts w:ascii="Times New Roman" w:hAnsi="Times New Roman"/>
        </w:rPr>
        <w:t>: Performance indicator summary</w:t>
      </w:r>
      <w:bookmarkEnd w:id="132"/>
      <w:bookmarkEnd w:id="133"/>
    </w:p>
    <w:tbl>
      <w:tblPr>
        <w:tblW w:w="4980" w:type="pct"/>
        <w:tblLayout w:type="fixed"/>
        <w:tblLook w:val="04A0" w:firstRow="1" w:lastRow="0" w:firstColumn="1" w:lastColumn="0" w:noHBand="0" w:noVBand="1"/>
      </w:tblPr>
      <w:tblGrid>
        <w:gridCol w:w="2853"/>
        <w:gridCol w:w="18"/>
        <w:gridCol w:w="876"/>
        <w:gridCol w:w="5233"/>
      </w:tblGrid>
      <w:tr w:rsidR="007518E4" w:rsidRPr="00F83D9D" w14:paraId="18FD00E7" w14:textId="77777777" w:rsidTr="00E502FD">
        <w:trPr>
          <w:trHeight w:val="57"/>
          <w:tblHeader/>
        </w:trPr>
        <w:tc>
          <w:tcPr>
            <w:tcW w:w="2943" w:type="dxa"/>
            <w:gridSpan w:val="2"/>
            <w:tcBorders>
              <w:top w:val="single" w:sz="4" w:space="0" w:color="auto"/>
              <w:left w:val="single" w:sz="4" w:space="0" w:color="auto"/>
              <w:bottom w:val="single" w:sz="4" w:space="0" w:color="auto"/>
              <w:right w:val="single" w:sz="4" w:space="0" w:color="auto"/>
            </w:tcBorders>
            <w:shd w:val="clear" w:color="auto" w:fill="D2EFFF"/>
            <w:vAlign w:val="center"/>
            <w:hideMark/>
          </w:tcPr>
          <w:p w14:paraId="1D46D0FC" w14:textId="77777777" w:rsidR="007518E4" w:rsidRPr="00F83D9D" w:rsidRDefault="007518E4" w:rsidP="00E12685">
            <w:pPr>
              <w:spacing w:before="0"/>
              <w:ind w:left="0"/>
              <w:rPr>
                <w:rFonts w:ascii="Times New Roman" w:hAnsi="Times New Roman"/>
                <w:b/>
                <w:sz w:val="21"/>
                <w:szCs w:val="21"/>
              </w:rPr>
            </w:pPr>
            <w:r w:rsidRPr="00F83D9D">
              <w:rPr>
                <w:rFonts w:ascii="Times New Roman" w:hAnsi="Times New Roman"/>
                <w:b/>
                <w:sz w:val="21"/>
                <w:szCs w:val="21"/>
              </w:rPr>
              <w:t>Indicator/Dimension</w:t>
            </w:r>
          </w:p>
        </w:tc>
        <w:tc>
          <w:tcPr>
            <w:tcW w:w="893" w:type="dxa"/>
            <w:tcBorders>
              <w:top w:val="single" w:sz="4" w:space="0" w:color="auto"/>
              <w:left w:val="nil"/>
              <w:bottom w:val="single" w:sz="4" w:space="0" w:color="auto"/>
              <w:right w:val="single" w:sz="4" w:space="0" w:color="auto"/>
            </w:tcBorders>
            <w:shd w:val="clear" w:color="auto" w:fill="D2EFFF"/>
            <w:vAlign w:val="center"/>
            <w:hideMark/>
          </w:tcPr>
          <w:p w14:paraId="40CC0AEB" w14:textId="77777777" w:rsidR="007518E4" w:rsidRPr="00F83D9D" w:rsidRDefault="007518E4" w:rsidP="00E12685">
            <w:pPr>
              <w:spacing w:before="0"/>
              <w:ind w:left="0"/>
              <w:jc w:val="center"/>
              <w:rPr>
                <w:rFonts w:ascii="Times New Roman" w:hAnsi="Times New Roman"/>
                <w:b/>
                <w:bCs/>
                <w:color w:val="000000"/>
                <w:sz w:val="21"/>
                <w:szCs w:val="21"/>
              </w:rPr>
            </w:pPr>
            <w:r w:rsidRPr="00F83D9D">
              <w:rPr>
                <w:rFonts w:ascii="Times New Roman" w:hAnsi="Times New Roman"/>
                <w:b/>
                <w:bCs/>
                <w:color w:val="000000"/>
                <w:sz w:val="21"/>
                <w:szCs w:val="21"/>
              </w:rPr>
              <w:t>Score</w:t>
            </w:r>
          </w:p>
        </w:tc>
        <w:tc>
          <w:tcPr>
            <w:tcW w:w="5369" w:type="dxa"/>
            <w:tcBorders>
              <w:top w:val="single" w:sz="4" w:space="0" w:color="auto"/>
              <w:left w:val="nil"/>
              <w:bottom w:val="single" w:sz="4" w:space="0" w:color="auto"/>
              <w:right w:val="single" w:sz="4" w:space="0" w:color="auto"/>
            </w:tcBorders>
            <w:shd w:val="clear" w:color="auto" w:fill="D2EFFF"/>
            <w:vAlign w:val="center"/>
            <w:hideMark/>
          </w:tcPr>
          <w:p w14:paraId="6ECBBC20" w14:textId="77777777" w:rsidR="007518E4" w:rsidRPr="00F83D9D" w:rsidRDefault="007518E4" w:rsidP="00E12685">
            <w:pPr>
              <w:spacing w:before="0"/>
              <w:ind w:left="0"/>
              <w:jc w:val="center"/>
              <w:rPr>
                <w:rFonts w:ascii="Times New Roman" w:hAnsi="Times New Roman"/>
                <w:b/>
                <w:bCs/>
                <w:color w:val="000000"/>
                <w:sz w:val="21"/>
                <w:szCs w:val="21"/>
              </w:rPr>
            </w:pPr>
            <w:r w:rsidRPr="00F83D9D">
              <w:rPr>
                <w:rFonts w:ascii="Times New Roman" w:hAnsi="Times New Roman"/>
                <w:b/>
                <w:bCs/>
                <w:color w:val="000000"/>
                <w:sz w:val="21"/>
                <w:szCs w:val="21"/>
              </w:rPr>
              <w:t>Explanation</w:t>
            </w:r>
          </w:p>
        </w:tc>
      </w:tr>
      <w:tr w:rsidR="007518E4" w:rsidRPr="00FE6ED4" w14:paraId="3715F011" w14:textId="77777777" w:rsidTr="00E502FD">
        <w:trPr>
          <w:trHeight w:val="57"/>
        </w:trPr>
        <w:tc>
          <w:tcPr>
            <w:tcW w:w="2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85956" w14:textId="77777777" w:rsidR="007518E4" w:rsidRPr="00C76C53" w:rsidRDefault="007518E4" w:rsidP="00E12685">
            <w:pPr>
              <w:spacing w:before="0"/>
              <w:ind w:left="0"/>
              <w:rPr>
                <w:rFonts w:ascii="Times New Roman" w:hAnsi="Times New Roman"/>
                <w:b/>
                <w:bCs/>
                <w:color w:val="000000"/>
                <w:sz w:val="19"/>
                <w:szCs w:val="19"/>
              </w:rPr>
            </w:pPr>
            <w:r w:rsidRPr="00C76C53">
              <w:rPr>
                <w:rFonts w:ascii="Times New Roman" w:hAnsi="Times New Roman"/>
                <w:b/>
                <w:sz w:val="19"/>
                <w:szCs w:val="19"/>
              </w:rPr>
              <w:t>PI-1 Aggregate expenditure out-turn</w:t>
            </w:r>
          </w:p>
        </w:tc>
        <w:tc>
          <w:tcPr>
            <w:tcW w:w="893" w:type="dxa"/>
            <w:tcBorders>
              <w:top w:val="single" w:sz="4" w:space="0" w:color="auto"/>
              <w:left w:val="nil"/>
              <w:bottom w:val="single" w:sz="4" w:space="0" w:color="auto"/>
              <w:right w:val="single" w:sz="4" w:space="0" w:color="auto"/>
            </w:tcBorders>
            <w:shd w:val="clear" w:color="auto" w:fill="auto"/>
            <w:vAlign w:val="center"/>
          </w:tcPr>
          <w:p w14:paraId="6A2813A7" w14:textId="77777777" w:rsidR="007518E4" w:rsidRPr="00C76C53" w:rsidRDefault="007518E4" w:rsidP="00E12685">
            <w:pPr>
              <w:spacing w:before="0"/>
              <w:ind w:left="0"/>
              <w:jc w:val="center"/>
              <w:rPr>
                <w:rFonts w:ascii="Times New Roman" w:hAnsi="Times New Roman"/>
                <w:bCs/>
                <w:color w:val="000000"/>
                <w:sz w:val="19"/>
                <w:szCs w:val="19"/>
              </w:rPr>
            </w:pPr>
          </w:p>
        </w:tc>
        <w:tc>
          <w:tcPr>
            <w:tcW w:w="5369" w:type="dxa"/>
            <w:tcBorders>
              <w:top w:val="single" w:sz="4" w:space="0" w:color="auto"/>
              <w:left w:val="nil"/>
              <w:bottom w:val="single" w:sz="4" w:space="0" w:color="auto"/>
              <w:right w:val="single" w:sz="4" w:space="0" w:color="auto"/>
            </w:tcBorders>
            <w:shd w:val="clear" w:color="auto" w:fill="CCECFF"/>
            <w:vAlign w:val="center"/>
          </w:tcPr>
          <w:p w14:paraId="1E86DE96" w14:textId="77777777" w:rsidR="007518E4" w:rsidRPr="00C76C53" w:rsidRDefault="007518E4" w:rsidP="00E12685">
            <w:pPr>
              <w:spacing w:before="0"/>
              <w:ind w:left="0"/>
              <w:jc w:val="center"/>
              <w:rPr>
                <w:rFonts w:ascii="Times New Roman" w:hAnsi="Times New Roman"/>
                <w:b/>
                <w:bCs/>
                <w:color w:val="000000"/>
                <w:sz w:val="19"/>
                <w:szCs w:val="19"/>
              </w:rPr>
            </w:pPr>
          </w:p>
        </w:tc>
      </w:tr>
      <w:tr w:rsidR="007518E4" w:rsidRPr="00FE6ED4" w14:paraId="520A9F8A" w14:textId="77777777" w:rsidTr="00E502FD">
        <w:trPr>
          <w:trHeight w:val="57"/>
        </w:trPr>
        <w:tc>
          <w:tcPr>
            <w:tcW w:w="2943" w:type="dxa"/>
            <w:gridSpan w:val="2"/>
            <w:tcBorders>
              <w:top w:val="nil"/>
              <w:left w:val="single" w:sz="4" w:space="0" w:color="auto"/>
              <w:bottom w:val="single" w:sz="4" w:space="0" w:color="auto"/>
              <w:right w:val="single" w:sz="4" w:space="0" w:color="auto"/>
            </w:tcBorders>
            <w:shd w:val="clear" w:color="auto" w:fill="auto"/>
            <w:hideMark/>
          </w:tcPr>
          <w:p w14:paraId="5FA79244" w14:textId="77777777" w:rsidR="007518E4" w:rsidRPr="00C76C53" w:rsidRDefault="007518E4" w:rsidP="00E12685">
            <w:pPr>
              <w:spacing w:before="0"/>
              <w:ind w:left="0"/>
              <w:rPr>
                <w:rFonts w:ascii="Times New Roman" w:hAnsi="Times New Roman"/>
                <w:color w:val="000000"/>
                <w:sz w:val="19"/>
                <w:szCs w:val="19"/>
              </w:rPr>
            </w:pPr>
            <w:r w:rsidRPr="00C76C53">
              <w:rPr>
                <w:rFonts w:ascii="Times New Roman" w:hAnsi="Times New Roman"/>
                <w:color w:val="000000"/>
                <w:sz w:val="19"/>
                <w:szCs w:val="19"/>
              </w:rPr>
              <w:t xml:space="preserve">1.1 </w:t>
            </w:r>
            <w:r w:rsidRPr="00C76C53">
              <w:rPr>
                <w:rFonts w:ascii="Times New Roman" w:hAnsi="Times New Roman"/>
                <w:sz w:val="19"/>
                <w:szCs w:val="19"/>
              </w:rPr>
              <w:t>Aggregate expenditure out-turn</w:t>
            </w:r>
          </w:p>
        </w:tc>
        <w:tc>
          <w:tcPr>
            <w:tcW w:w="893" w:type="dxa"/>
            <w:tcBorders>
              <w:top w:val="nil"/>
              <w:left w:val="nil"/>
              <w:bottom w:val="single" w:sz="4" w:space="0" w:color="auto"/>
              <w:right w:val="single" w:sz="4" w:space="0" w:color="auto"/>
            </w:tcBorders>
            <w:shd w:val="clear" w:color="auto" w:fill="auto"/>
            <w:vAlign w:val="center"/>
          </w:tcPr>
          <w:p w14:paraId="3AA32F98" w14:textId="77777777" w:rsidR="007518E4" w:rsidRPr="000C3641" w:rsidRDefault="007518E4" w:rsidP="00E12685">
            <w:pPr>
              <w:spacing w:before="0"/>
              <w:ind w:left="0"/>
              <w:jc w:val="center"/>
              <w:rPr>
                <w:rFonts w:ascii="Times New Roman" w:hAnsi="Times New Roman"/>
                <w:sz w:val="19"/>
                <w:szCs w:val="19"/>
              </w:rPr>
            </w:pPr>
            <w:r w:rsidRPr="000C3641">
              <w:rPr>
                <w:rFonts w:ascii="Times New Roman" w:hAnsi="Times New Roman"/>
                <w:sz w:val="19"/>
                <w:szCs w:val="19"/>
              </w:rPr>
              <w:t>A</w:t>
            </w:r>
          </w:p>
        </w:tc>
        <w:tc>
          <w:tcPr>
            <w:tcW w:w="5369" w:type="dxa"/>
            <w:tcBorders>
              <w:top w:val="nil"/>
              <w:left w:val="nil"/>
              <w:bottom w:val="single" w:sz="4" w:space="0" w:color="auto"/>
              <w:right w:val="single" w:sz="4" w:space="0" w:color="auto"/>
            </w:tcBorders>
            <w:shd w:val="clear" w:color="auto" w:fill="auto"/>
            <w:vAlign w:val="center"/>
          </w:tcPr>
          <w:p w14:paraId="21659B7C" w14:textId="77777777" w:rsidR="007518E4" w:rsidRPr="00791B75" w:rsidRDefault="00310D44" w:rsidP="00E12685">
            <w:pPr>
              <w:autoSpaceDE w:val="0"/>
              <w:autoSpaceDN w:val="0"/>
              <w:adjustRightInd w:val="0"/>
              <w:spacing w:before="0"/>
              <w:ind w:left="0"/>
              <w:rPr>
                <w:rFonts w:ascii="Times New Roman" w:hAnsi="Times New Roman"/>
                <w:color w:val="000000"/>
                <w:sz w:val="19"/>
                <w:szCs w:val="19"/>
              </w:rPr>
            </w:pPr>
            <w:r w:rsidRPr="00310D44">
              <w:rPr>
                <w:rFonts w:ascii="Times New Roman" w:hAnsi="Times New Roman"/>
                <w:color w:val="000000"/>
                <w:sz w:val="19"/>
                <w:szCs w:val="19"/>
              </w:rPr>
              <w:t>At 102.0% for 2014/15, 95.7% for 2015/16 and 100% (estimates)</w:t>
            </w:r>
            <w:r w:rsidR="00876E3F">
              <w:rPr>
                <w:rFonts w:ascii="Times New Roman" w:hAnsi="Times New Roman"/>
                <w:color w:val="000000"/>
                <w:sz w:val="19"/>
                <w:szCs w:val="19"/>
              </w:rPr>
              <w:t xml:space="preserve"> </w:t>
            </w:r>
            <w:r w:rsidRPr="00310D44">
              <w:rPr>
                <w:rFonts w:ascii="Times New Roman" w:hAnsi="Times New Roman"/>
                <w:color w:val="000000"/>
                <w:sz w:val="19"/>
                <w:szCs w:val="19"/>
              </w:rPr>
              <w:t>respectively, aggregate expenditure outturn deviated less than 5% from the approved budget in all of the three fiscal years</w:t>
            </w:r>
            <w:proofErr w:type="gramStart"/>
            <w:r w:rsidRPr="00310D44">
              <w:rPr>
                <w:rFonts w:ascii="Times New Roman" w:hAnsi="Times New Roman"/>
                <w:color w:val="000000"/>
                <w:sz w:val="19"/>
                <w:szCs w:val="19"/>
              </w:rPr>
              <w:t xml:space="preserve">. </w:t>
            </w:r>
            <w:r w:rsidR="007518E4" w:rsidRPr="00791B75">
              <w:rPr>
                <w:rFonts w:ascii="Times New Roman" w:hAnsi="Times New Roman"/>
                <w:color w:val="000000"/>
                <w:sz w:val="19"/>
                <w:szCs w:val="19"/>
              </w:rPr>
              <w:t>.</w:t>
            </w:r>
            <w:proofErr w:type="gramEnd"/>
            <w:r w:rsidR="007518E4" w:rsidRPr="00791B75">
              <w:rPr>
                <w:rFonts w:ascii="Times New Roman" w:hAnsi="Times New Roman"/>
                <w:color w:val="000000"/>
                <w:sz w:val="19"/>
                <w:szCs w:val="19"/>
              </w:rPr>
              <w:t xml:space="preserve"> </w:t>
            </w:r>
          </w:p>
        </w:tc>
      </w:tr>
      <w:tr w:rsidR="007518E4" w:rsidRPr="00FE6ED4" w14:paraId="66EAF194" w14:textId="77777777" w:rsidTr="00E50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2943" w:type="dxa"/>
            <w:gridSpan w:val="2"/>
            <w:shd w:val="clear" w:color="auto" w:fill="auto"/>
            <w:vAlign w:val="center"/>
          </w:tcPr>
          <w:p w14:paraId="7C975383" w14:textId="77777777" w:rsidR="007518E4" w:rsidRPr="00C76C53" w:rsidRDefault="007518E4" w:rsidP="00E12685">
            <w:pPr>
              <w:spacing w:before="0"/>
              <w:ind w:left="0"/>
              <w:rPr>
                <w:rFonts w:ascii="Times New Roman" w:hAnsi="Times New Roman"/>
                <w:b/>
                <w:bCs/>
                <w:color w:val="000000"/>
                <w:sz w:val="19"/>
                <w:szCs w:val="19"/>
              </w:rPr>
            </w:pPr>
            <w:r w:rsidRPr="00C76C53">
              <w:rPr>
                <w:rFonts w:ascii="Times New Roman" w:hAnsi="Times New Roman"/>
                <w:b/>
                <w:sz w:val="19"/>
                <w:szCs w:val="19"/>
              </w:rPr>
              <w:t>PI-2 Expenditure composition out-turn</w:t>
            </w:r>
          </w:p>
        </w:tc>
        <w:tc>
          <w:tcPr>
            <w:tcW w:w="893" w:type="dxa"/>
            <w:shd w:val="clear" w:color="auto" w:fill="auto"/>
            <w:vAlign w:val="center"/>
          </w:tcPr>
          <w:p w14:paraId="546BB563" w14:textId="77777777" w:rsidR="007518E4" w:rsidRPr="000C3641" w:rsidRDefault="007518E4" w:rsidP="00E12685">
            <w:pPr>
              <w:spacing w:before="0"/>
              <w:ind w:left="0"/>
              <w:jc w:val="center"/>
              <w:rPr>
                <w:rFonts w:ascii="Times New Roman" w:hAnsi="Times New Roman"/>
                <w:sz w:val="19"/>
                <w:szCs w:val="19"/>
              </w:rPr>
            </w:pPr>
            <w:r w:rsidRPr="000C3641">
              <w:rPr>
                <w:rFonts w:ascii="Times New Roman" w:hAnsi="Times New Roman"/>
                <w:sz w:val="19"/>
                <w:szCs w:val="19"/>
              </w:rPr>
              <w:t>D+</w:t>
            </w:r>
          </w:p>
        </w:tc>
        <w:tc>
          <w:tcPr>
            <w:tcW w:w="5369" w:type="dxa"/>
            <w:shd w:val="clear" w:color="auto" w:fill="CCECFF"/>
            <w:vAlign w:val="center"/>
          </w:tcPr>
          <w:p w14:paraId="431A66EA" w14:textId="77777777" w:rsidR="007518E4" w:rsidRPr="00791B75" w:rsidRDefault="007518E4" w:rsidP="00E12685">
            <w:pPr>
              <w:spacing w:before="0"/>
              <w:ind w:left="0"/>
              <w:jc w:val="left"/>
              <w:rPr>
                <w:rFonts w:ascii="Times New Roman" w:hAnsi="Times New Roman"/>
                <w:sz w:val="19"/>
                <w:szCs w:val="19"/>
              </w:rPr>
            </w:pPr>
            <w:r w:rsidRPr="00791B75">
              <w:rPr>
                <w:rFonts w:ascii="Times New Roman" w:eastAsia="Calibri" w:hAnsi="Times New Roman"/>
                <w:sz w:val="19"/>
                <w:szCs w:val="19"/>
              </w:rPr>
              <w:t>Dimension scores combined by Method M1 (weakest link)</w:t>
            </w:r>
          </w:p>
        </w:tc>
      </w:tr>
      <w:tr w:rsidR="004B1F4E" w:rsidRPr="00FE6ED4" w14:paraId="0CF72C12" w14:textId="77777777" w:rsidTr="00E50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2943" w:type="dxa"/>
            <w:gridSpan w:val="2"/>
            <w:shd w:val="clear" w:color="auto" w:fill="auto"/>
            <w:hideMark/>
          </w:tcPr>
          <w:p w14:paraId="5E429B0C" w14:textId="77777777" w:rsidR="004B1F4E" w:rsidRPr="00C76C53" w:rsidRDefault="004B1F4E" w:rsidP="004B1F4E">
            <w:pPr>
              <w:spacing w:before="0"/>
              <w:ind w:left="0"/>
              <w:rPr>
                <w:rFonts w:ascii="Times New Roman" w:hAnsi="Times New Roman"/>
                <w:color w:val="000000"/>
                <w:sz w:val="19"/>
                <w:szCs w:val="19"/>
              </w:rPr>
            </w:pPr>
            <w:r w:rsidRPr="00C76C53">
              <w:rPr>
                <w:rFonts w:ascii="Times New Roman" w:hAnsi="Times New Roman"/>
                <w:color w:val="000000"/>
                <w:sz w:val="19"/>
                <w:szCs w:val="19"/>
              </w:rPr>
              <w:t>2.1 E</w:t>
            </w:r>
            <w:r w:rsidRPr="00C76C53">
              <w:rPr>
                <w:rFonts w:ascii="Times New Roman" w:hAnsi="Times New Roman"/>
                <w:spacing w:val="-1"/>
                <w:sz w:val="19"/>
                <w:szCs w:val="19"/>
              </w:rPr>
              <w:t>xpenditure</w:t>
            </w:r>
            <w:r w:rsidRPr="00C76C53">
              <w:rPr>
                <w:rFonts w:ascii="Times New Roman" w:hAnsi="Times New Roman"/>
                <w:sz w:val="19"/>
                <w:szCs w:val="19"/>
              </w:rPr>
              <w:t xml:space="preserve"> composition</w:t>
            </w:r>
            <w:r w:rsidRPr="00C76C53">
              <w:rPr>
                <w:rFonts w:ascii="Times New Roman" w:hAnsi="Times New Roman"/>
                <w:spacing w:val="-2"/>
                <w:sz w:val="19"/>
                <w:szCs w:val="19"/>
              </w:rPr>
              <w:t xml:space="preserve"> out-turn by function</w:t>
            </w:r>
          </w:p>
        </w:tc>
        <w:tc>
          <w:tcPr>
            <w:tcW w:w="893" w:type="dxa"/>
            <w:shd w:val="clear" w:color="auto" w:fill="auto"/>
            <w:vAlign w:val="center"/>
          </w:tcPr>
          <w:p w14:paraId="3C4304DC" w14:textId="77777777" w:rsidR="004B1F4E" w:rsidRPr="000C3641" w:rsidRDefault="004B1F4E" w:rsidP="004B1F4E">
            <w:pPr>
              <w:spacing w:before="0"/>
              <w:ind w:left="0"/>
              <w:jc w:val="center"/>
              <w:rPr>
                <w:rFonts w:ascii="Times New Roman" w:hAnsi="Times New Roman"/>
                <w:sz w:val="19"/>
                <w:szCs w:val="19"/>
              </w:rPr>
            </w:pPr>
            <w:r w:rsidRPr="000C3641">
              <w:rPr>
                <w:rFonts w:ascii="Times New Roman" w:hAnsi="Times New Roman"/>
                <w:sz w:val="19"/>
                <w:szCs w:val="19"/>
              </w:rPr>
              <w:t>D</w:t>
            </w:r>
            <w:r w:rsidR="0098404A">
              <w:rPr>
                <w:rFonts w:ascii="Times New Roman" w:hAnsi="Times New Roman"/>
                <w:sz w:val="19"/>
                <w:szCs w:val="19"/>
              </w:rPr>
              <w:t>*</w:t>
            </w:r>
          </w:p>
        </w:tc>
        <w:tc>
          <w:tcPr>
            <w:tcW w:w="5369" w:type="dxa"/>
            <w:shd w:val="clear" w:color="auto" w:fill="auto"/>
            <w:vAlign w:val="center"/>
          </w:tcPr>
          <w:p w14:paraId="721E3C2B" w14:textId="77777777" w:rsidR="004B1F4E" w:rsidRPr="00791B75" w:rsidRDefault="00310D44" w:rsidP="004B1F4E">
            <w:pPr>
              <w:spacing w:before="0"/>
              <w:ind w:left="0"/>
              <w:jc w:val="left"/>
              <w:rPr>
                <w:rFonts w:ascii="Times New Roman" w:hAnsi="Times New Roman"/>
                <w:sz w:val="19"/>
                <w:szCs w:val="19"/>
              </w:rPr>
            </w:pPr>
            <w:r w:rsidRPr="00310D44">
              <w:rPr>
                <w:rFonts w:ascii="Times New Roman" w:hAnsi="Times New Roman"/>
                <w:sz w:val="19"/>
                <w:szCs w:val="19"/>
              </w:rPr>
              <w:t xml:space="preserve">Variance in expenditure composition by administrative classification was 4.8%, 24.2% and 14.6% for the fiscal years 2014/15, 2015/16 and 2017 respectively, which would justify a C. However, due to the lack of consistency in the presentation of budget </w:t>
            </w:r>
            <w:proofErr w:type="gramStart"/>
            <w:r w:rsidRPr="00310D44">
              <w:rPr>
                <w:rFonts w:ascii="Times New Roman" w:hAnsi="Times New Roman"/>
                <w:sz w:val="19"/>
                <w:szCs w:val="19"/>
              </w:rPr>
              <w:t>data  and</w:t>
            </w:r>
            <w:proofErr w:type="gramEnd"/>
            <w:r w:rsidRPr="00310D44">
              <w:rPr>
                <w:rFonts w:ascii="Times New Roman" w:hAnsi="Times New Roman"/>
                <w:sz w:val="19"/>
                <w:szCs w:val="19"/>
              </w:rPr>
              <w:t xml:space="preserve"> the magnitude of aggregated budget under categories “others” and “other institutions” does not allow to score adequately and score is D* for lack of information.</w:t>
            </w:r>
          </w:p>
        </w:tc>
      </w:tr>
      <w:tr w:rsidR="004B1F4E" w:rsidRPr="00FE6ED4" w14:paraId="7F9EF669" w14:textId="77777777" w:rsidTr="00E50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2943" w:type="dxa"/>
            <w:gridSpan w:val="2"/>
            <w:shd w:val="clear" w:color="auto" w:fill="auto"/>
          </w:tcPr>
          <w:p w14:paraId="01625821" w14:textId="77777777" w:rsidR="004B1F4E" w:rsidRPr="00C76C53" w:rsidRDefault="004B1F4E" w:rsidP="004B1F4E">
            <w:pPr>
              <w:spacing w:before="0"/>
              <w:ind w:left="0"/>
              <w:rPr>
                <w:rFonts w:ascii="Times New Roman" w:hAnsi="Times New Roman"/>
                <w:color w:val="000000"/>
                <w:sz w:val="19"/>
                <w:szCs w:val="19"/>
              </w:rPr>
            </w:pPr>
            <w:r w:rsidRPr="00C76C53">
              <w:rPr>
                <w:rFonts w:ascii="Times New Roman" w:hAnsi="Times New Roman"/>
                <w:color w:val="000000"/>
                <w:sz w:val="19"/>
                <w:szCs w:val="19"/>
              </w:rPr>
              <w:t>2.2 E</w:t>
            </w:r>
            <w:r w:rsidRPr="00C76C53">
              <w:rPr>
                <w:rFonts w:ascii="Times New Roman" w:hAnsi="Times New Roman"/>
                <w:spacing w:val="-1"/>
                <w:sz w:val="19"/>
                <w:szCs w:val="19"/>
              </w:rPr>
              <w:t>xpenditure</w:t>
            </w:r>
            <w:r w:rsidRPr="00C76C53">
              <w:rPr>
                <w:rFonts w:ascii="Times New Roman" w:hAnsi="Times New Roman"/>
                <w:spacing w:val="19"/>
                <w:sz w:val="19"/>
                <w:szCs w:val="19"/>
              </w:rPr>
              <w:t xml:space="preserve"> </w:t>
            </w:r>
            <w:r w:rsidRPr="00C76C53">
              <w:rPr>
                <w:rFonts w:ascii="Times New Roman" w:hAnsi="Times New Roman"/>
                <w:sz w:val="19"/>
                <w:szCs w:val="19"/>
              </w:rPr>
              <w:t xml:space="preserve">composition out-turn </w:t>
            </w:r>
            <w:r w:rsidRPr="00C76C53">
              <w:rPr>
                <w:rFonts w:ascii="Times New Roman" w:hAnsi="Times New Roman"/>
                <w:spacing w:val="1"/>
                <w:sz w:val="19"/>
                <w:szCs w:val="19"/>
              </w:rPr>
              <w:t>by</w:t>
            </w:r>
            <w:r w:rsidRPr="00C76C53">
              <w:rPr>
                <w:rFonts w:ascii="Times New Roman" w:hAnsi="Times New Roman"/>
                <w:spacing w:val="17"/>
                <w:sz w:val="19"/>
                <w:szCs w:val="19"/>
              </w:rPr>
              <w:t xml:space="preserve"> </w:t>
            </w:r>
            <w:r w:rsidRPr="00C76C53">
              <w:rPr>
                <w:rFonts w:ascii="Times New Roman" w:hAnsi="Times New Roman"/>
                <w:sz w:val="19"/>
                <w:szCs w:val="19"/>
              </w:rPr>
              <w:t>economic</w:t>
            </w:r>
            <w:r w:rsidRPr="00C76C53">
              <w:rPr>
                <w:rFonts w:ascii="Times New Roman" w:hAnsi="Times New Roman"/>
                <w:spacing w:val="19"/>
                <w:sz w:val="19"/>
                <w:szCs w:val="19"/>
              </w:rPr>
              <w:t xml:space="preserve"> type</w:t>
            </w:r>
          </w:p>
        </w:tc>
        <w:tc>
          <w:tcPr>
            <w:tcW w:w="893" w:type="dxa"/>
            <w:shd w:val="clear" w:color="auto" w:fill="auto"/>
            <w:vAlign w:val="center"/>
          </w:tcPr>
          <w:p w14:paraId="34DB9632" w14:textId="77777777" w:rsidR="004B1F4E" w:rsidRPr="000C3641" w:rsidRDefault="004B1F4E" w:rsidP="004B1F4E">
            <w:pPr>
              <w:spacing w:before="0"/>
              <w:ind w:left="0"/>
              <w:jc w:val="center"/>
              <w:rPr>
                <w:rFonts w:ascii="Times New Roman" w:hAnsi="Times New Roman"/>
                <w:sz w:val="19"/>
                <w:szCs w:val="19"/>
              </w:rPr>
            </w:pPr>
            <w:r w:rsidRPr="000C3641">
              <w:rPr>
                <w:rFonts w:ascii="Times New Roman" w:hAnsi="Times New Roman"/>
                <w:sz w:val="19"/>
                <w:szCs w:val="19"/>
              </w:rPr>
              <w:t>C</w:t>
            </w:r>
          </w:p>
        </w:tc>
        <w:tc>
          <w:tcPr>
            <w:tcW w:w="5369" w:type="dxa"/>
            <w:shd w:val="clear" w:color="auto" w:fill="auto"/>
            <w:vAlign w:val="center"/>
          </w:tcPr>
          <w:p w14:paraId="671DDC72" w14:textId="77777777" w:rsidR="004B1F4E" w:rsidRPr="00791B75" w:rsidRDefault="00310D44" w:rsidP="004B1F4E">
            <w:pPr>
              <w:spacing w:before="0"/>
              <w:ind w:left="0"/>
              <w:jc w:val="left"/>
              <w:rPr>
                <w:rFonts w:ascii="Times New Roman" w:hAnsi="Times New Roman"/>
                <w:sz w:val="19"/>
                <w:szCs w:val="19"/>
              </w:rPr>
            </w:pPr>
            <w:r w:rsidRPr="00310D44">
              <w:rPr>
                <w:rFonts w:ascii="Times New Roman" w:hAnsi="Times New Roman"/>
                <w:sz w:val="19"/>
                <w:szCs w:val="19"/>
              </w:rPr>
              <w:t xml:space="preserve">Variance in expenditure composition by economic classification was 13.7%, 12.1% and </w:t>
            </w:r>
            <w:r w:rsidR="00876E3F">
              <w:rPr>
                <w:rFonts w:ascii="Times New Roman" w:hAnsi="Times New Roman"/>
                <w:sz w:val="19"/>
                <w:szCs w:val="19"/>
              </w:rPr>
              <w:t>2.1</w:t>
            </w:r>
            <w:r w:rsidRPr="00310D44">
              <w:rPr>
                <w:rFonts w:ascii="Times New Roman" w:hAnsi="Times New Roman"/>
                <w:sz w:val="19"/>
                <w:szCs w:val="19"/>
              </w:rPr>
              <w:t xml:space="preserve">% respectively in the three years under consideration and less that 15% in </w:t>
            </w:r>
            <w:r w:rsidR="00876E3F">
              <w:rPr>
                <w:rFonts w:ascii="Times New Roman" w:hAnsi="Times New Roman"/>
                <w:sz w:val="19"/>
                <w:szCs w:val="19"/>
              </w:rPr>
              <w:t xml:space="preserve">two of </w:t>
            </w:r>
            <w:r w:rsidRPr="00310D44">
              <w:rPr>
                <w:rFonts w:ascii="Times New Roman" w:hAnsi="Times New Roman"/>
                <w:sz w:val="19"/>
                <w:szCs w:val="19"/>
              </w:rPr>
              <w:t xml:space="preserve">the </w:t>
            </w:r>
            <w:r w:rsidR="00876E3F">
              <w:rPr>
                <w:rFonts w:ascii="Times New Roman" w:hAnsi="Times New Roman"/>
                <w:sz w:val="19"/>
                <w:szCs w:val="19"/>
              </w:rPr>
              <w:t xml:space="preserve">last </w:t>
            </w:r>
            <w:r w:rsidRPr="00310D44">
              <w:rPr>
                <w:rFonts w:ascii="Times New Roman" w:hAnsi="Times New Roman"/>
                <w:sz w:val="19"/>
                <w:szCs w:val="19"/>
              </w:rPr>
              <w:t>three years.</w:t>
            </w:r>
          </w:p>
        </w:tc>
      </w:tr>
      <w:tr w:rsidR="004B1F4E" w:rsidRPr="00FE6ED4" w14:paraId="598418B4" w14:textId="77777777" w:rsidTr="00E50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2943" w:type="dxa"/>
            <w:gridSpan w:val="2"/>
            <w:shd w:val="clear" w:color="auto" w:fill="auto"/>
          </w:tcPr>
          <w:p w14:paraId="10601F5F" w14:textId="77777777" w:rsidR="004B1F4E" w:rsidRPr="00C76C53" w:rsidRDefault="004B1F4E" w:rsidP="004B1F4E">
            <w:pPr>
              <w:spacing w:before="0"/>
              <w:ind w:left="0"/>
              <w:rPr>
                <w:rFonts w:ascii="Times New Roman" w:hAnsi="Times New Roman"/>
                <w:color w:val="000000"/>
                <w:sz w:val="19"/>
                <w:szCs w:val="19"/>
              </w:rPr>
            </w:pPr>
            <w:r w:rsidRPr="00C76C53">
              <w:rPr>
                <w:rFonts w:ascii="Times New Roman" w:hAnsi="Times New Roman"/>
                <w:color w:val="000000"/>
                <w:sz w:val="19"/>
                <w:szCs w:val="19"/>
              </w:rPr>
              <w:t>2.3 E</w:t>
            </w:r>
            <w:r w:rsidRPr="00C76C53">
              <w:rPr>
                <w:rFonts w:ascii="Times New Roman" w:hAnsi="Times New Roman"/>
                <w:spacing w:val="-1"/>
                <w:sz w:val="19"/>
                <w:szCs w:val="19"/>
              </w:rPr>
              <w:t>xpenditure</w:t>
            </w:r>
            <w:r w:rsidRPr="00C76C53">
              <w:rPr>
                <w:rFonts w:ascii="Times New Roman" w:hAnsi="Times New Roman"/>
                <w:spacing w:val="-4"/>
                <w:sz w:val="19"/>
                <w:szCs w:val="19"/>
              </w:rPr>
              <w:t xml:space="preserve"> from </w:t>
            </w:r>
            <w:r w:rsidRPr="00C76C53">
              <w:rPr>
                <w:rFonts w:ascii="Times New Roman" w:hAnsi="Times New Roman"/>
                <w:spacing w:val="-1"/>
                <w:sz w:val="19"/>
                <w:szCs w:val="19"/>
              </w:rPr>
              <w:t>contingency</w:t>
            </w:r>
            <w:r w:rsidRPr="00C76C53">
              <w:rPr>
                <w:rFonts w:ascii="Times New Roman" w:hAnsi="Times New Roman"/>
                <w:spacing w:val="-6"/>
                <w:sz w:val="19"/>
                <w:szCs w:val="19"/>
              </w:rPr>
              <w:t xml:space="preserve"> </w:t>
            </w:r>
            <w:r w:rsidRPr="00C76C53">
              <w:rPr>
                <w:rFonts w:ascii="Times New Roman" w:hAnsi="Times New Roman"/>
                <w:spacing w:val="-1"/>
                <w:sz w:val="19"/>
                <w:szCs w:val="19"/>
              </w:rPr>
              <w:t>reserves</w:t>
            </w:r>
          </w:p>
        </w:tc>
        <w:tc>
          <w:tcPr>
            <w:tcW w:w="893" w:type="dxa"/>
            <w:shd w:val="clear" w:color="auto" w:fill="auto"/>
            <w:vAlign w:val="center"/>
          </w:tcPr>
          <w:p w14:paraId="52A0317D" w14:textId="77777777" w:rsidR="004B1F4E" w:rsidRPr="000C3641" w:rsidRDefault="004B1F4E" w:rsidP="004B1F4E">
            <w:pPr>
              <w:spacing w:before="0"/>
              <w:ind w:left="0"/>
              <w:jc w:val="center"/>
              <w:rPr>
                <w:rFonts w:ascii="Times New Roman" w:hAnsi="Times New Roman"/>
                <w:sz w:val="19"/>
                <w:szCs w:val="19"/>
              </w:rPr>
            </w:pPr>
            <w:r w:rsidRPr="000C3641">
              <w:rPr>
                <w:rFonts w:ascii="Times New Roman" w:hAnsi="Times New Roman"/>
                <w:sz w:val="19"/>
                <w:szCs w:val="19"/>
              </w:rPr>
              <w:t>A</w:t>
            </w:r>
          </w:p>
        </w:tc>
        <w:tc>
          <w:tcPr>
            <w:tcW w:w="5369" w:type="dxa"/>
            <w:shd w:val="clear" w:color="auto" w:fill="auto"/>
            <w:vAlign w:val="center"/>
          </w:tcPr>
          <w:p w14:paraId="6697682B" w14:textId="77777777" w:rsidR="004B1F4E" w:rsidRPr="00791B75" w:rsidRDefault="00310D44" w:rsidP="004B1F4E">
            <w:pPr>
              <w:spacing w:before="0"/>
              <w:ind w:left="0"/>
              <w:jc w:val="left"/>
              <w:rPr>
                <w:rFonts w:ascii="Times New Roman" w:hAnsi="Times New Roman"/>
                <w:color w:val="000000"/>
                <w:sz w:val="19"/>
                <w:szCs w:val="19"/>
              </w:rPr>
            </w:pPr>
            <w:r w:rsidRPr="00310D44">
              <w:rPr>
                <w:rFonts w:ascii="Times New Roman" w:hAnsi="Times New Roman"/>
                <w:color w:val="000000"/>
                <w:sz w:val="19"/>
                <w:szCs w:val="19"/>
              </w:rPr>
              <w:t>Actual expenditure charged to the contingency vote was less than 1% in each year</w:t>
            </w:r>
          </w:p>
        </w:tc>
      </w:tr>
      <w:tr w:rsidR="007518E4" w:rsidRPr="00FE6ED4" w14:paraId="62B78FDD" w14:textId="77777777" w:rsidTr="00E502FD">
        <w:trPr>
          <w:trHeight w:val="57"/>
        </w:trPr>
        <w:tc>
          <w:tcPr>
            <w:tcW w:w="2943" w:type="dxa"/>
            <w:gridSpan w:val="2"/>
            <w:tcBorders>
              <w:top w:val="nil"/>
              <w:left w:val="single" w:sz="4" w:space="0" w:color="auto"/>
              <w:bottom w:val="single" w:sz="4" w:space="0" w:color="auto"/>
              <w:right w:val="single" w:sz="4" w:space="0" w:color="auto"/>
            </w:tcBorders>
            <w:shd w:val="clear" w:color="auto" w:fill="auto"/>
          </w:tcPr>
          <w:p w14:paraId="3BB49E7D" w14:textId="77777777" w:rsidR="007518E4" w:rsidRPr="00C76C53" w:rsidRDefault="007518E4" w:rsidP="00E12685">
            <w:pPr>
              <w:pStyle w:val="ParagraphNumbering"/>
              <w:numPr>
                <w:ilvl w:val="0"/>
                <w:numId w:val="0"/>
              </w:numPr>
              <w:spacing w:before="0" w:after="0" w:line="240" w:lineRule="auto"/>
              <w:rPr>
                <w:rFonts w:ascii="Times New Roman" w:hAnsi="Times New Roman"/>
                <w:b/>
                <w:sz w:val="19"/>
                <w:szCs w:val="19"/>
              </w:rPr>
            </w:pPr>
            <w:r w:rsidRPr="00C76C53">
              <w:rPr>
                <w:rFonts w:ascii="Times New Roman" w:hAnsi="Times New Roman"/>
                <w:b/>
                <w:sz w:val="19"/>
                <w:szCs w:val="19"/>
                <w:lang w:eastAsia="en-GB"/>
              </w:rPr>
              <w:t>PI-3 Revenue out-turn</w:t>
            </w:r>
          </w:p>
        </w:tc>
        <w:tc>
          <w:tcPr>
            <w:tcW w:w="893" w:type="dxa"/>
            <w:tcBorders>
              <w:top w:val="nil"/>
              <w:left w:val="nil"/>
              <w:bottom w:val="single" w:sz="4" w:space="0" w:color="auto"/>
              <w:right w:val="single" w:sz="4" w:space="0" w:color="auto"/>
            </w:tcBorders>
            <w:shd w:val="clear" w:color="auto" w:fill="auto"/>
            <w:vAlign w:val="center"/>
          </w:tcPr>
          <w:p w14:paraId="1B30E6DF" w14:textId="77777777" w:rsidR="007518E4" w:rsidRPr="009C1D13" w:rsidRDefault="00E502FD"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3E15BB19" w14:textId="77777777" w:rsidR="007518E4" w:rsidRPr="00791B75" w:rsidRDefault="007518E4" w:rsidP="00E12685">
            <w:pPr>
              <w:spacing w:before="0"/>
              <w:ind w:left="0"/>
              <w:rPr>
                <w:rFonts w:ascii="Times New Roman" w:hAnsi="Times New Roman"/>
                <w:sz w:val="19"/>
                <w:szCs w:val="19"/>
              </w:rPr>
            </w:pPr>
            <w:r w:rsidRPr="00791B75">
              <w:rPr>
                <w:rFonts w:ascii="Times New Roman" w:hAnsi="Times New Roman"/>
                <w:sz w:val="19"/>
                <w:szCs w:val="19"/>
              </w:rPr>
              <w:t>Dimension scores combined by Method M2 (average)</w:t>
            </w:r>
          </w:p>
        </w:tc>
      </w:tr>
      <w:tr w:rsidR="00E502FD" w:rsidRPr="00FE6ED4" w14:paraId="61F3677B" w14:textId="77777777" w:rsidTr="00E502FD">
        <w:trPr>
          <w:trHeight w:val="57"/>
        </w:trPr>
        <w:tc>
          <w:tcPr>
            <w:tcW w:w="29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16ECB3" w14:textId="77777777" w:rsidR="00E502FD" w:rsidRPr="00C76C53" w:rsidRDefault="00E502FD" w:rsidP="00791B75">
            <w:pPr>
              <w:spacing w:before="0"/>
              <w:ind w:left="0"/>
              <w:rPr>
                <w:rFonts w:ascii="Times New Roman" w:hAnsi="Times New Roman"/>
                <w:color w:val="000000"/>
                <w:sz w:val="19"/>
                <w:szCs w:val="19"/>
              </w:rPr>
            </w:pPr>
            <w:r w:rsidRPr="00C76C53">
              <w:rPr>
                <w:rFonts w:ascii="Times New Roman" w:hAnsi="Times New Roman"/>
                <w:color w:val="000000"/>
                <w:sz w:val="19"/>
                <w:szCs w:val="19"/>
              </w:rPr>
              <w:t xml:space="preserve">3.1 </w:t>
            </w:r>
            <w:r w:rsidRPr="00C76C53">
              <w:rPr>
                <w:rFonts w:ascii="Times New Roman" w:hAnsi="Times New Roman"/>
                <w:spacing w:val="-1"/>
                <w:sz w:val="19"/>
                <w:szCs w:val="19"/>
              </w:rPr>
              <w:t>Aggregate</w:t>
            </w:r>
            <w:r w:rsidRPr="00C76C53">
              <w:rPr>
                <w:rFonts w:ascii="Times New Roman" w:hAnsi="Times New Roman"/>
                <w:spacing w:val="-6"/>
                <w:sz w:val="19"/>
                <w:szCs w:val="19"/>
              </w:rPr>
              <w:t xml:space="preserve"> </w:t>
            </w:r>
            <w:r w:rsidRPr="00C76C53">
              <w:rPr>
                <w:rFonts w:ascii="Times New Roman" w:hAnsi="Times New Roman"/>
                <w:spacing w:val="-1"/>
                <w:sz w:val="19"/>
                <w:szCs w:val="19"/>
              </w:rPr>
              <w:t>revenue</w:t>
            </w:r>
            <w:r w:rsidRPr="00C76C53">
              <w:rPr>
                <w:rFonts w:ascii="Times New Roman" w:hAnsi="Times New Roman"/>
                <w:spacing w:val="-5"/>
                <w:sz w:val="19"/>
                <w:szCs w:val="19"/>
              </w:rPr>
              <w:t xml:space="preserve"> </w:t>
            </w:r>
            <w:r w:rsidRPr="00C76C53">
              <w:rPr>
                <w:rFonts w:ascii="Times New Roman" w:hAnsi="Times New Roman"/>
                <w:sz w:val="19"/>
                <w:szCs w:val="19"/>
              </w:rPr>
              <w:t>out-turn</w:t>
            </w:r>
          </w:p>
        </w:tc>
        <w:tc>
          <w:tcPr>
            <w:tcW w:w="893" w:type="dxa"/>
            <w:tcBorders>
              <w:top w:val="single" w:sz="4" w:space="0" w:color="auto"/>
              <w:left w:val="nil"/>
              <w:bottom w:val="single" w:sz="4" w:space="0" w:color="auto"/>
              <w:right w:val="single" w:sz="4" w:space="0" w:color="auto"/>
            </w:tcBorders>
            <w:shd w:val="clear" w:color="auto" w:fill="auto"/>
            <w:vAlign w:val="center"/>
          </w:tcPr>
          <w:p w14:paraId="05835996" w14:textId="77777777" w:rsidR="00E502FD" w:rsidRPr="009C1D13" w:rsidRDefault="00E502FD" w:rsidP="00791B75">
            <w:pPr>
              <w:spacing w:before="0"/>
              <w:ind w:left="0"/>
              <w:jc w:val="center"/>
              <w:rPr>
                <w:rFonts w:ascii="Times New Roman" w:hAnsi="Times New Roman"/>
                <w:sz w:val="19"/>
                <w:szCs w:val="19"/>
              </w:rPr>
            </w:pPr>
            <w:r w:rsidRPr="00002B69">
              <w:rPr>
                <w:rFonts w:ascii="Times New Roman" w:hAnsi="Times New Roman"/>
              </w:rPr>
              <w:t>B</w:t>
            </w:r>
          </w:p>
        </w:tc>
        <w:tc>
          <w:tcPr>
            <w:tcW w:w="5369" w:type="dxa"/>
            <w:tcBorders>
              <w:top w:val="single" w:sz="4" w:space="0" w:color="auto"/>
              <w:left w:val="nil"/>
              <w:bottom w:val="single" w:sz="4" w:space="0" w:color="auto"/>
              <w:right w:val="single" w:sz="4" w:space="0" w:color="auto"/>
            </w:tcBorders>
            <w:shd w:val="clear" w:color="auto" w:fill="auto"/>
            <w:vAlign w:val="center"/>
          </w:tcPr>
          <w:p w14:paraId="1B1078B5" w14:textId="77777777" w:rsidR="00E502FD" w:rsidRPr="00E502FD" w:rsidRDefault="00E502FD" w:rsidP="00791B75">
            <w:pPr>
              <w:spacing w:before="0"/>
              <w:ind w:left="0"/>
              <w:rPr>
                <w:rFonts w:ascii="Times New Roman" w:hAnsi="Times New Roman"/>
                <w:sz w:val="19"/>
                <w:szCs w:val="19"/>
              </w:rPr>
            </w:pPr>
            <w:r w:rsidRPr="00E502FD">
              <w:rPr>
                <w:rFonts w:ascii="Times New Roman" w:hAnsi="Times New Roman"/>
                <w:sz w:val="19"/>
                <w:szCs w:val="19"/>
              </w:rPr>
              <w:t>At 96.9%, 86.2</w:t>
            </w:r>
            <w:proofErr w:type="gramStart"/>
            <w:r w:rsidRPr="00E502FD">
              <w:rPr>
                <w:rFonts w:ascii="Times New Roman" w:hAnsi="Times New Roman"/>
                <w:sz w:val="19"/>
                <w:szCs w:val="19"/>
              </w:rPr>
              <w:t>%  and</w:t>
            </w:r>
            <w:proofErr w:type="gramEnd"/>
            <w:r w:rsidRPr="00E502FD">
              <w:rPr>
                <w:rFonts w:ascii="Times New Roman" w:hAnsi="Times New Roman"/>
                <w:sz w:val="19"/>
                <w:szCs w:val="19"/>
              </w:rPr>
              <w:t xml:space="preserve"> 96.3% respectively, aggregate revenue outturn was between 94% and 112% of the originally approved revenue budget in two of the last three completed fiscal years</w:t>
            </w:r>
          </w:p>
        </w:tc>
      </w:tr>
      <w:tr w:rsidR="00E502FD" w:rsidRPr="00FE6ED4" w14:paraId="49A9866A" w14:textId="77777777" w:rsidTr="00E502FD">
        <w:trPr>
          <w:trHeight w:val="57"/>
        </w:trPr>
        <w:tc>
          <w:tcPr>
            <w:tcW w:w="29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D5CE92" w14:textId="77777777" w:rsidR="00E502FD" w:rsidRPr="00C76C53" w:rsidRDefault="00E502FD" w:rsidP="00791B75">
            <w:pPr>
              <w:spacing w:before="0"/>
              <w:ind w:left="0"/>
              <w:rPr>
                <w:rFonts w:ascii="Times New Roman" w:hAnsi="Times New Roman"/>
                <w:color w:val="000000"/>
                <w:sz w:val="19"/>
                <w:szCs w:val="19"/>
              </w:rPr>
            </w:pPr>
            <w:r w:rsidRPr="00C76C53">
              <w:rPr>
                <w:rFonts w:ascii="Times New Roman" w:hAnsi="Times New Roman"/>
                <w:color w:val="000000"/>
                <w:sz w:val="19"/>
                <w:szCs w:val="19"/>
              </w:rPr>
              <w:t>3.2 Revenue composition out-turn</w:t>
            </w:r>
          </w:p>
        </w:tc>
        <w:tc>
          <w:tcPr>
            <w:tcW w:w="893" w:type="dxa"/>
            <w:tcBorders>
              <w:top w:val="single" w:sz="4" w:space="0" w:color="auto"/>
              <w:left w:val="nil"/>
              <w:bottom w:val="single" w:sz="4" w:space="0" w:color="auto"/>
              <w:right w:val="single" w:sz="4" w:space="0" w:color="auto"/>
            </w:tcBorders>
            <w:shd w:val="clear" w:color="auto" w:fill="auto"/>
            <w:vAlign w:val="center"/>
          </w:tcPr>
          <w:p w14:paraId="12629EAB" w14:textId="77777777" w:rsidR="00E502FD" w:rsidRPr="009C1D13" w:rsidRDefault="00E502FD" w:rsidP="00791B75">
            <w:pPr>
              <w:spacing w:before="0"/>
              <w:ind w:left="0"/>
              <w:jc w:val="center"/>
              <w:rPr>
                <w:rFonts w:ascii="Times New Roman" w:hAnsi="Times New Roman"/>
                <w:sz w:val="19"/>
                <w:szCs w:val="19"/>
              </w:rPr>
            </w:pPr>
            <w:r w:rsidRPr="00002B69">
              <w:rPr>
                <w:rFonts w:ascii="Times New Roman" w:hAnsi="Times New Roman"/>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6C6DC19D" w14:textId="77777777" w:rsidR="00E502FD" w:rsidRPr="00E502FD" w:rsidRDefault="00E502FD" w:rsidP="00791B75">
            <w:pPr>
              <w:spacing w:before="0"/>
              <w:ind w:left="0"/>
              <w:rPr>
                <w:rFonts w:ascii="Times New Roman" w:hAnsi="Times New Roman"/>
                <w:color w:val="000000"/>
                <w:sz w:val="19"/>
                <w:szCs w:val="19"/>
              </w:rPr>
            </w:pPr>
            <w:r w:rsidRPr="00E502FD">
              <w:rPr>
                <w:rFonts w:ascii="Times New Roman" w:hAnsi="Times New Roman"/>
                <w:sz w:val="19"/>
                <w:szCs w:val="19"/>
              </w:rPr>
              <w:t>At 20.7%, 26.3% and % in2014/2015, 2015/2016 and 19.6% 2017 respectively, revenue composition variance was above 15% in the last three completed fiscal years.</w:t>
            </w:r>
          </w:p>
        </w:tc>
      </w:tr>
      <w:tr w:rsidR="007518E4" w:rsidRPr="00C76C53" w14:paraId="18456AD8"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07967D62" w14:textId="77777777" w:rsidR="007518E4" w:rsidRPr="00C76C53" w:rsidRDefault="007518E4" w:rsidP="00E12685">
            <w:pPr>
              <w:spacing w:before="0"/>
              <w:ind w:left="0"/>
              <w:rPr>
                <w:rFonts w:ascii="Times New Roman" w:hAnsi="Times New Roman"/>
                <w:b/>
                <w:sz w:val="19"/>
                <w:szCs w:val="19"/>
              </w:rPr>
            </w:pPr>
            <w:r w:rsidRPr="00C76C53">
              <w:rPr>
                <w:rFonts w:ascii="Times New Roman" w:hAnsi="Times New Roman"/>
                <w:b/>
                <w:sz w:val="19"/>
                <w:szCs w:val="19"/>
              </w:rPr>
              <w:t>PI-4 Budget classification</w:t>
            </w:r>
          </w:p>
        </w:tc>
        <w:tc>
          <w:tcPr>
            <w:tcW w:w="911" w:type="dxa"/>
            <w:gridSpan w:val="2"/>
            <w:tcBorders>
              <w:top w:val="single" w:sz="4" w:space="0" w:color="auto"/>
              <w:left w:val="nil"/>
              <w:bottom w:val="single" w:sz="4" w:space="0" w:color="auto"/>
              <w:right w:val="single" w:sz="4" w:space="0" w:color="auto"/>
            </w:tcBorders>
            <w:shd w:val="clear" w:color="auto" w:fill="auto"/>
          </w:tcPr>
          <w:p w14:paraId="3354C928" w14:textId="77777777" w:rsidR="007518E4" w:rsidRPr="00C76C53" w:rsidRDefault="007518E4" w:rsidP="00E12685">
            <w:pPr>
              <w:spacing w:before="0"/>
              <w:ind w:left="0"/>
              <w:jc w:val="center"/>
              <w:rPr>
                <w:rFonts w:ascii="Times New Roman" w:hAnsi="Times New Roman"/>
                <w:bCs/>
                <w:sz w:val="19"/>
                <w:szCs w:val="19"/>
              </w:rPr>
            </w:pPr>
          </w:p>
        </w:tc>
        <w:tc>
          <w:tcPr>
            <w:tcW w:w="5369" w:type="dxa"/>
            <w:tcBorders>
              <w:top w:val="single" w:sz="4" w:space="0" w:color="auto"/>
              <w:left w:val="nil"/>
              <w:bottom w:val="single" w:sz="4" w:space="0" w:color="auto"/>
              <w:right w:val="single" w:sz="4" w:space="0" w:color="auto"/>
            </w:tcBorders>
            <w:shd w:val="clear" w:color="auto" w:fill="CCECFF"/>
            <w:vAlign w:val="center"/>
          </w:tcPr>
          <w:p w14:paraId="56B5D1FB" w14:textId="77777777" w:rsidR="007518E4" w:rsidRPr="00C76C53" w:rsidRDefault="007518E4" w:rsidP="00E12685">
            <w:pPr>
              <w:spacing w:before="0"/>
              <w:ind w:left="0"/>
              <w:jc w:val="center"/>
              <w:rPr>
                <w:rFonts w:ascii="Times New Roman" w:hAnsi="Times New Roman"/>
                <w:b/>
                <w:bCs/>
                <w:sz w:val="19"/>
                <w:szCs w:val="19"/>
              </w:rPr>
            </w:pPr>
          </w:p>
        </w:tc>
      </w:tr>
      <w:tr w:rsidR="007518E4" w:rsidRPr="00C76C53" w14:paraId="4B25F02D" w14:textId="77777777" w:rsidTr="00E502FD">
        <w:tblPrEx>
          <w:jc w:val="center"/>
        </w:tblPrEx>
        <w:trPr>
          <w:trHeight w:val="57"/>
          <w:jc w:val="center"/>
        </w:trPr>
        <w:tc>
          <w:tcPr>
            <w:tcW w:w="2925" w:type="dxa"/>
            <w:tcBorders>
              <w:top w:val="nil"/>
              <w:left w:val="single" w:sz="4" w:space="0" w:color="auto"/>
              <w:bottom w:val="single" w:sz="4" w:space="0" w:color="auto"/>
              <w:right w:val="single" w:sz="4" w:space="0" w:color="auto"/>
            </w:tcBorders>
            <w:shd w:val="clear" w:color="auto" w:fill="auto"/>
            <w:hideMark/>
          </w:tcPr>
          <w:p w14:paraId="3A20A015"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z w:val="19"/>
                <w:szCs w:val="19"/>
              </w:rPr>
              <w:t>4.1 Budget</w:t>
            </w:r>
            <w:r w:rsidRPr="00C76C53">
              <w:rPr>
                <w:rFonts w:ascii="Times New Roman" w:hAnsi="Times New Roman"/>
                <w:spacing w:val="-1"/>
                <w:sz w:val="19"/>
                <w:szCs w:val="19"/>
              </w:rPr>
              <w:t xml:space="preserve"> classification</w:t>
            </w:r>
          </w:p>
        </w:tc>
        <w:tc>
          <w:tcPr>
            <w:tcW w:w="911" w:type="dxa"/>
            <w:gridSpan w:val="2"/>
            <w:tcBorders>
              <w:top w:val="nil"/>
              <w:left w:val="nil"/>
              <w:bottom w:val="single" w:sz="4" w:space="0" w:color="auto"/>
              <w:right w:val="single" w:sz="4" w:space="0" w:color="auto"/>
            </w:tcBorders>
            <w:shd w:val="clear" w:color="auto" w:fill="auto"/>
            <w:vAlign w:val="center"/>
          </w:tcPr>
          <w:p w14:paraId="10AA27A3"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C</w:t>
            </w:r>
          </w:p>
        </w:tc>
        <w:tc>
          <w:tcPr>
            <w:tcW w:w="5369" w:type="dxa"/>
            <w:tcBorders>
              <w:top w:val="nil"/>
              <w:left w:val="nil"/>
              <w:bottom w:val="single" w:sz="4" w:space="0" w:color="auto"/>
              <w:right w:val="single" w:sz="4" w:space="0" w:color="auto"/>
            </w:tcBorders>
            <w:shd w:val="clear" w:color="auto" w:fill="auto"/>
            <w:vAlign w:val="center"/>
          </w:tcPr>
          <w:p w14:paraId="6ABF622B" w14:textId="77777777" w:rsidR="007518E4" w:rsidRPr="009C1D13" w:rsidRDefault="007518E4" w:rsidP="00E12685">
            <w:pPr>
              <w:spacing w:before="0"/>
              <w:ind w:left="0"/>
              <w:rPr>
                <w:rFonts w:ascii="Times New Roman" w:hAnsi="Times New Roman"/>
                <w:bCs/>
                <w:sz w:val="19"/>
                <w:szCs w:val="19"/>
              </w:rPr>
            </w:pPr>
            <w:r w:rsidRPr="009C1D13">
              <w:rPr>
                <w:rFonts w:ascii="Times New Roman" w:hAnsi="Times New Roman"/>
                <w:sz w:val="19"/>
                <w:szCs w:val="19"/>
              </w:rPr>
              <w:t>Since 2016, the budget classification is based on administrative, economic classification that is GFS compatible. It produces documentation consistent with the GFS standard at 2-digit level.   These classifications are also embedded in the chart of accounts and can produce a broad functional classification, but not COFOG compliant.</w:t>
            </w:r>
          </w:p>
        </w:tc>
      </w:tr>
      <w:tr w:rsidR="007518E4" w:rsidRPr="00C76C53" w14:paraId="672F6BDF"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097BBF0D" w14:textId="77777777" w:rsidR="007518E4" w:rsidRPr="00C76C53" w:rsidRDefault="007518E4" w:rsidP="00E12685">
            <w:pPr>
              <w:spacing w:before="0"/>
              <w:ind w:left="0"/>
              <w:rPr>
                <w:rFonts w:ascii="Times New Roman" w:hAnsi="Times New Roman"/>
                <w:b/>
                <w:bCs/>
                <w:sz w:val="19"/>
                <w:szCs w:val="19"/>
              </w:rPr>
            </w:pPr>
            <w:r w:rsidRPr="00C76C53">
              <w:rPr>
                <w:rFonts w:ascii="Times New Roman" w:hAnsi="Times New Roman"/>
                <w:b/>
                <w:sz w:val="19"/>
                <w:szCs w:val="19"/>
              </w:rPr>
              <w:t>PI–5 Budget documentation</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6B5CFAE3" w14:textId="77777777" w:rsidR="007518E4" w:rsidRPr="00C76C53" w:rsidRDefault="007518E4" w:rsidP="00E12685">
            <w:pPr>
              <w:spacing w:before="0"/>
              <w:ind w:left="0"/>
              <w:jc w:val="center"/>
              <w:rPr>
                <w:rFonts w:ascii="Times New Roman" w:hAnsi="Times New Roman"/>
                <w:bCs/>
                <w:sz w:val="19"/>
                <w:szCs w:val="19"/>
              </w:rPr>
            </w:pPr>
          </w:p>
        </w:tc>
        <w:tc>
          <w:tcPr>
            <w:tcW w:w="5369" w:type="dxa"/>
            <w:tcBorders>
              <w:top w:val="single" w:sz="4" w:space="0" w:color="auto"/>
              <w:left w:val="nil"/>
              <w:bottom w:val="single" w:sz="4" w:space="0" w:color="auto"/>
              <w:right w:val="single" w:sz="4" w:space="0" w:color="auto"/>
            </w:tcBorders>
            <w:shd w:val="clear" w:color="auto" w:fill="CCECFF"/>
            <w:vAlign w:val="center"/>
          </w:tcPr>
          <w:p w14:paraId="6911B3E6" w14:textId="77777777" w:rsidR="007518E4" w:rsidRPr="00C76C53" w:rsidRDefault="007518E4" w:rsidP="00E12685">
            <w:pPr>
              <w:spacing w:before="0"/>
              <w:ind w:left="0"/>
              <w:jc w:val="center"/>
              <w:rPr>
                <w:rFonts w:ascii="Times New Roman" w:hAnsi="Times New Roman"/>
                <w:b/>
                <w:bCs/>
                <w:sz w:val="19"/>
                <w:szCs w:val="19"/>
              </w:rPr>
            </w:pPr>
          </w:p>
        </w:tc>
      </w:tr>
      <w:tr w:rsidR="007518E4" w:rsidRPr="00C76C53" w14:paraId="5D06D818" w14:textId="77777777" w:rsidTr="00E502FD">
        <w:tblPrEx>
          <w:jc w:val="center"/>
        </w:tblPrEx>
        <w:trPr>
          <w:trHeight w:val="57"/>
          <w:jc w:val="center"/>
        </w:trPr>
        <w:tc>
          <w:tcPr>
            <w:tcW w:w="2925" w:type="dxa"/>
            <w:tcBorders>
              <w:top w:val="nil"/>
              <w:left w:val="single" w:sz="4" w:space="0" w:color="auto"/>
              <w:bottom w:val="single" w:sz="4" w:space="0" w:color="auto"/>
              <w:right w:val="single" w:sz="4" w:space="0" w:color="auto"/>
            </w:tcBorders>
            <w:shd w:val="clear" w:color="auto" w:fill="auto"/>
          </w:tcPr>
          <w:p w14:paraId="214A4ABE" w14:textId="77777777" w:rsidR="007518E4" w:rsidRPr="00C76C53" w:rsidRDefault="007518E4" w:rsidP="00E12685">
            <w:pPr>
              <w:pStyle w:val="BodyText"/>
              <w:widowControl w:val="0"/>
              <w:tabs>
                <w:tab w:val="left" w:pos="961"/>
              </w:tabs>
              <w:spacing w:before="0"/>
              <w:ind w:left="0"/>
              <w:rPr>
                <w:rFonts w:ascii="Times New Roman" w:hAnsi="Times New Roman"/>
                <w:sz w:val="19"/>
                <w:szCs w:val="19"/>
              </w:rPr>
            </w:pPr>
            <w:r w:rsidRPr="00C76C53">
              <w:rPr>
                <w:rFonts w:ascii="Times New Roman" w:hAnsi="Times New Roman"/>
                <w:sz w:val="19"/>
                <w:szCs w:val="19"/>
              </w:rPr>
              <w:t>5.1 Budget documentation</w:t>
            </w:r>
          </w:p>
        </w:tc>
        <w:tc>
          <w:tcPr>
            <w:tcW w:w="911" w:type="dxa"/>
            <w:gridSpan w:val="2"/>
            <w:tcBorders>
              <w:top w:val="nil"/>
              <w:left w:val="nil"/>
              <w:bottom w:val="single" w:sz="4" w:space="0" w:color="auto"/>
              <w:right w:val="single" w:sz="4" w:space="0" w:color="auto"/>
            </w:tcBorders>
            <w:shd w:val="clear" w:color="auto" w:fill="auto"/>
            <w:vAlign w:val="center"/>
          </w:tcPr>
          <w:p w14:paraId="3A2210BF"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tcBorders>
              <w:top w:val="nil"/>
              <w:left w:val="nil"/>
              <w:bottom w:val="single" w:sz="4" w:space="0" w:color="auto"/>
              <w:right w:val="single" w:sz="4" w:space="0" w:color="auto"/>
            </w:tcBorders>
            <w:shd w:val="clear" w:color="auto" w:fill="auto"/>
            <w:vAlign w:val="center"/>
          </w:tcPr>
          <w:p w14:paraId="47E9524B" w14:textId="77777777" w:rsidR="007518E4" w:rsidRPr="009C1D13" w:rsidRDefault="007518E4" w:rsidP="00E12685">
            <w:pPr>
              <w:spacing w:before="0"/>
              <w:ind w:left="0"/>
              <w:rPr>
                <w:rFonts w:ascii="Times New Roman" w:hAnsi="Times New Roman"/>
                <w:sz w:val="19"/>
                <w:szCs w:val="19"/>
              </w:rPr>
            </w:pPr>
            <w:r w:rsidRPr="009C1D13">
              <w:rPr>
                <w:rFonts w:ascii="Times New Roman" w:hAnsi="Times New Roman"/>
                <w:sz w:val="19"/>
                <w:szCs w:val="19"/>
              </w:rPr>
              <w:t xml:space="preserve">Budget documentation for 2018 fulfilled 2 basic elements and 2 additional elements i.e. in total 4 of the 12 key elements. </w:t>
            </w:r>
          </w:p>
        </w:tc>
      </w:tr>
      <w:tr w:rsidR="007518E4" w:rsidRPr="00C76C53" w14:paraId="79DCF760"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vAlign w:val="center"/>
          </w:tcPr>
          <w:p w14:paraId="6A9CEA2E" w14:textId="77777777" w:rsidR="007518E4" w:rsidRPr="00C76C53" w:rsidRDefault="007518E4" w:rsidP="00E12685">
            <w:pPr>
              <w:spacing w:before="0"/>
              <w:ind w:left="0"/>
              <w:rPr>
                <w:rFonts w:ascii="Times New Roman" w:hAnsi="Times New Roman"/>
                <w:b/>
                <w:bCs/>
                <w:sz w:val="19"/>
                <w:szCs w:val="19"/>
              </w:rPr>
            </w:pPr>
            <w:r w:rsidRPr="00C76C53">
              <w:rPr>
                <w:rFonts w:ascii="Times New Roman" w:hAnsi="Times New Roman"/>
                <w:b/>
                <w:sz w:val="19"/>
                <w:szCs w:val="19"/>
              </w:rPr>
              <w:t>PI–6 Central government operations outside financial reports</w:t>
            </w:r>
          </w:p>
        </w:tc>
        <w:tc>
          <w:tcPr>
            <w:tcW w:w="911" w:type="dxa"/>
            <w:gridSpan w:val="2"/>
            <w:shd w:val="clear" w:color="auto" w:fill="auto"/>
            <w:vAlign w:val="center"/>
          </w:tcPr>
          <w:p w14:paraId="20D0E245"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r w:rsidR="00C36076">
              <w:rPr>
                <w:rFonts w:ascii="Times New Roman" w:hAnsi="Times New Roman"/>
                <w:sz w:val="19"/>
                <w:szCs w:val="19"/>
              </w:rPr>
              <w:t>+</w:t>
            </w:r>
          </w:p>
        </w:tc>
        <w:tc>
          <w:tcPr>
            <w:tcW w:w="5369" w:type="dxa"/>
            <w:shd w:val="clear" w:color="auto" w:fill="CCECFF"/>
            <w:vAlign w:val="center"/>
          </w:tcPr>
          <w:p w14:paraId="088538B4" w14:textId="77777777" w:rsidR="007518E4" w:rsidRPr="009C1D13" w:rsidRDefault="007518E4" w:rsidP="00E12685">
            <w:pPr>
              <w:spacing w:before="0"/>
              <w:ind w:left="0"/>
              <w:rPr>
                <w:rFonts w:ascii="Times New Roman" w:hAnsi="Times New Roman"/>
                <w:sz w:val="19"/>
                <w:szCs w:val="19"/>
              </w:rPr>
            </w:pPr>
            <w:r w:rsidRPr="009C1D13">
              <w:rPr>
                <w:rFonts w:ascii="Times New Roman" w:hAnsi="Times New Roman"/>
                <w:sz w:val="19"/>
                <w:szCs w:val="19"/>
              </w:rPr>
              <w:t>Dimension scores combined by Method M2 (average)</w:t>
            </w:r>
          </w:p>
        </w:tc>
      </w:tr>
      <w:tr w:rsidR="007518E4" w:rsidRPr="00C76C53" w14:paraId="18EFFF4E"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2D0B219A"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z w:val="19"/>
                <w:szCs w:val="19"/>
              </w:rPr>
              <w:t>6.1 Expenditure outside financial reports</w:t>
            </w:r>
          </w:p>
        </w:tc>
        <w:tc>
          <w:tcPr>
            <w:tcW w:w="911" w:type="dxa"/>
            <w:gridSpan w:val="2"/>
            <w:shd w:val="clear" w:color="auto" w:fill="auto"/>
            <w:vAlign w:val="center"/>
          </w:tcPr>
          <w:p w14:paraId="1F14D103"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shd w:val="clear" w:color="auto" w:fill="auto"/>
            <w:vAlign w:val="center"/>
          </w:tcPr>
          <w:p w14:paraId="7CA31F2D" w14:textId="77777777" w:rsidR="007518E4" w:rsidRPr="009C1D13" w:rsidRDefault="007518E4" w:rsidP="00E12685">
            <w:pPr>
              <w:spacing w:before="0"/>
              <w:ind w:left="0"/>
              <w:rPr>
                <w:rFonts w:ascii="Times New Roman" w:hAnsi="Times New Roman"/>
                <w:sz w:val="19"/>
                <w:szCs w:val="19"/>
                <w:highlight w:val="yellow"/>
                <w:lang w:eastAsia="en-IN"/>
              </w:rPr>
            </w:pPr>
            <w:r w:rsidRPr="009C1D13">
              <w:rPr>
                <w:rFonts w:ascii="Times New Roman" w:hAnsi="Times New Roman"/>
                <w:sz w:val="19"/>
                <w:szCs w:val="19"/>
              </w:rPr>
              <w:t>The amount of extrabudgetary expenditure that remains off-budget and not on government financial records but reported separately are related to externally financed projects, and the expenditures from the statutory extrabudgetary funds.  For 2016 and 2017, the amount of unreported expenditures cannot be fully estimated but is likely to be more than 10% of total government budget expenditure.</w:t>
            </w:r>
          </w:p>
        </w:tc>
      </w:tr>
      <w:tr w:rsidR="007518E4" w:rsidRPr="00C76C53" w14:paraId="797860F1"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4A2213D9"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z w:val="19"/>
                <w:szCs w:val="19"/>
              </w:rPr>
              <w:t>6.2 Revenue outside financial reports</w:t>
            </w:r>
          </w:p>
        </w:tc>
        <w:tc>
          <w:tcPr>
            <w:tcW w:w="911" w:type="dxa"/>
            <w:gridSpan w:val="2"/>
            <w:shd w:val="clear" w:color="auto" w:fill="auto"/>
            <w:vAlign w:val="center"/>
          </w:tcPr>
          <w:p w14:paraId="186054BC"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shd w:val="clear" w:color="auto" w:fill="auto"/>
            <w:vAlign w:val="center"/>
          </w:tcPr>
          <w:p w14:paraId="429F6F29" w14:textId="77777777" w:rsidR="007518E4" w:rsidRPr="009C1D13" w:rsidRDefault="007518E4" w:rsidP="00E12685">
            <w:pPr>
              <w:spacing w:before="0"/>
              <w:ind w:left="0"/>
              <w:rPr>
                <w:rFonts w:ascii="Times New Roman" w:hAnsi="Times New Roman"/>
                <w:sz w:val="19"/>
                <w:szCs w:val="19"/>
                <w:lang w:eastAsia="en-IN"/>
              </w:rPr>
            </w:pPr>
            <w:r w:rsidRPr="009C1D13">
              <w:rPr>
                <w:rFonts w:ascii="Times New Roman" w:hAnsi="Times New Roman"/>
                <w:sz w:val="19"/>
                <w:szCs w:val="19"/>
                <w:lang w:eastAsia="en-IN"/>
              </w:rPr>
              <w:t>Government financial reports concerning revenue from grants and loans from Development Partners have not been produced systematically and timely and the amount involved is likely to be in the order of 25% of total budgetary central government revenue. The technical revenue generated by service fees and charges from budgetary entities is consolidated at ministry level.</w:t>
            </w:r>
          </w:p>
        </w:tc>
      </w:tr>
      <w:tr w:rsidR="007518E4" w:rsidRPr="00C76C53" w14:paraId="19C2DEFB"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1A2BF0B8" w14:textId="77777777" w:rsidR="007518E4" w:rsidRPr="00C76C53" w:rsidRDefault="007518E4" w:rsidP="00E12685">
            <w:pPr>
              <w:pStyle w:val="BodyText"/>
              <w:widowControl w:val="0"/>
              <w:tabs>
                <w:tab w:val="left" w:pos="961"/>
              </w:tabs>
              <w:spacing w:before="0"/>
              <w:ind w:left="0"/>
              <w:rPr>
                <w:rFonts w:ascii="Times New Roman" w:hAnsi="Times New Roman"/>
                <w:sz w:val="19"/>
                <w:szCs w:val="19"/>
              </w:rPr>
            </w:pPr>
            <w:r w:rsidRPr="00C76C53">
              <w:rPr>
                <w:rFonts w:ascii="Times New Roman" w:hAnsi="Times New Roman"/>
                <w:sz w:val="19"/>
                <w:szCs w:val="19"/>
              </w:rPr>
              <w:t>6.3</w:t>
            </w:r>
            <w:r>
              <w:rPr>
                <w:rFonts w:ascii="Times New Roman" w:hAnsi="Times New Roman"/>
                <w:sz w:val="19"/>
                <w:szCs w:val="19"/>
              </w:rPr>
              <w:t xml:space="preserve"> </w:t>
            </w:r>
            <w:r w:rsidRPr="00C76C53">
              <w:rPr>
                <w:rFonts w:ascii="Times New Roman" w:hAnsi="Times New Roman"/>
                <w:sz w:val="19"/>
                <w:szCs w:val="19"/>
              </w:rPr>
              <w:t>Financial reports of extra-budgetary units</w:t>
            </w:r>
          </w:p>
        </w:tc>
        <w:tc>
          <w:tcPr>
            <w:tcW w:w="911" w:type="dxa"/>
            <w:gridSpan w:val="2"/>
            <w:shd w:val="clear" w:color="auto" w:fill="auto"/>
            <w:vAlign w:val="center"/>
          </w:tcPr>
          <w:p w14:paraId="22BE7D5D" w14:textId="77777777" w:rsidR="007518E4" w:rsidRPr="009C1D13" w:rsidRDefault="00C36076"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shd w:val="clear" w:color="auto" w:fill="auto"/>
            <w:vAlign w:val="center"/>
          </w:tcPr>
          <w:p w14:paraId="00DC2D4F" w14:textId="77777777" w:rsidR="007518E4" w:rsidRPr="009C1D13" w:rsidRDefault="007518E4" w:rsidP="00C36076">
            <w:pPr>
              <w:spacing w:before="0"/>
              <w:ind w:left="0"/>
              <w:rPr>
                <w:rFonts w:ascii="Times New Roman" w:eastAsia="ヒラギノ角ゴ Pro W3" w:hAnsi="Times New Roman"/>
                <w:color w:val="000000"/>
                <w:sz w:val="19"/>
                <w:szCs w:val="19"/>
                <w:lang w:eastAsia="en-IN"/>
              </w:rPr>
            </w:pPr>
            <w:r w:rsidRPr="009C1D13">
              <w:rPr>
                <w:rFonts w:ascii="Times New Roman" w:eastAsia="ヒラギノ角ゴ Pro W3" w:hAnsi="Times New Roman"/>
                <w:color w:val="000000"/>
                <w:sz w:val="19"/>
                <w:szCs w:val="19"/>
                <w:lang w:eastAsia="en-IN"/>
              </w:rPr>
              <w:t xml:space="preserve">The main 6 extrabudgetary funds representing </w:t>
            </w:r>
            <w:r w:rsidR="00C36076">
              <w:rPr>
                <w:rFonts w:ascii="Times New Roman" w:eastAsia="ヒラギノ角ゴ Pro W3" w:hAnsi="Times New Roman"/>
                <w:color w:val="000000"/>
                <w:sz w:val="19"/>
                <w:szCs w:val="19"/>
                <w:lang w:eastAsia="en-IN"/>
              </w:rPr>
              <w:t>over 50% but less than 75% 0</w:t>
            </w:r>
            <w:r w:rsidRPr="009C1D13">
              <w:rPr>
                <w:rFonts w:ascii="Times New Roman" w:eastAsia="ヒラギノ角ゴ Pro W3" w:hAnsi="Times New Roman"/>
                <w:color w:val="000000"/>
                <w:sz w:val="19"/>
                <w:szCs w:val="19"/>
                <w:lang w:eastAsia="en-IN"/>
              </w:rPr>
              <w:t>f the extrabudgetary funds combined annual expenditure (from the government fiscal transfers and own resources), have submitted financial reports</w:t>
            </w:r>
            <w:r w:rsidR="00C36076">
              <w:rPr>
                <w:rFonts w:ascii="Times New Roman" w:eastAsia="ヒラギノ角ゴ Pro W3" w:hAnsi="Times New Roman"/>
                <w:color w:val="000000"/>
                <w:sz w:val="19"/>
                <w:szCs w:val="19"/>
                <w:lang w:eastAsia="en-IN"/>
              </w:rPr>
              <w:t xml:space="preserve"> </w:t>
            </w:r>
            <w:r w:rsidRPr="009C1D13">
              <w:rPr>
                <w:rFonts w:ascii="Times New Roman" w:eastAsia="ヒラギノ角ゴ Pro W3" w:hAnsi="Times New Roman"/>
                <w:color w:val="000000"/>
                <w:sz w:val="19"/>
                <w:szCs w:val="19"/>
                <w:lang w:eastAsia="en-IN"/>
              </w:rPr>
              <w:t>within 9 months of end of the financial year in 2018.</w:t>
            </w:r>
            <w:r w:rsidRPr="009C1D13">
              <w:rPr>
                <w:rFonts w:ascii="Times New Roman" w:hAnsi="Times New Roman"/>
                <w:sz w:val="19"/>
                <w:szCs w:val="19"/>
                <w:lang w:eastAsia="en-IN"/>
              </w:rPr>
              <w:t xml:space="preserve"> </w:t>
            </w:r>
          </w:p>
        </w:tc>
      </w:tr>
      <w:tr w:rsidR="007518E4" w:rsidRPr="00C76C53" w14:paraId="7201B2EC"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63F10E43" w14:textId="77777777" w:rsidR="007518E4" w:rsidRPr="00C76C53" w:rsidRDefault="007518E4" w:rsidP="00E12685">
            <w:pPr>
              <w:spacing w:before="0"/>
              <w:ind w:left="0"/>
              <w:rPr>
                <w:rFonts w:ascii="Times New Roman" w:hAnsi="Times New Roman"/>
                <w:b/>
                <w:sz w:val="19"/>
                <w:szCs w:val="19"/>
              </w:rPr>
            </w:pPr>
            <w:r w:rsidRPr="00C76C53">
              <w:rPr>
                <w:rFonts w:ascii="Times New Roman" w:hAnsi="Times New Roman"/>
                <w:b/>
                <w:sz w:val="19"/>
                <w:szCs w:val="19"/>
              </w:rPr>
              <w:lastRenderedPageBreak/>
              <w:t>PI–7 Transfers to sub-national governments</w:t>
            </w:r>
          </w:p>
        </w:tc>
        <w:tc>
          <w:tcPr>
            <w:tcW w:w="911" w:type="dxa"/>
            <w:gridSpan w:val="2"/>
            <w:shd w:val="clear" w:color="auto" w:fill="auto"/>
            <w:vAlign w:val="center"/>
          </w:tcPr>
          <w:p w14:paraId="31BD05D5" w14:textId="77777777" w:rsidR="007518E4" w:rsidRPr="009C1D13" w:rsidRDefault="00C36076" w:rsidP="00E12685">
            <w:pPr>
              <w:spacing w:before="0"/>
              <w:ind w:left="0"/>
              <w:jc w:val="center"/>
              <w:rPr>
                <w:rFonts w:ascii="Times New Roman" w:hAnsi="Times New Roman"/>
                <w:sz w:val="19"/>
                <w:szCs w:val="19"/>
              </w:rPr>
            </w:pPr>
            <w:r>
              <w:rPr>
                <w:rFonts w:ascii="Times New Roman" w:hAnsi="Times New Roman"/>
                <w:sz w:val="19"/>
                <w:szCs w:val="19"/>
              </w:rPr>
              <w:t>NA</w:t>
            </w:r>
          </w:p>
        </w:tc>
        <w:tc>
          <w:tcPr>
            <w:tcW w:w="5369" w:type="dxa"/>
            <w:shd w:val="clear" w:color="auto" w:fill="CCECFF"/>
            <w:vAlign w:val="center"/>
          </w:tcPr>
          <w:p w14:paraId="3B958450" w14:textId="77777777" w:rsidR="007518E4" w:rsidRPr="009C1D13" w:rsidRDefault="007518E4" w:rsidP="00E12685">
            <w:pPr>
              <w:spacing w:before="0"/>
              <w:ind w:left="0"/>
              <w:rPr>
                <w:rFonts w:ascii="Times New Roman" w:hAnsi="Times New Roman"/>
                <w:sz w:val="19"/>
                <w:szCs w:val="19"/>
              </w:rPr>
            </w:pPr>
            <w:r w:rsidRPr="009C1D13">
              <w:rPr>
                <w:rFonts w:ascii="Times New Roman" w:eastAsia="Calibri" w:hAnsi="Times New Roman"/>
                <w:color w:val="000000"/>
                <w:sz w:val="19"/>
                <w:szCs w:val="19"/>
              </w:rPr>
              <w:t xml:space="preserve">Dimension scores combined by M2 (average) </w:t>
            </w:r>
          </w:p>
        </w:tc>
      </w:tr>
      <w:tr w:rsidR="007518E4" w:rsidRPr="00C76C53" w14:paraId="784D83FD"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vAlign w:val="center"/>
          </w:tcPr>
          <w:p w14:paraId="4639FAF9" w14:textId="77777777" w:rsidR="007518E4" w:rsidRPr="00C76C53" w:rsidRDefault="007518E4" w:rsidP="00E12685">
            <w:pPr>
              <w:pStyle w:val="BodyText"/>
              <w:widowControl w:val="0"/>
              <w:tabs>
                <w:tab w:val="left" w:pos="961"/>
              </w:tabs>
              <w:spacing w:before="0"/>
              <w:ind w:left="0"/>
              <w:rPr>
                <w:rFonts w:ascii="Times New Roman" w:hAnsi="Times New Roman"/>
                <w:sz w:val="19"/>
                <w:szCs w:val="19"/>
              </w:rPr>
            </w:pPr>
            <w:r w:rsidRPr="00C76C53">
              <w:rPr>
                <w:rFonts w:ascii="Times New Roman" w:hAnsi="Times New Roman"/>
                <w:spacing w:val="-1"/>
                <w:sz w:val="19"/>
                <w:szCs w:val="19"/>
              </w:rPr>
              <w:t>7.1 Systems for allocating transfers</w:t>
            </w:r>
          </w:p>
        </w:tc>
        <w:tc>
          <w:tcPr>
            <w:tcW w:w="911" w:type="dxa"/>
            <w:gridSpan w:val="2"/>
            <w:shd w:val="clear" w:color="auto" w:fill="auto"/>
            <w:vAlign w:val="center"/>
          </w:tcPr>
          <w:p w14:paraId="395E0A62" w14:textId="77777777" w:rsidR="007518E4" w:rsidRPr="009C1D13" w:rsidRDefault="00C36076" w:rsidP="00E12685">
            <w:pPr>
              <w:spacing w:before="0"/>
              <w:ind w:left="0"/>
              <w:jc w:val="center"/>
              <w:rPr>
                <w:rFonts w:ascii="Times New Roman" w:hAnsi="Times New Roman"/>
                <w:sz w:val="19"/>
                <w:szCs w:val="19"/>
              </w:rPr>
            </w:pPr>
            <w:r>
              <w:rPr>
                <w:rFonts w:ascii="Times New Roman" w:hAnsi="Times New Roman"/>
                <w:sz w:val="19"/>
                <w:szCs w:val="19"/>
              </w:rPr>
              <w:t>NA</w:t>
            </w:r>
          </w:p>
        </w:tc>
        <w:tc>
          <w:tcPr>
            <w:tcW w:w="5369" w:type="dxa"/>
            <w:shd w:val="clear" w:color="auto" w:fill="auto"/>
            <w:vAlign w:val="center"/>
          </w:tcPr>
          <w:p w14:paraId="67C128F7" w14:textId="77777777" w:rsidR="007518E4" w:rsidRPr="009C1D13" w:rsidRDefault="007518E4" w:rsidP="00E12685">
            <w:pPr>
              <w:spacing w:before="0"/>
              <w:ind w:left="0"/>
              <w:rPr>
                <w:rFonts w:ascii="Times New Roman" w:eastAsia="Calibri" w:hAnsi="Times New Roman"/>
                <w:sz w:val="19"/>
                <w:szCs w:val="19"/>
              </w:rPr>
            </w:pPr>
          </w:p>
        </w:tc>
      </w:tr>
      <w:tr w:rsidR="007518E4" w:rsidRPr="00C76C53" w14:paraId="29B788DB"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50CD6F34" w14:textId="77777777" w:rsidR="007518E4" w:rsidRPr="00C76C53" w:rsidRDefault="007518E4" w:rsidP="00E12685">
            <w:pPr>
              <w:pStyle w:val="BodyText"/>
              <w:widowControl w:val="0"/>
              <w:tabs>
                <w:tab w:val="left" w:pos="961"/>
              </w:tabs>
              <w:spacing w:before="0"/>
              <w:ind w:left="0"/>
              <w:rPr>
                <w:rFonts w:ascii="Times New Roman" w:hAnsi="Times New Roman"/>
                <w:sz w:val="19"/>
                <w:szCs w:val="19"/>
              </w:rPr>
            </w:pPr>
            <w:r w:rsidRPr="00C76C53">
              <w:rPr>
                <w:rFonts w:ascii="Times New Roman" w:hAnsi="Times New Roman"/>
                <w:spacing w:val="-1"/>
                <w:sz w:val="19"/>
                <w:szCs w:val="19"/>
              </w:rPr>
              <w:t>7.2 Timeliness</w:t>
            </w:r>
            <w:r w:rsidRPr="00C76C53">
              <w:rPr>
                <w:rFonts w:ascii="Times New Roman" w:hAnsi="Times New Roman"/>
                <w:spacing w:val="14"/>
                <w:sz w:val="19"/>
                <w:szCs w:val="19"/>
              </w:rPr>
              <w:t xml:space="preserve"> </w:t>
            </w:r>
            <w:r w:rsidRPr="00C76C53">
              <w:rPr>
                <w:rFonts w:ascii="Times New Roman" w:hAnsi="Times New Roman"/>
                <w:spacing w:val="1"/>
                <w:sz w:val="19"/>
                <w:szCs w:val="19"/>
              </w:rPr>
              <w:t>of</w:t>
            </w:r>
            <w:r w:rsidRPr="00C76C53">
              <w:rPr>
                <w:rFonts w:ascii="Times New Roman" w:hAnsi="Times New Roman"/>
                <w:spacing w:val="13"/>
                <w:sz w:val="19"/>
                <w:szCs w:val="19"/>
              </w:rPr>
              <w:t xml:space="preserve"> </w:t>
            </w:r>
            <w:r w:rsidRPr="00C76C53">
              <w:rPr>
                <w:rFonts w:ascii="Times New Roman" w:hAnsi="Times New Roman"/>
                <w:spacing w:val="-1"/>
                <w:sz w:val="19"/>
                <w:szCs w:val="19"/>
              </w:rPr>
              <w:t>information on transfers</w:t>
            </w:r>
          </w:p>
        </w:tc>
        <w:tc>
          <w:tcPr>
            <w:tcW w:w="911" w:type="dxa"/>
            <w:gridSpan w:val="2"/>
            <w:shd w:val="clear" w:color="auto" w:fill="auto"/>
            <w:vAlign w:val="center"/>
          </w:tcPr>
          <w:p w14:paraId="7430061D" w14:textId="77777777" w:rsidR="007518E4" w:rsidRPr="009C1D13" w:rsidRDefault="00C36076" w:rsidP="00E12685">
            <w:pPr>
              <w:spacing w:before="0"/>
              <w:ind w:left="0"/>
              <w:jc w:val="center"/>
              <w:rPr>
                <w:rFonts w:ascii="Times New Roman" w:hAnsi="Times New Roman"/>
                <w:sz w:val="19"/>
                <w:szCs w:val="19"/>
              </w:rPr>
            </w:pPr>
            <w:r>
              <w:rPr>
                <w:rFonts w:ascii="Times New Roman" w:hAnsi="Times New Roman"/>
                <w:sz w:val="19"/>
                <w:szCs w:val="19"/>
              </w:rPr>
              <w:t>NA</w:t>
            </w:r>
          </w:p>
        </w:tc>
        <w:tc>
          <w:tcPr>
            <w:tcW w:w="5369" w:type="dxa"/>
            <w:shd w:val="clear" w:color="auto" w:fill="auto"/>
            <w:vAlign w:val="center"/>
          </w:tcPr>
          <w:p w14:paraId="716779C6" w14:textId="77777777" w:rsidR="007518E4" w:rsidRPr="009C1D13" w:rsidRDefault="007518E4" w:rsidP="00E12685">
            <w:pPr>
              <w:spacing w:before="0"/>
              <w:ind w:left="0"/>
              <w:rPr>
                <w:rFonts w:ascii="Times New Roman" w:hAnsi="Times New Roman"/>
                <w:sz w:val="19"/>
                <w:szCs w:val="19"/>
              </w:rPr>
            </w:pPr>
          </w:p>
        </w:tc>
      </w:tr>
      <w:tr w:rsidR="007518E4" w:rsidRPr="00C76C53" w14:paraId="160F51B8"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010A1101" w14:textId="77777777" w:rsidR="007518E4" w:rsidRPr="00C76C53" w:rsidRDefault="007518E4" w:rsidP="00E12685">
            <w:pPr>
              <w:autoSpaceDE w:val="0"/>
              <w:autoSpaceDN w:val="0"/>
              <w:adjustRightInd w:val="0"/>
              <w:spacing w:before="0"/>
              <w:ind w:left="0"/>
              <w:rPr>
                <w:rFonts w:ascii="Times New Roman" w:hAnsi="Times New Roman"/>
                <w:b/>
                <w:bCs/>
                <w:sz w:val="19"/>
                <w:szCs w:val="19"/>
              </w:rPr>
            </w:pPr>
            <w:r w:rsidRPr="00C76C53">
              <w:rPr>
                <w:rFonts w:ascii="Times New Roman" w:hAnsi="Times New Roman"/>
                <w:b/>
                <w:bCs/>
                <w:sz w:val="19"/>
                <w:szCs w:val="19"/>
              </w:rPr>
              <w:t xml:space="preserve">PI–8 </w:t>
            </w:r>
            <w:r w:rsidRPr="00C76C53">
              <w:rPr>
                <w:rFonts w:ascii="Times New Roman" w:hAnsi="Times New Roman"/>
                <w:b/>
                <w:spacing w:val="-1"/>
                <w:sz w:val="19"/>
                <w:szCs w:val="19"/>
              </w:rPr>
              <w:t>Performance</w:t>
            </w:r>
            <w:r w:rsidRPr="00C76C53">
              <w:rPr>
                <w:rFonts w:ascii="Times New Roman" w:hAnsi="Times New Roman"/>
                <w:b/>
                <w:spacing w:val="-6"/>
                <w:sz w:val="19"/>
                <w:szCs w:val="19"/>
              </w:rPr>
              <w:t xml:space="preserve"> </w:t>
            </w:r>
            <w:r w:rsidRPr="00C76C53">
              <w:rPr>
                <w:rFonts w:ascii="Times New Roman" w:hAnsi="Times New Roman"/>
                <w:b/>
                <w:spacing w:val="-1"/>
                <w:sz w:val="19"/>
                <w:szCs w:val="19"/>
              </w:rPr>
              <w:t>information</w:t>
            </w:r>
            <w:r w:rsidRPr="00C76C53">
              <w:rPr>
                <w:rFonts w:ascii="Times New Roman" w:hAnsi="Times New Roman"/>
                <w:b/>
                <w:spacing w:val="-5"/>
                <w:sz w:val="19"/>
                <w:szCs w:val="19"/>
              </w:rPr>
              <w:t xml:space="preserve"> </w:t>
            </w:r>
            <w:r w:rsidRPr="00C76C53">
              <w:rPr>
                <w:rFonts w:ascii="Times New Roman" w:hAnsi="Times New Roman"/>
                <w:b/>
                <w:sz w:val="19"/>
                <w:szCs w:val="19"/>
              </w:rPr>
              <w:t>for</w:t>
            </w:r>
            <w:r w:rsidRPr="00C76C53">
              <w:rPr>
                <w:rFonts w:ascii="Times New Roman" w:hAnsi="Times New Roman"/>
                <w:b/>
                <w:spacing w:val="-6"/>
                <w:sz w:val="19"/>
                <w:szCs w:val="19"/>
              </w:rPr>
              <w:t xml:space="preserve"> </w:t>
            </w:r>
            <w:r w:rsidRPr="00C76C53">
              <w:rPr>
                <w:rFonts w:ascii="Times New Roman" w:hAnsi="Times New Roman"/>
                <w:b/>
                <w:spacing w:val="-1"/>
                <w:sz w:val="19"/>
                <w:szCs w:val="19"/>
              </w:rPr>
              <w:t>service</w:t>
            </w:r>
            <w:r w:rsidRPr="00C76C53">
              <w:rPr>
                <w:rFonts w:ascii="Times New Roman" w:hAnsi="Times New Roman"/>
                <w:b/>
                <w:spacing w:val="-4"/>
                <w:sz w:val="19"/>
                <w:szCs w:val="19"/>
              </w:rPr>
              <w:t xml:space="preserve"> </w:t>
            </w:r>
            <w:r w:rsidRPr="00C76C53">
              <w:rPr>
                <w:rFonts w:ascii="Times New Roman" w:hAnsi="Times New Roman"/>
                <w:b/>
                <w:spacing w:val="-1"/>
                <w:sz w:val="19"/>
                <w:szCs w:val="19"/>
              </w:rPr>
              <w:t>delivery</w:t>
            </w:r>
          </w:p>
        </w:tc>
        <w:tc>
          <w:tcPr>
            <w:tcW w:w="911" w:type="dxa"/>
            <w:gridSpan w:val="2"/>
            <w:shd w:val="clear" w:color="auto" w:fill="auto"/>
            <w:vAlign w:val="center"/>
          </w:tcPr>
          <w:p w14:paraId="7A3B05DD"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shd w:val="clear" w:color="auto" w:fill="CCECFF"/>
            <w:vAlign w:val="center"/>
          </w:tcPr>
          <w:p w14:paraId="455CD976" w14:textId="77777777" w:rsidR="007518E4" w:rsidRPr="009C1D13" w:rsidRDefault="007518E4" w:rsidP="00E12685">
            <w:pPr>
              <w:spacing w:before="0"/>
              <w:ind w:left="0"/>
              <w:rPr>
                <w:rFonts w:ascii="Times New Roman" w:hAnsi="Times New Roman"/>
                <w:sz w:val="19"/>
                <w:szCs w:val="19"/>
              </w:rPr>
            </w:pPr>
            <w:r w:rsidRPr="009C1D13">
              <w:rPr>
                <w:rFonts w:ascii="Times New Roman" w:hAnsi="Times New Roman"/>
                <w:sz w:val="19"/>
                <w:szCs w:val="19"/>
              </w:rPr>
              <w:t>Dimension scores combined by Method M2 (average)</w:t>
            </w:r>
          </w:p>
        </w:tc>
      </w:tr>
      <w:tr w:rsidR="007518E4" w:rsidRPr="00C76C53" w14:paraId="362D076E"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64BECF1E" w14:textId="77777777" w:rsidR="007518E4" w:rsidRPr="00C76C53" w:rsidRDefault="007518E4" w:rsidP="00E12685">
            <w:pPr>
              <w:autoSpaceDE w:val="0"/>
              <w:autoSpaceDN w:val="0"/>
              <w:adjustRightInd w:val="0"/>
              <w:spacing w:before="0"/>
              <w:ind w:left="0"/>
              <w:rPr>
                <w:rFonts w:ascii="Times New Roman" w:hAnsi="Times New Roman"/>
                <w:sz w:val="19"/>
                <w:szCs w:val="19"/>
              </w:rPr>
            </w:pPr>
            <w:r w:rsidRPr="00C76C53">
              <w:rPr>
                <w:rFonts w:ascii="Times New Roman" w:hAnsi="Times New Roman"/>
                <w:sz w:val="19"/>
                <w:szCs w:val="19"/>
              </w:rPr>
              <w:t>8.1 Performance plans for service delivery</w:t>
            </w:r>
          </w:p>
        </w:tc>
        <w:tc>
          <w:tcPr>
            <w:tcW w:w="911" w:type="dxa"/>
            <w:gridSpan w:val="2"/>
            <w:shd w:val="clear" w:color="auto" w:fill="auto"/>
            <w:vAlign w:val="center"/>
          </w:tcPr>
          <w:p w14:paraId="071C927C" w14:textId="77777777" w:rsidR="007518E4" w:rsidRPr="009C1D13" w:rsidRDefault="00184291"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shd w:val="clear" w:color="auto" w:fill="auto"/>
            <w:vAlign w:val="center"/>
          </w:tcPr>
          <w:p w14:paraId="6E2C57B1" w14:textId="77777777" w:rsidR="007518E4" w:rsidRPr="009C1D13" w:rsidRDefault="007518E4" w:rsidP="00E12685">
            <w:pPr>
              <w:spacing w:before="0"/>
              <w:ind w:left="0"/>
              <w:rPr>
                <w:rFonts w:ascii="Times New Roman" w:eastAsia="ヒラギノ角ゴ Pro W3" w:hAnsi="Times New Roman"/>
                <w:color w:val="000000"/>
                <w:sz w:val="19"/>
                <w:szCs w:val="19"/>
                <w:lang w:eastAsia="en-IN"/>
              </w:rPr>
            </w:pPr>
            <w:r w:rsidRPr="009C1D13">
              <w:rPr>
                <w:rFonts w:ascii="Times New Roman" w:eastAsia="ヒラギノ角ゴ Pro W3" w:hAnsi="Times New Roman"/>
                <w:color w:val="000000"/>
                <w:sz w:val="19"/>
                <w:szCs w:val="19"/>
                <w:lang w:eastAsia="en-IN"/>
              </w:rPr>
              <w:t>Sector strategic plans and reports are published online for the two major service delivery ministries: Education (ESSDP 2016-2020) and Health (HSRSF till 2025) with key performance targets and outputs for key service delivery functions as defined in the sector strategic plans and a broad link with the annual NSEDP at the outcome level. While linkages exist between the budget and the forecasts targets for each budget year, the targets are not part of the budget documentation and annual reports on sector performance report only aggregate allocation of state and ODA resources to the plan.</w:t>
            </w:r>
          </w:p>
        </w:tc>
      </w:tr>
      <w:tr w:rsidR="007518E4" w:rsidRPr="00C76C53" w14:paraId="0CF4DB8D"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7882D09D"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z w:val="19"/>
                <w:szCs w:val="19"/>
              </w:rPr>
              <w:t>8.2 Performance achieved for service delivery</w:t>
            </w:r>
          </w:p>
        </w:tc>
        <w:tc>
          <w:tcPr>
            <w:tcW w:w="911" w:type="dxa"/>
            <w:gridSpan w:val="2"/>
            <w:shd w:val="clear" w:color="auto" w:fill="auto"/>
            <w:vAlign w:val="center"/>
          </w:tcPr>
          <w:p w14:paraId="4D8A0614" w14:textId="77777777" w:rsidR="007518E4" w:rsidRPr="009C1D13" w:rsidRDefault="00184291"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shd w:val="clear" w:color="auto" w:fill="auto"/>
            <w:vAlign w:val="center"/>
          </w:tcPr>
          <w:p w14:paraId="43180E99" w14:textId="77777777" w:rsidR="007518E4" w:rsidRPr="009C1D13" w:rsidRDefault="007518E4" w:rsidP="00E12685">
            <w:pPr>
              <w:spacing w:before="0"/>
              <w:ind w:left="0"/>
              <w:rPr>
                <w:rFonts w:ascii="Times New Roman" w:eastAsia="ヒラギノ角ゴ Pro W3" w:hAnsi="Times New Roman"/>
                <w:color w:val="000000"/>
                <w:sz w:val="19"/>
                <w:szCs w:val="19"/>
                <w:lang w:eastAsia="en-IN"/>
              </w:rPr>
            </w:pPr>
            <w:r w:rsidRPr="009C1D13">
              <w:rPr>
                <w:rFonts w:ascii="Times New Roman" w:eastAsia="ヒラギノ角ゴ Pro W3" w:hAnsi="Times New Roman"/>
                <w:color w:val="000000"/>
                <w:sz w:val="19"/>
                <w:szCs w:val="19"/>
                <w:lang w:eastAsia="en-IN"/>
              </w:rPr>
              <w:t xml:space="preserve">Annual information on achievement of targets is prepared by both the </w:t>
            </w:r>
            <w:proofErr w:type="spellStart"/>
            <w:r w:rsidRPr="009C1D13">
              <w:rPr>
                <w:rFonts w:ascii="Times New Roman" w:eastAsia="ヒラギノ角ゴ Pro W3" w:hAnsi="Times New Roman"/>
                <w:color w:val="000000"/>
                <w:sz w:val="19"/>
                <w:szCs w:val="19"/>
                <w:lang w:eastAsia="en-IN"/>
              </w:rPr>
              <w:t>MoES</w:t>
            </w:r>
            <w:proofErr w:type="spellEnd"/>
            <w:r w:rsidRPr="009C1D13">
              <w:rPr>
                <w:rFonts w:ascii="Times New Roman" w:eastAsia="ヒラギノ角ゴ Pro W3" w:hAnsi="Times New Roman"/>
                <w:color w:val="000000"/>
                <w:sz w:val="19"/>
                <w:szCs w:val="19"/>
                <w:lang w:eastAsia="en-IN"/>
              </w:rPr>
              <w:t xml:space="preserve"> and </w:t>
            </w:r>
            <w:proofErr w:type="spellStart"/>
            <w:r w:rsidRPr="009C1D13">
              <w:rPr>
                <w:rFonts w:ascii="Times New Roman" w:eastAsia="ヒラギノ角ゴ Pro W3" w:hAnsi="Times New Roman"/>
                <w:color w:val="000000"/>
                <w:sz w:val="19"/>
                <w:szCs w:val="19"/>
                <w:lang w:eastAsia="en-IN"/>
              </w:rPr>
              <w:t>MoH</w:t>
            </w:r>
            <w:proofErr w:type="spellEnd"/>
            <w:r w:rsidRPr="009C1D13">
              <w:rPr>
                <w:rFonts w:ascii="Times New Roman" w:eastAsia="ヒラギノ角ゴ Pro W3" w:hAnsi="Times New Roman"/>
                <w:color w:val="000000"/>
                <w:sz w:val="19"/>
                <w:szCs w:val="19"/>
                <w:lang w:eastAsia="en-IN"/>
              </w:rPr>
              <w:t xml:space="preserve"> and published in their annual strategic plans available online describing the targets and estimated achievement for the current year, using the same format and activity-based presentation as their annual plan, with limited financial information at aggregate level. </w:t>
            </w:r>
          </w:p>
        </w:tc>
      </w:tr>
      <w:tr w:rsidR="007518E4" w:rsidRPr="00C76C53" w14:paraId="171E7FA6"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28976D24"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8.3 Resources received by service delivery units</w:t>
            </w:r>
          </w:p>
        </w:tc>
        <w:tc>
          <w:tcPr>
            <w:tcW w:w="911" w:type="dxa"/>
            <w:gridSpan w:val="2"/>
            <w:shd w:val="clear" w:color="auto" w:fill="auto"/>
            <w:vAlign w:val="center"/>
          </w:tcPr>
          <w:p w14:paraId="5442CB67"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shd w:val="clear" w:color="auto" w:fill="auto"/>
            <w:vAlign w:val="center"/>
          </w:tcPr>
          <w:p w14:paraId="218219A4" w14:textId="77777777" w:rsidR="007518E4" w:rsidRPr="009C1D13" w:rsidRDefault="007518E4" w:rsidP="00E12685">
            <w:pPr>
              <w:spacing w:before="0"/>
              <w:ind w:left="0"/>
              <w:rPr>
                <w:rFonts w:ascii="Times New Roman" w:eastAsia="ヒラギノ角ゴ Pro W3" w:hAnsi="Times New Roman"/>
                <w:color w:val="000000"/>
                <w:sz w:val="19"/>
                <w:szCs w:val="19"/>
                <w:lang w:eastAsia="en-IN"/>
              </w:rPr>
            </w:pPr>
            <w:r w:rsidRPr="009C1D13">
              <w:rPr>
                <w:rFonts w:ascii="Times New Roman" w:eastAsia="ヒラギノ角ゴ Pro W3" w:hAnsi="Times New Roman"/>
                <w:color w:val="000000"/>
                <w:sz w:val="19"/>
                <w:szCs w:val="19"/>
                <w:lang w:eastAsia="en-IN"/>
              </w:rPr>
              <w:t>Budget classification and chart of accounts do not include cost center codes at the level of government service delivery units. Ad hoc reports can be produced at the ministry level on actual government transfers to or expenditure by service delivery units, but do not include the substantial off-budget funding of service delivery through technical revenues or donors’ funding and all fragmented sources of financing in major service functions such as health and education are not consolidated.</w:t>
            </w:r>
          </w:p>
        </w:tc>
      </w:tr>
      <w:tr w:rsidR="007518E4" w:rsidRPr="00C76C53" w14:paraId="5C56B479" w14:textId="77777777" w:rsidTr="00E502F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jc w:val="center"/>
        </w:trPr>
        <w:tc>
          <w:tcPr>
            <w:tcW w:w="2925" w:type="dxa"/>
            <w:shd w:val="clear" w:color="auto" w:fill="auto"/>
          </w:tcPr>
          <w:p w14:paraId="0813B955"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z w:val="19"/>
                <w:szCs w:val="19"/>
              </w:rPr>
              <w:t>8.4</w:t>
            </w:r>
            <w:r>
              <w:rPr>
                <w:rFonts w:ascii="Times New Roman" w:hAnsi="Times New Roman"/>
                <w:sz w:val="19"/>
                <w:szCs w:val="19"/>
              </w:rPr>
              <w:t xml:space="preserve"> </w:t>
            </w:r>
            <w:r w:rsidRPr="00C76C53">
              <w:rPr>
                <w:rFonts w:ascii="Times New Roman" w:hAnsi="Times New Roman"/>
                <w:sz w:val="19"/>
                <w:szCs w:val="19"/>
              </w:rPr>
              <w:t>Performance evaluation for service delivery</w:t>
            </w:r>
          </w:p>
        </w:tc>
        <w:tc>
          <w:tcPr>
            <w:tcW w:w="911" w:type="dxa"/>
            <w:gridSpan w:val="2"/>
            <w:shd w:val="clear" w:color="auto" w:fill="auto"/>
            <w:vAlign w:val="center"/>
          </w:tcPr>
          <w:p w14:paraId="77B9A3EE"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shd w:val="clear" w:color="auto" w:fill="auto"/>
            <w:vAlign w:val="center"/>
          </w:tcPr>
          <w:p w14:paraId="27D2C830" w14:textId="77777777" w:rsidR="007518E4" w:rsidRPr="009C1D13" w:rsidRDefault="007518E4" w:rsidP="00E12685">
            <w:pPr>
              <w:spacing w:before="0"/>
              <w:ind w:left="0"/>
              <w:rPr>
                <w:rFonts w:ascii="Times New Roman" w:hAnsi="Times New Roman"/>
                <w:sz w:val="19"/>
                <w:szCs w:val="19"/>
              </w:rPr>
            </w:pPr>
            <w:r w:rsidRPr="009C1D13">
              <w:rPr>
                <w:rFonts w:ascii="Times New Roman" w:eastAsia="ヒラギノ角ゴ Pro W3" w:hAnsi="Times New Roman"/>
                <w:color w:val="000000"/>
                <w:sz w:val="19"/>
                <w:szCs w:val="19"/>
                <w:lang w:eastAsia="en-IN"/>
              </w:rPr>
              <w:t>Several performance evaluations of service delivery in Lao PDR have been carried out in the last three years, mostly through DPs’ assistance but not necessarily published and do not systematically include evaluation of efficiency. Evaluations of effectiveness and efficiency have been carried out for a few donor-funded programs during the past 3 years in terms of performance audits and published, but not covering more than 25% of the total of service delivery ministry in the last three years.</w:t>
            </w:r>
          </w:p>
        </w:tc>
      </w:tr>
      <w:tr w:rsidR="007518E4" w:rsidRPr="00C76C53" w14:paraId="03ABB292"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05567A66" w14:textId="77777777" w:rsidR="007518E4" w:rsidRPr="00C76C53" w:rsidRDefault="007518E4" w:rsidP="00E12685">
            <w:pPr>
              <w:spacing w:before="0"/>
              <w:ind w:left="0"/>
              <w:rPr>
                <w:rFonts w:ascii="Times New Roman" w:hAnsi="Times New Roman"/>
                <w:b/>
                <w:bCs/>
                <w:sz w:val="19"/>
                <w:szCs w:val="19"/>
              </w:rPr>
            </w:pPr>
            <w:r w:rsidRPr="00C76C53">
              <w:rPr>
                <w:rFonts w:ascii="Times New Roman" w:hAnsi="Times New Roman"/>
                <w:b/>
                <w:sz w:val="19"/>
                <w:szCs w:val="19"/>
              </w:rPr>
              <w:t>PI-9 Public access to fiscal information</w:t>
            </w:r>
          </w:p>
        </w:tc>
        <w:tc>
          <w:tcPr>
            <w:tcW w:w="911" w:type="dxa"/>
            <w:gridSpan w:val="2"/>
            <w:tcBorders>
              <w:top w:val="single" w:sz="4" w:space="0" w:color="auto"/>
              <w:left w:val="nil"/>
              <w:bottom w:val="single" w:sz="4" w:space="0" w:color="auto"/>
              <w:right w:val="single" w:sz="4" w:space="0" w:color="auto"/>
            </w:tcBorders>
            <w:shd w:val="clear" w:color="auto" w:fill="auto"/>
          </w:tcPr>
          <w:p w14:paraId="61A258DE" w14:textId="4DCFA032" w:rsidR="007518E4" w:rsidRPr="00C76C53" w:rsidRDefault="00CB47ED" w:rsidP="00E12685">
            <w:pPr>
              <w:spacing w:before="0"/>
              <w:ind w:left="0"/>
              <w:jc w:val="center"/>
              <w:rPr>
                <w:rFonts w:ascii="Times New Roman" w:hAnsi="Times New Roman"/>
                <w:bCs/>
                <w:sz w:val="19"/>
                <w:szCs w:val="19"/>
              </w:rPr>
            </w:pPr>
            <w:r>
              <w:rPr>
                <w:rFonts w:ascii="Times New Roman" w:hAnsi="Times New Roman"/>
                <w:bCs/>
                <w:sz w:val="19"/>
                <w:szCs w:val="19"/>
              </w:rPr>
              <w:t>D</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2C38373C" w14:textId="77777777" w:rsidR="007518E4" w:rsidRPr="00C76C53" w:rsidRDefault="007518E4" w:rsidP="00E12685">
            <w:pPr>
              <w:spacing w:before="0"/>
              <w:ind w:left="0"/>
              <w:jc w:val="center"/>
              <w:rPr>
                <w:rFonts w:ascii="Times New Roman" w:hAnsi="Times New Roman"/>
                <w:b/>
                <w:bCs/>
                <w:sz w:val="19"/>
                <w:szCs w:val="19"/>
              </w:rPr>
            </w:pPr>
          </w:p>
        </w:tc>
      </w:tr>
      <w:tr w:rsidR="007518E4" w:rsidRPr="00C76C53" w14:paraId="1A55A8B7" w14:textId="77777777" w:rsidTr="00E502FD">
        <w:tblPrEx>
          <w:jc w:val="center"/>
        </w:tblPrEx>
        <w:trPr>
          <w:trHeight w:val="57"/>
          <w:jc w:val="center"/>
        </w:trPr>
        <w:tc>
          <w:tcPr>
            <w:tcW w:w="2925" w:type="dxa"/>
            <w:tcBorders>
              <w:top w:val="nil"/>
              <w:left w:val="single" w:sz="4" w:space="0" w:color="auto"/>
              <w:bottom w:val="single" w:sz="4" w:space="0" w:color="auto"/>
              <w:right w:val="single" w:sz="4" w:space="0" w:color="auto"/>
            </w:tcBorders>
            <w:shd w:val="clear" w:color="auto" w:fill="auto"/>
          </w:tcPr>
          <w:p w14:paraId="6CEE403C"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z w:val="19"/>
                <w:szCs w:val="19"/>
              </w:rPr>
              <w:t>9.1 Public access to fiscal information</w:t>
            </w:r>
          </w:p>
        </w:tc>
        <w:tc>
          <w:tcPr>
            <w:tcW w:w="911" w:type="dxa"/>
            <w:gridSpan w:val="2"/>
            <w:tcBorders>
              <w:top w:val="nil"/>
              <w:left w:val="nil"/>
              <w:bottom w:val="single" w:sz="4" w:space="0" w:color="auto"/>
              <w:right w:val="single" w:sz="4" w:space="0" w:color="auto"/>
            </w:tcBorders>
            <w:shd w:val="clear" w:color="auto" w:fill="auto"/>
            <w:vAlign w:val="center"/>
          </w:tcPr>
          <w:p w14:paraId="0B233CA7" w14:textId="77777777" w:rsidR="007518E4" w:rsidRPr="009C1D13" w:rsidRDefault="007518E4" w:rsidP="00E12685">
            <w:pPr>
              <w:spacing w:before="0"/>
              <w:ind w:left="0"/>
              <w:jc w:val="center"/>
              <w:rPr>
                <w:rFonts w:ascii="Times New Roman" w:hAnsi="Times New Roman"/>
                <w:sz w:val="19"/>
                <w:szCs w:val="19"/>
              </w:rPr>
            </w:pPr>
            <w:r w:rsidRPr="009C1D13">
              <w:rPr>
                <w:rFonts w:ascii="Times New Roman" w:hAnsi="Times New Roman"/>
                <w:sz w:val="19"/>
                <w:szCs w:val="19"/>
              </w:rPr>
              <w:t>D</w:t>
            </w:r>
          </w:p>
        </w:tc>
        <w:tc>
          <w:tcPr>
            <w:tcW w:w="5369" w:type="dxa"/>
            <w:tcBorders>
              <w:top w:val="nil"/>
              <w:left w:val="nil"/>
              <w:bottom w:val="single" w:sz="4" w:space="0" w:color="auto"/>
              <w:right w:val="single" w:sz="4" w:space="0" w:color="auto"/>
            </w:tcBorders>
            <w:shd w:val="clear" w:color="auto" w:fill="auto"/>
            <w:vAlign w:val="center"/>
          </w:tcPr>
          <w:p w14:paraId="61DA9A13" w14:textId="77777777" w:rsidR="007518E4" w:rsidRPr="009C1D13" w:rsidRDefault="007518E4" w:rsidP="00E12685">
            <w:pPr>
              <w:spacing w:before="0"/>
              <w:ind w:left="0"/>
              <w:rPr>
                <w:rFonts w:ascii="Times New Roman" w:hAnsi="Times New Roman"/>
                <w:sz w:val="19"/>
                <w:szCs w:val="19"/>
              </w:rPr>
            </w:pPr>
            <w:r w:rsidRPr="009C1D13">
              <w:rPr>
                <w:rFonts w:ascii="Times New Roman" w:eastAsia="ヒラギノ角ゴ Pro W3" w:hAnsi="Times New Roman"/>
                <w:color w:val="000000"/>
                <w:sz w:val="19"/>
                <w:szCs w:val="19"/>
                <w:lang w:eastAsia="en-IN"/>
              </w:rPr>
              <w:t>The government makes available two of the five basic elements only but not in a timely manner so none of the elements meet the scoring criteria.</w:t>
            </w:r>
          </w:p>
        </w:tc>
      </w:tr>
      <w:tr w:rsidR="007518E4" w:rsidRPr="00C76C53" w14:paraId="3B94D65F"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33637D7" w14:textId="77777777" w:rsidR="007518E4" w:rsidRPr="00C76C53" w:rsidRDefault="007518E4" w:rsidP="00E12685">
            <w:pPr>
              <w:spacing w:before="0"/>
              <w:ind w:left="0"/>
              <w:rPr>
                <w:rFonts w:ascii="Times New Roman" w:hAnsi="Times New Roman"/>
                <w:b/>
                <w:sz w:val="19"/>
                <w:szCs w:val="19"/>
              </w:rPr>
            </w:pPr>
            <w:r w:rsidRPr="00C76C53">
              <w:rPr>
                <w:rFonts w:ascii="Times New Roman" w:hAnsi="Times New Roman"/>
                <w:b/>
                <w:sz w:val="19"/>
                <w:szCs w:val="19"/>
              </w:rPr>
              <w:t>PI-10 Fiscal risk management</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32091843" w14:textId="66D62A54"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21F47E0F"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 scores combined by Method M2 (average)</w:t>
            </w:r>
          </w:p>
        </w:tc>
      </w:tr>
      <w:tr w:rsidR="007518E4" w:rsidRPr="00C76C53" w14:paraId="14314334"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57F0DAF1"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10.1 Monitoring of public corporations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4E0C46FC" w14:textId="4122C516" w:rsidR="007518E4" w:rsidRPr="0019670D" w:rsidRDefault="001747C3" w:rsidP="00E12685">
            <w:pPr>
              <w:spacing w:before="0"/>
              <w:ind w:left="0"/>
              <w:jc w:val="center"/>
              <w:rPr>
                <w:rFonts w:ascii="Times New Roman" w:hAnsi="Times New Roman"/>
                <w:sz w:val="19"/>
                <w:szCs w:val="19"/>
              </w:rPr>
            </w:pPr>
            <w:r>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480C1FEB" w14:textId="21682DFE" w:rsidR="007518E4" w:rsidRPr="0019670D" w:rsidRDefault="001747C3" w:rsidP="00E12685">
            <w:pPr>
              <w:spacing w:before="0"/>
              <w:ind w:left="0"/>
              <w:rPr>
                <w:rFonts w:ascii="Times New Roman" w:hAnsi="Times New Roman"/>
                <w:sz w:val="19"/>
                <w:szCs w:val="19"/>
                <w:lang w:eastAsia="en-IN"/>
              </w:rPr>
            </w:pPr>
            <w:r>
              <w:rPr>
                <w:rFonts w:ascii="Times New Roman" w:eastAsia="ヒラギノ角ゴ Pro W3" w:hAnsi="Times New Roman"/>
                <w:color w:val="000000"/>
                <w:sz w:val="19"/>
                <w:szCs w:val="19"/>
                <w:lang w:eastAsia="en-IN"/>
              </w:rPr>
              <w:t>Approximately s</w:t>
            </w:r>
            <w:r w:rsidR="007518E4" w:rsidRPr="0019670D">
              <w:rPr>
                <w:rFonts w:ascii="Times New Roman" w:eastAsia="ヒラギノ角ゴ Pro W3" w:hAnsi="Times New Roman"/>
                <w:color w:val="000000"/>
                <w:sz w:val="19"/>
                <w:szCs w:val="19"/>
                <w:lang w:eastAsia="en-IN"/>
              </w:rPr>
              <w:t xml:space="preserve">eventy percent </w:t>
            </w:r>
            <w:r>
              <w:rPr>
                <w:rFonts w:ascii="Times New Roman" w:eastAsia="ヒラギノ角ゴ Pro W3" w:hAnsi="Times New Roman"/>
                <w:color w:val="000000"/>
                <w:sz w:val="19"/>
                <w:szCs w:val="19"/>
                <w:lang w:eastAsia="en-IN"/>
              </w:rPr>
              <w:t xml:space="preserve">(in turnover) </w:t>
            </w:r>
            <w:r w:rsidR="007518E4" w:rsidRPr="0019670D">
              <w:rPr>
                <w:rFonts w:ascii="Times New Roman" w:eastAsia="ヒラギノ角ゴ Pro W3" w:hAnsi="Times New Roman"/>
                <w:color w:val="000000"/>
                <w:sz w:val="19"/>
                <w:szCs w:val="19"/>
                <w:lang w:eastAsia="en-IN"/>
              </w:rPr>
              <w:t xml:space="preserve">of </w:t>
            </w:r>
            <w:proofErr w:type="spellStart"/>
            <w:r w:rsidR="007518E4" w:rsidRPr="0019670D">
              <w:rPr>
                <w:rFonts w:ascii="Times New Roman" w:eastAsia="ヒラギノ角ゴ Pro W3" w:hAnsi="Times New Roman"/>
                <w:color w:val="000000"/>
                <w:sz w:val="19"/>
                <w:szCs w:val="19"/>
                <w:lang w:eastAsia="en-IN"/>
              </w:rPr>
              <w:t>SoEs</w:t>
            </w:r>
            <w:proofErr w:type="spellEnd"/>
            <w:r w:rsidR="007518E4" w:rsidRPr="0019670D">
              <w:rPr>
                <w:rFonts w:ascii="Times New Roman" w:eastAsia="ヒラギノ角ゴ Pro W3" w:hAnsi="Times New Roman"/>
                <w:color w:val="000000"/>
                <w:sz w:val="19"/>
                <w:szCs w:val="19"/>
                <w:lang w:eastAsia="en-IN"/>
              </w:rPr>
              <w:t xml:space="preserve"> had submitted 2017 annual financial statements and financial information to MoF within 9 months of end of the financial year, but no information is available on their audit status or their publication.  Only five listed SOEs had published audited financial statements within six months of the end of financial year as legally required.  There is no overall consolidated report. </w:t>
            </w:r>
          </w:p>
        </w:tc>
      </w:tr>
      <w:tr w:rsidR="007518E4" w:rsidRPr="00C76C53" w14:paraId="469CD006"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40EBEAA5"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10.2 Monitoring of sub-national government (SNG)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3595A418" w14:textId="77777777" w:rsidR="007518E4" w:rsidRPr="0019670D" w:rsidRDefault="00184291" w:rsidP="00E12685">
            <w:pPr>
              <w:spacing w:before="0"/>
              <w:ind w:left="0"/>
              <w:jc w:val="center"/>
              <w:rPr>
                <w:rFonts w:ascii="Times New Roman" w:hAnsi="Times New Roman"/>
                <w:sz w:val="19"/>
                <w:szCs w:val="19"/>
              </w:rPr>
            </w:pPr>
            <w:r>
              <w:rPr>
                <w:rFonts w:ascii="Times New Roman" w:hAnsi="Times New Roman"/>
                <w:sz w:val="19"/>
                <w:szCs w:val="19"/>
              </w:rPr>
              <w:t>NA</w:t>
            </w:r>
          </w:p>
        </w:tc>
        <w:tc>
          <w:tcPr>
            <w:tcW w:w="5369" w:type="dxa"/>
            <w:tcBorders>
              <w:top w:val="single" w:sz="4" w:space="0" w:color="auto"/>
              <w:left w:val="nil"/>
              <w:bottom w:val="single" w:sz="4" w:space="0" w:color="auto"/>
              <w:right w:val="single" w:sz="4" w:space="0" w:color="auto"/>
            </w:tcBorders>
            <w:shd w:val="clear" w:color="auto" w:fill="auto"/>
            <w:vAlign w:val="center"/>
          </w:tcPr>
          <w:p w14:paraId="48C4F2A0"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eastAsia="Calibri" w:hAnsi="Times New Roman"/>
                <w:color w:val="000000"/>
                <w:sz w:val="19"/>
                <w:szCs w:val="19"/>
              </w:rPr>
              <w:t>.</w:t>
            </w:r>
          </w:p>
        </w:tc>
      </w:tr>
      <w:tr w:rsidR="007518E4" w:rsidRPr="00C76C53" w14:paraId="76848646"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08E53F3D"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10.3 Contingent liabilities and other fiscal risks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DB7BE75"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6D126A4A" w14:textId="77777777" w:rsidR="007518E4" w:rsidRPr="0019670D" w:rsidRDefault="007518E4" w:rsidP="00E12685">
            <w:pPr>
              <w:spacing w:before="0"/>
              <w:ind w:left="0"/>
              <w:rPr>
                <w:rFonts w:ascii="Times New Roman" w:eastAsia="ヒラギノ角ゴ Pro W3" w:hAnsi="Times New Roman"/>
                <w:color w:val="000000"/>
                <w:sz w:val="19"/>
                <w:szCs w:val="19"/>
                <w:highlight w:val="yellow"/>
                <w:lang w:eastAsia="en-IN"/>
              </w:rPr>
            </w:pPr>
            <w:r w:rsidRPr="0019670D">
              <w:rPr>
                <w:rFonts w:ascii="Times New Roman" w:eastAsia="ヒラギノ角ゴ Pro W3" w:hAnsi="Times New Roman"/>
                <w:color w:val="000000"/>
                <w:sz w:val="19"/>
                <w:szCs w:val="19"/>
                <w:lang w:eastAsia="en-IN"/>
              </w:rPr>
              <w:t>No reporting takes place on contingent liabilities and other fiscal risks from central government’s operations.</w:t>
            </w:r>
          </w:p>
        </w:tc>
      </w:tr>
      <w:tr w:rsidR="007518E4" w:rsidRPr="00C76C53" w14:paraId="688063EE"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55203320" w14:textId="77777777" w:rsidR="007518E4" w:rsidRPr="00C76C53" w:rsidRDefault="007518E4" w:rsidP="00E12685">
            <w:pPr>
              <w:spacing w:before="0"/>
              <w:ind w:left="0"/>
              <w:rPr>
                <w:rFonts w:ascii="Times New Roman" w:hAnsi="Times New Roman"/>
                <w:b/>
                <w:sz w:val="19"/>
                <w:szCs w:val="19"/>
              </w:rPr>
            </w:pPr>
            <w:r w:rsidRPr="00C76C53">
              <w:rPr>
                <w:rFonts w:ascii="Times New Roman" w:hAnsi="Times New Roman"/>
                <w:b/>
                <w:sz w:val="19"/>
                <w:szCs w:val="19"/>
              </w:rPr>
              <w:t>PI-11 Public investment management</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4F562AAA" w14:textId="34B92225"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37AFA602"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 scores combined by Method M2 (average)</w:t>
            </w:r>
          </w:p>
        </w:tc>
      </w:tr>
      <w:tr w:rsidR="007518E4" w:rsidRPr="00C76C53" w14:paraId="533F0C29"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20868D0F"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11.1 Economic analysis of investment proposals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64DE4BFE"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3F163D6B" w14:textId="77777777" w:rsidR="007518E4" w:rsidRPr="0019670D" w:rsidRDefault="007518E4" w:rsidP="00E12685">
            <w:pPr>
              <w:spacing w:before="0"/>
              <w:ind w:left="0"/>
              <w:rPr>
                <w:rFonts w:ascii="Times New Roman" w:hAnsi="Times New Roman"/>
                <w:sz w:val="19"/>
                <w:szCs w:val="19"/>
              </w:rPr>
            </w:pPr>
            <w:r w:rsidRPr="0019670D">
              <w:rPr>
                <w:rFonts w:ascii="Times New Roman" w:eastAsia="ヒラギノ角ゴ Pro W3" w:hAnsi="Times New Roman"/>
                <w:color w:val="000000"/>
                <w:sz w:val="19"/>
                <w:szCs w:val="19"/>
                <w:lang w:eastAsia="en-IN"/>
              </w:rPr>
              <w:t xml:space="preserve">Economic analysis should in principle be included in the investment proposals submitted to MPI for review and inclusion in </w:t>
            </w:r>
            <w:r w:rsidRPr="0019670D">
              <w:rPr>
                <w:rFonts w:ascii="Times New Roman" w:eastAsia="ヒラギノ角ゴ Pro W3" w:hAnsi="Times New Roman"/>
                <w:color w:val="000000"/>
                <w:sz w:val="19"/>
                <w:szCs w:val="19"/>
                <w:lang w:eastAsia="en-IN"/>
              </w:rPr>
              <w:lastRenderedPageBreak/>
              <w:t>the State Budget but are only conducted for some major investment projects and joint investments with external financing representing at least 25 percent of the pipeline, and are not published</w:t>
            </w:r>
          </w:p>
        </w:tc>
      </w:tr>
      <w:tr w:rsidR="007518E4" w:rsidRPr="00C76C53" w14:paraId="7E08247F"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34C25604"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lastRenderedPageBreak/>
              <w:t xml:space="preserve">11.2 </w:t>
            </w:r>
            <w:r w:rsidRPr="00C76C53">
              <w:rPr>
                <w:rFonts w:ascii="Times New Roman" w:hAnsi="Times New Roman"/>
                <w:bCs/>
                <w:sz w:val="19"/>
                <w:szCs w:val="19"/>
              </w:rPr>
              <w:t>Investment project selection</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E6A981E"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7A5A875E" w14:textId="77777777" w:rsidR="007518E4" w:rsidRPr="0019670D" w:rsidRDefault="007518E4" w:rsidP="00E12685">
            <w:pPr>
              <w:spacing w:before="0"/>
              <w:ind w:left="0"/>
              <w:rPr>
                <w:rFonts w:ascii="Times New Roman" w:hAnsi="Times New Roman"/>
                <w:sz w:val="19"/>
                <w:szCs w:val="19"/>
              </w:rPr>
            </w:pPr>
            <w:r w:rsidRPr="0019670D">
              <w:rPr>
                <w:rFonts w:ascii="Times New Roman" w:eastAsia="ヒラギノ角ゴ Pro W3" w:hAnsi="Times New Roman"/>
                <w:color w:val="000000"/>
                <w:sz w:val="19"/>
                <w:szCs w:val="19"/>
                <w:lang w:eastAsia="en-IN"/>
              </w:rPr>
              <w:t>Prior to their inclusion in the budget some major investment projects are prioritized by the spending agencies and MPI PDPI Department for inclusion in the PIP and the annual budgets for NA approval</w:t>
            </w:r>
            <w:r w:rsidRPr="0019670D">
              <w:rPr>
                <w:rFonts w:ascii="Times New Roman" w:hAnsi="Times New Roman"/>
                <w:sz w:val="19"/>
                <w:szCs w:val="19"/>
              </w:rPr>
              <w:t>.</w:t>
            </w:r>
          </w:p>
        </w:tc>
      </w:tr>
      <w:tr w:rsidR="007518E4" w:rsidRPr="00C76C53" w14:paraId="1A98CEC5"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196D0603"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11.3 Investment project costing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068C6DE5"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5460A4A2"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 xml:space="preserve">Projections of the total capital cost of some of the major investment projects, together with the capital costs for the forthcoming budget year are included in the PIP attached to the budget documentation.  They do not comprehensively cover the capital and recurrent costs over the whole life of the investment. </w:t>
            </w:r>
          </w:p>
        </w:tc>
      </w:tr>
      <w:tr w:rsidR="007518E4" w:rsidRPr="00C76C53" w14:paraId="50FAAE7B"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73410EF7"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11.4 Investment project monitoring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21E80ACD"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r w:rsidR="00CC194B">
              <w:rPr>
                <w:rFonts w:ascii="Times New Roman" w:hAnsi="Times New Roman"/>
                <w:sz w:val="19"/>
                <w:szCs w:val="19"/>
              </w:rPr>
              <w:t>*</w:t>
            </w:r>
          </w:p>
        </w:tc>
        <w:tc>
          <w:tcPr>
            <w:tcW w:w="5369" w:type="dxa"/>
            <w:tcBorders>
              <w:top w:val="single" w:sz="4" w:space="0" w:color="auto"/>
              <w:left w:val="nil"/>
              <w:bottom w:val="single" w:sz="4" w:space="0" w:color="auto"/>
              <w:right w:val="single" w:sz="4" w:space="0" w:color="auto"/>
            </w:tcBorders>
            <w:shd w:val="clear" w:color="auto" w:fill="auto"/>
            <w:vAlign w:val="center"/>
          </w:tcPr>
          <w:p w14:paraId="5DF311B1"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lang w:eastAsia="en-IN"/>
              </w:rPr>
              <w:t xml:space="preserve">Full capital project costs to date can only be collected manually during the year from the implementing entities. Onsite visits are carried out jointly between the implementing entity and MPI Monitoring and Evaluation department to check on physical </w:t>
            </w:r>
            <w:proofErr w:type="gramStart"/>
            <w:r w:rsidRPr="0019670D">
              <w:rPr>
                <w:rFonts w:ascii="Times New Roman" w:hAnsi="Times New Roman"/>
                <w:sz w:val="19"/>
                <w:szCs w:val="19"/>
                <w:lang w:eastAsia="en-IN"/>
              </w:rPr>
              <w:t>progress</w:t>
            </w:r>
            <w:proofErr w:type="gramEnd"/>
            <w:r w:rsidRPr="0019670D">
              <w:rPr>
                <w:rFonts w:ascii="Times New Roman" w:hAnsi="Times New Roman"/>
                <w:sz w:val="19"/>
                <w:szCs w:val="19"/>
                <w:lang w:eastAsia="en-IN"/>
              </w:rPr>
              <w:t xml:space="preserve"> but this is only done on a sample basis. There is no database on integrated system to report and monitor in the PIP implementation and calculate deviations from the original budget envelope.</w:t>
            </w:r>
          </w:p>
        </w:tc>
      </w:tr>
      <w:tr w:rsidR="007518E4" w:rsidRPr="00C76C53" w14:paraId="27C1644B"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C049633" w14:textId="77777777" w:rsidR="007518E4" w:rsidRPr="00C76C53" w:rsidRDefault="007518E4" w:rsidP="00E12685">
            <w:pPr>
              <w:spacing w:before="0"/>
              <w:ind w:left="0"/>
              <w:rPr>
                <w:rFonts w:ascii="Times New Roman" w:hAnsi="Times New Roman"/>
                <w:b/>
                <w:sz w:val="19"/>
                <w:szCs w:val="19"/>
              </w:rPr>
            </w:pPr>
            <w:r w:rsidRPr="00C76C53">
              <w:rPr>
                <w:rFonts w:ascii="Times New Roman" w:hAnsi="Times New Roman"/>
                <w:b/>
                <w:sz w:val="19"/>
                <w:szCs w:val="19"/>
              </w:rPr>
              <w:t>PI-12 Public asset management</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703037D"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69A98788"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 scores combined by Method M2</w:t>
            </w:r>
          </w:p>
        </w:tc>
      </w:tr>
      <w:tr w:rsidR="007518E4" w:rsidRPr="00C76C53" w14:paraId="09B35C1A"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41315CB3"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12.1 Financial asset monitoring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DBE157F"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204B7424"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eastAsia="ヒラギノ角ゴ Pro W3" w:hAnsi="Times New Roman"/>
                <w:color w:val="000000"/>
                <w:sz w:val="19"/>
                <w:szCs w:val="19"/>
                <w:lang w:eastAsia="en-IN"/>
              </w:rPr>
              <w:t xml:space="preserve">Responsibility for state financial assets management including the register, monitoring and preparation of internal reports on the government portfolio is shared between the External Finance, the SOE and Treasury departments. </w:t>
            </w:r>
            <w:r w:rsidRPr="0019670D">
              <w:rPr>
                <w:rFonts w:ascii="Times New Roman" w:hAnsi="Times New Roman"/>
                <w:sz w:val="19"/>
                <w:szCs w:val="19"/>
              </w:rPr>
              <w:t>Financial assets are mainly estimated at their acquisition value, and in the case of market instruments at fair market value. There are neither consolidated records nor publication of the information but government holdings in major categories of financial assets are covered by some reporting.</w:t>
            </w:r>
          </w:p>
        </w:tc>
      </w:tr>
      <w:tr w:rsidR="007518E4" w:rsidRPr="00C76C53" w14:paraId="38480EFA"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40E10ED0"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12.2 Non-financial asset monitoring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5021257"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0B863FBE"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eastAsia="ヒラギノ角ゴ Pro W3" w:hAnsi="Times New Roman"/>
                <w:color w:val="000000"/>
                <w:sz w:val="19"/>
                <w:szCs w:val="19"/>
                <w:lang w:eastAsia="en-IN"/>
              </w:rPr>
              <w:t>Non-financial assets management is decentralized to each government entity using the assets. Major ministries (Education, Health, Public Works) maintain a manual registry with records of entries of mobile fixed assets and carry-out periodic inventories but there is no consistent methodology for the valuation of all assets.   Other records of non-financial assets are fragmented and incomplete at different level and there is neither consolidation nor publication of comprehensive information on holdings of any type of non-financial assets.</w:t>
            </w:r>
          </w:p>
        </w:tc>
      </w:tr>
      <w:tr w:rsidR="007518E4" w:rsidRPr="00C76C53" w14:paraId="12FF929E"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3F735414"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12.3 Transparency of asset disposal</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466D5324"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6B1B57AE"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Transfers and disposal of nonfinancial assets is covered by standing rules on asset disposal, but the provisions have yet to be enforced and there is no consolidated information is available on such disposals, including the information of both acquisition and disposal values.</w:t>
            </w:r>
          </w:p>
        </w:tc>
      </w:tr>
      <w:tr w:rsidR="007518E4" w:rsidRPr="00C76C53" w14:paraId="596BFB14"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1A87A28" w14:textId="77777777" w:rsidR="007518E4" w:rsidRPr="00C76C53" w:rsidRDefault="007518E4" w:rsidP="00E12685">
            <w:pPr>
              <w:spacing w:before="0"/>
              <w:ind w:left="0"/>
              <w:rPr>
                <w:rFonts w:ascii="Times New Roman" w:hAnsi="Times New Roman"/>
                <w:b/>
                <w:color w:val="211D1E"/>
                <w:sz w:val="19"/>
                <w:szCs w:val="19"/>
              </w:rPr>
            </w:pPr>
            <w:r w:rsidRPr="00C76C53">
              <w:rPr>
                <w:rFonts w:ascii="Times New Roman" w:hAnsi="Times New Roman"/>
                <w:b/>
                <w:color w:val="211D1E"/>
                <w:sz w:val="19"/>
                <w:szCs w:val="19"/>
              </w:rPr>
              <w:t xml:space="preserve">PI-13 </w:t>
            </w:r>
            <w:r w:rsidRPr="00C76C53">
              <w:rPr>
                <w:rFonts w:ascii="Times New Roman" w:eastAsiaTheme="minorEastAsia" w:hAnsi="Times New Roman"/>
                <w:b/>
                <w:sz w:val="19"/>
                <w:szCs w:val="19"/>
              </w:rPr>
              <w:t>Debt management</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67634AAA"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r>
              <w:rPr>
                <w:rFonts w:ascii="Times New Roman" w:hAnsi="Times New Roman"/>
                <w:sz w:val="19"/>
                <w:szCs w:val="19"/>
              </w:rPr>
              <w:t>+</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67343898"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Dimensions combined by Method M2</w:t>
            </w:r>
          </w:p>
        </w:tc>
      </w:tr>
      <w:tr w:rsidR="007518E4" w:rsidRPr="00C76C53" w14:paraId="570663E8"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1E8C22A2" w14:textId="77777777" w:rsidR="007518E4" w:rsidRPr="00C76C53" w:rsidRDefault="007518E4" w:rsidP="00E12685">
            <w:pPr>
              <w:pStyle w:val="BodyText"/>
              <w:spacing w:before="0"/>
              <w:ind w:left="0"/>
              <w:rPr>
                <w:rFonts w:ascii="Times New Roman" w:hAnsi="Times New Roman"/>
                <w:color w:val="211D1E"/>
                <w:sz w:val="19"/>
                <w:szCs w:val="19"/>
              </w:rPr>
            </w:pPr>
            <w:r w:rsidRPr="00C76C53">
              <w:rPr>
                <w:rFonts w:ascii="Times New Roman" w:hAnsi="Times New Roman"/>
                <w:color w:val="211D1E"/>
                <w:sz w:val="19"/>
                <w:szCs w:val="19"/>
              </w:rPr>
              <w:t xml:space="preserve">13.1 </w:t>
            </w:r>
            <w:r w:rsidRPr="00C76C53">
              <w:rPr>
                <w:rFonts w:ascii="Times New Roman" w:hAnsi="Times New Roman"/>
                <w:sz w:val="19"/>
                <w:szCs w:val="19"/>
              </w:rPr>
              <w:t>Recording and reporting of debt and guarantees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011957B4"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4446465E"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hAnsi="Times New Roman"/>
                <w:sz w:val="19"/>
                <w:szCs w:val="19"/>
              </w:rPr>
              <w:t>External debt reports are produced on a monthly and quarterly basis and shared with the FPD providing information on composition of external debt and interest rate. Domestic debt records and guarantees have been maintained and the information on obligations and repayments is only partial.  Aggregate information on debt stock and service is included in the in-year and annual budget reports to the NA.</w:t>
            </w:r>
          </w:p>
        </w:tc>
      </w:tr>
      <w:tr w:rsidR="007518E4" w:rsidRPr="00C76C53" w14:paraId="36B63A6C"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2B33A5D5" w14:textId="77777777" w:rsidR="007518E4" w:rsidRPr="00C76C53" w:rsidRDefault="007518E4" w:rsidP="00E12685">
            <w:pPr>
              <w:pStyle w:val="BodyText"/>
              <w:spacing w:before="0"/>
              <w:ind w:left="0"/>
              <w:rPr>
                <w:rFonts w:ascii="Times New Roman" w:hAnsi="Times New Roman"/>
                <w:color w:val="211D1E"/>
                <w:sz w:val="19"/>
                <w:szCs w:val="19"/>
              </w:rPr>
            </w:pPr>
            <w:r w:rsidRPr="00C76C53">
              <w:rPr>
                <w:rFonts w:ascii="Times New Roman" w:hAnsi="Times New Roman"/>
                <w:sz w:val="19"/>
                <w:szCs w:val="19"/>
              </w:rPr>
              <w:t>13.2 Approval of debt and guarantees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776D9B17"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42E3C2D5"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hAnsi="Times New Roman"/>
                <w:sz w:val="19"/>
                <w:szCs w:val="19"/>
              </w:rPr>
              <w:t xml:space="preserve">The Constitution and the SBL requires contracting and reporting on all government debt and </w:t>
            </w:r>
            <w:proofErr w:type="gramStart"/>
            <w:r w:rsidRPr="0019670D">
              <w:rPr>
                <w:rFonts w:ascii="Times New Roman" w:hAnsi="Times New Roman"/>
                <w:sz w:val="19"/>
                <w:szCs w:val="19"/>
              </w:rPr>
              <w:t>guarantees</w:t>
            </w:r>
            <w:proofErr w:type="gramEnd"/>
            <w:r w:rsidRPr="0019670D">
              <w:rPr>
                <w:rFonts w:ascii="Times New Roman" w:hAnsi="Times New Roman"/>
                <w:sz w:val="19"/>
                <w:szCs w:val="19"/>
              </w:rPr>
              <w:t xml:space="preserve"> through the Minister for Finance subject to approval by Parliament. At present the all debt-related transactions and issuance of guarantees are still under consolidation between MoF, MPI and all relevant stakeholders at central and provincial levels: Once the new Public Debt Law becomes fully operation the score for this dimension should improve.</w:t>
            </w:r>
          </w:p>
        </w:tc>
      </w:tr>
      <w:tr w:rsidR="007518E4" w:rsidRPr="00C76C53" w14:paraId="39579BCD"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07EC214C"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lastRenderedPageBreak/>
              <w:t>13.3 Debt management strategy</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08C60ED8"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31342AB8"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 xml:space="preserve">There are regular DSA reports performed jointly with IMF-WB. The Public Debt Law requires the preparation of a </w:t>
            </w:r>
            <w:proofErr w:type="gramStart"/>
            <w:r w:rsidRPr="0019670D">
              <w:rPr>
                <w:rFonts w:ascii="Times New Roman" w:eastAsia="ヒラギノ角ゴ Pro W3" w:hAnsi="Times New Roman"/>
                <w:color w:val="000000"/>
                <w:sz w:val="19"/>
                <w:szCs w:val="19"/>
                <w:lang w:eastAsia="en-IN"/>
              </w:rPr>
              <w:t>medium term</w:t>
            </w:r>
            <w:proofErr w:type="gramEnd"/>
            <w:r w:rsidRPr="0019670D">
              <w:rPr>
                <w:rFonts w:ascii="Times New Roman" w:eastAsia="ヒラギノ角ゴ Pro W3" w:hAnsi="Times New Roman"/>
                <w:color w:val="000000"/>
                <w:sz w:val="19"/>
                <w:szCs w:val="19"/>
                <w:lang w:eastAsia="en-IN"/>
              </w:rPr>
              <w:t xml:space="preserve"> debt management strategy and a report is available in draft form as an internal document.</w:t>
            </w:r>
          </w:p>
        </w:tc>
      </w:tr>
      <w:tr w:rsidR="007518E4" w:rsidRPr="00C76C53" w14:paraId="47413374"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100E1D5" w14:textId="77777777" w:rsidR="007518E4" w:rsidRPr="00C76C53" w:rsidRDefault="007518E4" w:rsidP="00E12685">
            <w:pPr>
              <w:spacing w:before="0"/>
              <w:ind w:left="0"/>
              <w:rPr>
                <w:rFonts w:ascii="Times New Roman" w:hAnsi="Times New Roman"/>
                <w:b/>
                <w:sz w:val="19"/>
                <w:szCs w:val="19"/>
              </w:rPr>
            </w:pPr>
            <w:r w:rsidRPr="00C76C53">
              <w:rPr>
                <w:rFonts w:ascii="Times New Roman" w:hAnsi="Times New Roman"/>
                <w:b/>
                <w:sz w:val="19"/>
                <w:szCs w:val="19"/>
              </w:rPr>
              <w:t xml:space="preserve">PI-14 </w:t>
            </w:r>
            <w:r w:rsidRPr="00C76C53">
              <w:rPr>
                <w:rFonts w:ascii="Times New Roman" w:eastAsiaTheme="minorEastAsia" w:hAnsi="Times New Roman"/>
                <w:b/>
                <w:sz w:val="19"/>
                <w:szCs w:val="19"/>
              </w:rPr>
              <w:t>Macroeconomic and fiscal forecasting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49E4AAD4"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647A69FE"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Dimensions combined by Method M2 (average)</w:t>
            </w:r>
          </w:p>
        </w:tc>
      </w:tr>
      <w:tr w:rsidR="007518E4" w:rsidRPr="00C76C53" w14:paraId="325E5656"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2B5FBE7C"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14.1 Macroeconomic forecasts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31B709E" w14:textId="77777777" w:rsidR="007518E4" w:rsidRPr="0019670D" w:rsidRDefault="00EC4385"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1EBC2183" w14:textId="77777777" w:rsidR="007518E4" w:rsidRPr="0019670D" w:rsidRDefault="007518E4" w:rsidP="00EC4385">
            <w:pPr>
              <w:spacing w:before="0"/>
              <w:ind w:left="0"/>
              <w:rPr>
                <w:rFonts w:ascii="Times New Roman" w:hAnsi="Times New Roman"/>
                <w:sz w:val="19"/>
                <w:szCs w:val="19"/>
                <w:lang w:eastAsia="en-IN"/>
              </w:rPr>
            </w:pPr>
            <w:r w:rsidRPr="0019670D">
              <w:rPr>
                <w:rFonts w:ascii="Times New Roman" w:eastAsia="ヒラギノ角ゴ Pro W3" w:hAnsi="Times New Roman"/>
                <w:color w:val="000000"/>
                <w:sz w:val="19"/>
                <w:szCs w:val="19"/>
                <w:lang w:eastAsia="en-IN"/>
              </w:rPr>
              <w:t>Macro-economic forecasts are prepared annually</w:t>
            </w:r>
            <w:r w:rsidR="00EC4385">
              <w:rPr>
                <w:rFonts w:ascii="Times New Roman" w:eastAsia="ヒラギノ角ゴ Pro W3" w:hAnsi="Times New Roman"/>
                <w:color w:val="000000"/>
                <w:sz w:val="19"/>
                <w:szCs w:val="19"/>
                <w:lang w:eastAsia="en-IN"/>
              </w:rPr>
              <w:t>.</w:t>
            </w:r>
          </w:p>
        </w:tc>
      </w:tr>
      <w:tr w:rsidR="007518E4" w:rsidRPr="00C76C53" w14:paraId="0ECA199D"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68230079"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14.2 Fiscal forecasts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21D61CFE" w14:textId="105C3F3F" w:rsidR="007518E4" w:rsidRPr="0019670D" w:rsidRDefault="00EC4385" w:rsidP="00E12685">
            <w:pPr>
              <w:spacing w:before="0"/>
              <w:ind w:left="0"/>
              <w:jc w:val="center"/>
              <w:rPr>
                <w:rFonts w:ascii="Times New Roman" w:hAnsi="Times New Roman"/>
                <w:sz w:val="19"/>
                <w:szCs w:val="19"/>
              </w:rPr>
            </w:pPr>
            <w:r>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2E22F97E"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hAnsi="Times New Roman"/>
                <w:sz w:val="19"/>
                <w:szCs w:val="19"/>
                <w:lang w:eastAsia="en-IN"/>
              </w:rPr>
              <w:t>The government prepared forecasts of the aggregate revenue, expenditure, budget balance and financing for the budget year and the following two years for the first time in 2016 and partially presented with the budget documentation submitted to the National Assembly. Explanation of the underlying assumptions is incomplete and there is no comparison to the previous year’s forecasts</w:t>
            </w:r>
          </w:p>
        </w:tc>
      </w:tr>
      <w:tr w:rsidR="007518E4" w:rsidRPr="00C76C53" w14:paraId="3438A356"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7A455068" w14:textId="77777777" w:rsidR="007518E4" w:rsidRPr="00C76C53" w:rsidRDefault="007518E4" w:rsidP="00E12685">
            <w:pPr>
              <w:pStyle w:val="BodyText"/>
              <w:spacing w:before="0"/>
              <w:ind w:left="0"/>
              <w:rPr>
                <w:rFonts w:ascii="Times New Roman" w:hAnsi="Times New Roman"/>
                <w:sz w:val="19"/>
                <w:szCs w:val="19"/>
              </w:rPr>
            </w:pPr>
            <w:r w:rsidRPr="00C76C53">
              <w:rPr>
                <w:rFonts w:ascii="Times New Roman" w:hAnsi="Times New Roman"/>
                <w:sz w:val="19"/>
                <w:szCs w:val="19"/>
              </w:rPr>
              <w:t>14.3 Macro-fiscal sensitivity analysis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02AA4B6"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0EFDA892"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No macro-fiscal sensitivity analysis takes place and no fiscal scenarios are available covering external risk factors. A debt sustainability analysis is prepared with IMF-WB assistance but only for external use.</w:t>
            </w:r>
          </w:p>
        </w:tc>
      </w:tr>
      <w:tr w:rsidR="007518E4" w:rsidRPr="00C76C53" w14:paraId="1731C10B"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BDED9DA" w14:textId="77777777" w:rsidR="007518E4" w:rsidRPr="00C76C53" w:rsidRDefault="007518E4" w:rsidP="00E12685">
            <w:pPr>
              <w:tabs>
                <w:tab w:val="num" w:pos="720"/>
              </w:tabs>
              <w:spacing w:before="0"/>
              <w:ind w:left="0"/>
              <w:rPr>
                <w:rFonts w:ascii="Times New Roman" w:hAnsi="Times New Roman"/>
                <w:b/>
                <w:sz w:val="19"/>
                <w:szCs w:val="19"/>
              </w:rPr>
            </w:pPr>
            <w:r w:rsidRPr="00C76C53">
              <w:rPr>
                <w:rFonts w:ascii="Times New Roman" w:hAnsi="Times New Roman"/>
                <w:b/>
                <w:sz w:val="19"/>
                <w:szCs w:val="19"/>
              </w:rPr>
              <w:t xml:space="preserve">PI-15 </w:t>
            </w:r>
            <w:r w:rsidRPr="00C76C53">
              <w:rPr>
                <w:rFonts w:ascii="Times New Roman" w:eastAsiaTheme="minorEastAsia" w:hAnsi="Times New Roman"/>
                <w:b/>
                <w:sz w:val="19"/>
                <w:szCs w:val="19"/>
              </w:rPr>
              <w:t>Fiscal strategy</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2F588891"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r>
              <w:rPr>
                <w:rFonts w:ascii="Times New Roman" w:hAnsi="Times New Roman"/>
                <w:sz w:val="19"/>
                <w:szCs w:val="19"/>
              </w:rPr>
              <w:t>+</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727BECA1"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Dimensions combined by Method M2</w:t>
            </w:r>
          </w:p>
        </w:tc>
      </w:tr>
      <w:tr w:rsidR="007518E4" w:rsidRPr="00C76C53" w14:paraId="1F3CA331"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6AC793D7" w14:textId="77777777" w:rsidR="007518E4" w:rsidRPr="00C76C53" w:rsidRDefault="007518E4" w:rsidP="00E12685">
            <w:pPr>
              <w:pStyle w:val="BodyText"/>
              <w:tabs>
                <w:tab w:val="num" w:pos="720"/>
              </w:tabs>
              <w:spacing w:before="0"/>
              <w:ind w:left="0"/>
              <w:rPr>
                <w:rFonts w:ascii="Times New Roman" w:hAnsi="Times New Roman"/>
                <w:sz w:val="19"/>
                <w:szCs w:val="19"/>
              </w:rPr>
            </w:pPr>
            <w:r w:rsidRPr="00C76C53">
              <w:rPr>
                <w:rFonts w:ascii="Times New Roman" w:hAnsi="Times New Roman"/>
                <w:sz w:val="19"/>
                <w:szCs w:val="19"/>
              </w:rPr>
              <w:t>15.1 Fiscal impact of policy proposals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057F9EF0"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0C010C2C"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eastAsia="ヒラギノ角ゴ Pro W3" w:hAnsi="Times New Roman"/>
                <w:color w:val="000000"/>
                <w:sz w:val="19"/>
                <w:szCs w:val="19"/>
                <w:lang w:eastAsia="en-IN"/>
              </w:rPr>
              <w:t>Fiscal impact of proposed revenue measures and expenditure policy is not fully costed or estimated in the budget submitted to the legislature.</w:t>
            </w:r>
          </w:p>
        </w:tc>
      </w:tr>
      <w:tr w:rsidR="007518E4" w:rsidRPr="00C76C53" w14:paraId="48298C00"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744D52E8" w14:textId="77777777" w:rsidR="007518E4" w:rsidRPr="00C76C53" w:rsidRDefault="007518E4" w:rsidP="00E12685">
            <w:pPr>
              <w:pStyle w:val="BodyText"/>
              <w:tabs>
                <w:tab w:val="num" w:pos="720"/>
              </w:tabs>
              <w:spacing w:before="0"/>
              <w:ind w:left="0"/>
              <w:rPr>
                <w:rFonts w:ascii="Times New Roman" w:hAnsi="Times New Roman"/>
                <w:sz w:val="19"/>
                <w:szCs w:val="19"/>
              </w:rPr>
            </w:pPr>
            <w:r w:rsidRPr="00C76C53">
              <w:rPr>
                <w:rFonts w:ascii="Times New Roman" w:hAnsi="Times New Roman"/>
                <w:sz w:val="19"/>
                <w:szCs w:val="19"/>
              </w:rPr>
              <w:t>15.2 Fiscal strategy adoption</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57292C1"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2774D559" w14:textId="77777777" w:rsidR="007518E4" w:rsidRPr="0019670D" w:rsidRDefault="007518E4" w:rsidP="00E12685">
            <w:pPr>
              <w:spacing w:before="0"/>
              <w:ind w:left="0"/>
              <w:rPr>
                <w:rFonts w:ascii="Times New Roman" w:hAnsi="Times New Roman"/>
                <w:sz w:val="19"/>
                <w:szCs w:val="19"/>
              </w:rPr>
            </w:pPr>
            <w:r w:rsidRPr="0019670D">
              <w:rPr>
                <w:rFonts w:ascii="Times New Roman" w:eastAsia="ヒラギノ角ゴ Pro W3" w:hAnsi="Times New Roman"/>
                <w:color w:val="000000"/>
                <w:sz w:val="19"/>
                <w:szCs w:val="19"/>
                <w:lang w:eastAsia="en-IN"/>
              </w:rPr>
              <w:t>The government presents a fiscal strategy of qualitative objectives for the forthcoming budget year, which is presented to the National Assembly. Quantitative fiscal targets were adopted by the government internally as part of the PFDS but are neither set in law nor submitted to the National Assembly</w:t>
            </w:r>
            <w:r w:rsidRPr="0019670D">
              <w:rPr>
                <w:rFonts w:ascii="Times New Roman" w:hAnsi="Times New Roman"/>
                <w:sz w:val="19"/>
                <w:szCs w:val="19"/>
                <w:lang w:eastAsia="en-IN"/>
              </w:rPr>
              <w:t>.</w:t>
            </w:r>
          </w:p>
        </w:tc>
      </w:tr>
      <w:tr w:rsidR="007518E4" w:rsidRPr="00C76C53" w14:paraId="55D27B28"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7CECBF94" w14:textId="77777777" w:rsidR="007518E4" w:rsidRPr="00C76C53" w:rsidRDefault="007518E4" w:rsidP="00E12685">
            <w:pPr>
              <w:pStyle w:val="BodyText"/>
              <w:tabs>
                <w:tab w:val="num" w:pos="720"/>
              </w:tabs>
              <w:spacing w:before="0"/>
              <w:ind w:left="0"/>
              <w:rPr>
                <w:rFonts w:ascii="Times New Roman" w:hAnsi="Times New Roman"/>
                <w:sz w:val="19"/>
                <w:szCs w:val="19"/>
              </w:rPr>
            </w:pPr>
            <w:r w:rsidRPr="00C76C53">
              <w:rPr>
                <w:rFonts w:ascii="Times New Roman" w:hAnsi="Times New Roman"/>
                <w:sz w:val="19"/>
                <w:szCs w:val="19"/>
              </w:rPr>
              <w:t>15.3. Reporting on fiscal outcomes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217E79F8"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0C19D379"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The government prepares an internal report on progress towards broad fiscal targets but there is no systematic reporting against quantitative and qualitative targets based on implementation of specific fiscal policies.</w:t>
            </w:r>
          </w:p>
        </w:tc>
      </w:tr>
      <w:tr w:rsidR="007518E4" w:rsidRPr="00C76C53" w14:paraId="1DEE410C"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06CBA233" w14:textId="77777777" w:rsidR="007518E4" w:rsidRPr="00C76C53" w:rsidRDefault="007518E4" w:rsidP="00E12685">
            <w:pPr>
              <w:tabs>
                <w:tab w:val="num" w:pos="720"/>
              </w:tabs>
              <w:spacing w:before="0"/>
              <w:ind w:left="0"/>
              <w:rPr>
                <w:rFonts w:ascii="Times New Roman" w:hAnsi="Times New Roman"/>
                <w:b/>
                <w:sz w:val="19"/>
                <w:szCs w:val="19"/>
              </w:rPr>
            </w:pPr>
            <w:r w:rsidRPr="00C76C53">
              <w:rPr>
                <w:rFonts w:ascii="Times New Roman" w:hAnsi="Times New Roman"/>
                <w:b/>
                <w:sz w:val="19"/>
                <w:szCs w:val="19"/>
              </w:rPr>
              <w:t xml:space="preserve">PI-16 </w:t>
            </w:r>
            <w:r w:rsidRPr="00C76C53">
              <w:rPr>
                <w:rFonts w:ascii="Times New Roman" w:eastAsiaTheme="minorEastAsia" w:hAnsi="Times New Roman"/>
                <w:b/>
                <w:sz w:val="19"/>
                <w:szCs w:val="19"/>
              </w:rPr>
              <w:t>Medium term perspective in expenditure budgeting</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4D1A2AE2" w14:textId="77777777" w:rsidR="007518E4" w:rsidRPr="0019670D" w:rsidRDefault="007518E4" w:rsidP="00E12685">
            <w:pPr>
              <w:spacing w:before="0"/>
              <w:ind w:left="0"/>
              <w:jc w:val="center"/>
              <w:rPr>
                <w:rFonts w:ascii="Times New Roman" w:hAnsi="Times New Roman"/>
                <w:sz w:val="19"/>
                <w:szCs w:val="19"/>
              </w:rPr>
            </w:pPr>
            <w:r>
              <w:rPr>
                <w:rFonts w:ascii="Times New Roman" w:hAnsi="Times New Roman"/>
                <w:sz w:val="19"/>
                <w:szCs w:val="19"/>
              </w:rPr>
              <w:t>D</w:t>
            </w:r>
            <w:r w:rsidR="00F15491">
              <w:rPr>
                <w:rFonts w:ascii="Times New Roman" w:hAnsi="Times New Roman"/>
                <w:sz w:val="19"/>
                <w:szCs w:val="19"/>
              </w:rPr>
              <w:t>+</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7FEC0E51"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Dimensions combined by Method M2 (average)</w:t>
            </w:r>
          </w:p>
        </w:tc>
      </w:tr>
      <w:tr w:rsidR="007518E4" w:rsidRPr="00C76C53" w14:paraId="1C6D0C27"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58423A81" w14:textId="77777777" w:rsidR="007518E4" w:rsidRPr="00C76C53" w:rsidRDefault="007518E4" w:rsidP="00E12685">
            <w:pPr>
              <w:pStyle w:val="BodyText"/>
              <w:widowControl w:val="0"/>
              <w:tabs>
                <w:tab w:val="num" w:pos="720"/>
                <w:tab w:val="left" w:pos="960"/>
              </w:tabs>
              <w:spacing w:before="0"/>
              <w:ind w:left="0"/>
              <w:rPr>
                <w:rFonts w:ascii="Times New Roman" w:hAnsi="Times New Roman"/>
                <w:b/>
                <w:bCs/>
                <w:sz w:val="19"/>
                <w:szCs w:val="19"/>
              </w:rPr>
            </w:pPr>
            <w:r w:rsidRPr="00C76C53">
              <w:rPr>
                <w:rFonts w:ascii="Times New Roman" w:hAnsi="Times New Roman"/>
                <w:sz w:val="19"/>
                <w:szCs w:val="19"/>
              </w:rPr>
              <w:t xml:space="preserve">16.1 </w:t>
            </w:r>
            <w:r w:rsidRPr="00C76C53">
              <w:rPr>
                <w:rFonts w:ascii="Times New Roman" w:hAnsi="Times New Roman"/>
                <w:spacing w:val="-1"/>
                <w:sz w:val="19"/>
                <w:szCs w:val="19"/>
              </w:rPr>
              <w:t>Medium-term expenditure estimates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7FCB5C33" w14:textId="77777777" w:rsidR="007518E4" w:rsidRPr="0019670D" w:rsidRDefault="00F15491"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379CFB9A"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eastAsia="ヒラギノ角ゴ Pro W3" w:hAnsi="Times New Roman"/>
                <w:color w:val="000000"/>
                <w:sz w:val="19"/>
                <w:szCs w:val="19"/>
                <w:lang w:eastAsia="en-IN"/>
              </w:rPr>
              <w:t xml:space="preserve">While </w:t>
            </w:r>
            <w:r w:rsidRPr="0019670D">
              <w:rPr>
                <w:rFonts w:ascii="Times New Roman" w:hAnsi="Times New Roman"/>
                <w:sz w:val="19"/>
                <w:szCs w:val="19"/>
              </w:rPr>
              <w:t xml:space="preserve">detailed estimates by economic classification at 4-digit level are available within the State Budget Plan for the current budget year, </w:t>
            </w:r>
            <w:r w:rsidRPr="0019670D">
              <w:rPr>
                <w:rFonts w:ascii="Times New Roman" w:eastAsia="ヒラギノ角ゴ Pro W3" w:hAnsi="Times New Roman"/>
                <w:color w:val="000000"/>
                <w:sz w:val="19"/>
                <w:szCs w:val="19"/>
                <w:lang w:eastAsia="en-IN"/>
              </w:rPr>
              <w:t xml:space="preserve">aggregate estimates of expenditure are presented for the </w:t>
            </w:r>
            <w:proofErr w:type="gramStart"/>
            <w:r w:rsidRPr="0019670D">
              <w:rPr>
                <w:rFonts w:ascii="Times New Roman" w:eastAsia="ヒラギノ角ゴ Pro W3" w:hAnsi="Times New Roman"/>
                <w:color w:val="000000"/>
                <w:sz w:val="19"/>
                <w:szCs w:val="19"/>
                <w:lang w:eastAsia="en-IN"/>
              </w:rPr>
              <w:t>two following</w:t>
            </w:r>
            <w:proofErr w:type="gramEnd"/>
            <w:r w:rsidRPr="0019670D">
              <w:rPr>
                <w:rFonts w:ascii="Times New Roman" w:eastAsia="ヒラギノ角ゴ Pro W3" w:hAnsi="Times New Roman"/>
                <w:color w:val="000000"/>
                <w:sz w:val="19"/>
                <w:szCs w:val="19"/>
                <w:lang w:eastAsia="en-IN"/>
              </w:rPr>
              <w:t xml:space="preserve"> year</w:t>
            </w:r>
            <w:r w:rsidR="00F15491">
              <w:rPr>
                <w:rFonts w:ascii="Times New Roman" w:eastAsia="ヒラギノ角ゴ Pro W3" w:hAnsi="Times New Roman"/>
                <w:color w:val="000000"/>
                <w:sz w:val="19"/>
                <w:szCs w:val="19"/>
                <w:lang w:eastAsia="en-IN"/>
              </w:rPr>
              <w:t xml:space="preserve"> at the 2 digit level</w:t>
            </w:r>
            <w:r w:rsidRPr="0019670D">
              <w:rPr>
                <w:rFonts w:ascii="Times New Roman" w:eastAsia="ヒラギノ角ゴ Pro W3" w:hAnsi="Times New Roman"/>
                <w:color w:val="000000"/>
                <w:sz w:val="19"/>
                <w:szCs w:val="19"/>
                <w:lang w:eastAsia="en-IN"/>
              </w:rPr>
              <w:t>s</w:t>
            </w:r>
            <w:r w:rsidRPr="0019670D">
              <w:rPr>
                <w:rFonts w:ascii="Times New Roman" w:hAnsi="Times New Roman"/>
                <w:sz w:val="19"/>
                <w:szCs w:val="19"/>
                <w:lang w:eastAsia="en-IN"/>
              </w:rPr>
              <w:t>.</w:t>
            </w:r>
          </w:p>
        </w:tc>
      </w:tr>
      <w:tr w:rsidR="007518E4" w:rsidRPr="00C76C53" w14:paraId="5222EA07"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1E77F967" w14:textId="77777777" w:rsidR="007518E4" w:rsidRPr="00C76C53" w:rsidRDefault="007518E4" w:rsidP="00E12685">
            <w:pPr>
              <w:pStyle w:val="BodyText"/>
              <w:widowControl w:val="0"/>
              <w:tabs>
                <w:tab w:val="num" w:pos="720"/>
                <w:tab w:val="left" w:pos="961"/>
              </w:tabs>
              <w:spacing w:before="0"/>
              <w:ind w:left="0"/>
              <w:rPr>
                <w:rFonts w:ascii="Times New Roman" w:hAnsi="Times New Roman"/>
                <w:b/>
                <w:bCs/>
                <w:sz w:val="19"/>
                <w:szCs w:val="19"/>
              </w:rPr>
            </w:pPr>
            <w:r w:rsidRPr="00C76C53">
              <w:rPr>
                <w:rFonts w:ascii="Times New Roman" w:hAnsi="Times New Roman"/>
                <w:sz w:val="19"/>
                <w:szCs w:val="19"/>
              </w:rPr>
              <w:t xml:space="preserve">16.2 </w:t>
            </w:r>
            <w:r w:rsidRPr="00C76C53">
              <w:rPr>
                <w:rFonts w:ascii="Times New Roman" w:hAnsi="Times New Roman"/>
                <w:spacing w:val="-1"/>
                <w:sz w:val="19"/>
                <w:szCs w:val="19"/>
              </w:rPr>
              <w:t>Medium-term expenditure ceilings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7BA7B7F6"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6C494682"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hAnsi="Times New Roman"/>
                <w:sz w:val="19"/>
                <w:szCs w:val="19"/>
                <w:lang w:eastAsia="en-IN"/>
              </w:rPr>
              <w:t>The 2018 Budget circular from MoF indicates the aggregate expenditure ceiling prepared based on the MTBF prepared by the government (or 5-year budget plan revised every year) and endorsed by the NA.</w:t>
            </w:r>
          </w:p>
        </w:tc>
      </w:tr>
      <w:tr w:rsidR="007518E4" w:rsidRPr="00C76C53" w14:paraId="27D32EA9"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2078F1AD" w14:textId="77777777" w:rsidR="007518E4" w:rsidRPr="00C76C53" w:rsidRDefault="007518E4" w:rsidP="00E12685">
            <w:pPr>
              <w:pStyle w:val="BodyText"/>
              <w:widowControl w:val="0"/>
              <w:tabs>
                <w:tab w:val="num" w:pos="720"/>
                <w:tab w:val="left" w:pos="960"/>
              </w:tabs>
              <w:spacing w:before="0"/>
              <w:ind w:left="0"/>
              <w:rPr>
                <w:rFonts w:ascii="Times New Roman" w:hAnsi="Times New Roman"/>
                <w:b/>
                <w:bCs/>
                <w:sz w:val="19"/>
                <w:szCs w:val="19"/>
              </w:rPr>
            </w:pPr>
            <w:r w:rsidRPr="00C76C53">
              <w:rPr>
                <w:rFonts w:ascii="Times New Roman" w:hAnsi="Times New Roman"/>
                <w:sz w:val="19"/>
                <w:szCs w:val="19"/>
              </w:rPr>
              <w:t xml:space="preserve">16.3 </w:t>
            </w:r>
            <w:r w:rsidRPr="00C76C53">
              <w:rPr>
                <w:rFonts w:ascii="Times New Roman" w:hAnsi="Times New Roman"/>
                <w:spacing w:val="-1"/>
                <w:sz w:val="19"/>
                <w:szCs w:val="19"/>
              </w:rPr>
              <w:t>Alignment of strategic plans and medium-term budgets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ADC393C"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4D8CA643"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 xml:space="preserve">Medium-term strategic plans are prepared for each sector of the NSEDP at least for ministries representing at least more than 75 percent of budgeted expenditure.  </w:t>
            </w:r>
            <w:proofErr w:type="gramStart"/>
            <w:r w:rsidRPr="0019670D">
              <w:rPr>
                <w:rFonts w:ascii="Times New Roman" w:eastAsia="ヒラギノ角ゴ Pro W3" w:hAnsi="Times New Roman"/>
                <w:color w:val="000000"/>
                <w:sz w:val="19"/>
                <w:szCs w:val="19"/>
                <w:lang w:eastAsia="en-IN"/>
              </w:rPr>
              <w:t>However</w:t>
            </w:r>
            <w:proofErr w:type="gramEnd"/>
            <w:r w:rsidRPr="0019670D">
              <w:rPr>
                <w:rFonts w:ascii="Times New Roman" w:eastAsia="ヒラギノ角ゴ Pro W3" w:hAnsi="Times New Roman"/>
                <w:color w:val="000000"/>
                <w:sz w:val="19"/>
                <w:szCs w:val="19"/>
                <w:lang w:eastAsia="en-IN"/>
              </w:rPr>
              <w:t xml:space="preserve"> the costing is not systematic across all ministries and medium-term budget projections from MoF are not drawing directly on expenditure policy proposals from these sector plans.</w:t>
            </w:r>
          </w:p>
        </w:tc>
      </w:tr>
      <w:tr w:rsidR="007518E4" w:rsidRPr="00C76C53" w14:paraId="122EFDA7"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6BB1C675" w14:textId="77777777" w:rsidR="007518E4" w:rsidRPr="00C76C53" w:rsidRDefault="007518E4" w:rsidP="00E12685">
            <w:pPr>
              <w:pStyle w:val="BodyText"/>
              <w:widowControl w:val="0"/>
              <w:tabs>
                <w:tab w:val="num" w:pos="720"/>
                <w:tab w:val="left" w:pos="960"/>
              </w:tabs>
              <w:spacing w:before="0"/>
              <w:ind w:left="0"/>
              <w:rPr>
                <w:rFonts w:ascii="Times New Roman" w:hAnsi="Times New Roman"/>
                <w:sz w:val="19"/>
                <w:szCs w:val="19"/>
                <w:highlight w:val="yellow"/>
              </w:rPr>
            </w:pPr>
            <w:r w:rsidRPr="00C76C53">
              <w:rPr>
                <w:rFonts w:ascii="Times New Roman" w:hAnsi="Times New Roman"/>
                <w:sz w:val="19"/>
                <w:szCs w:val="19"/>
              </w:rPr>
              <w:t>16.4 Consistency of budgets with previous year estimates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E177822"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05686D1F"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Budget documents do not provide any explanations of changes to the updated medium-term expenditure estimates compared to the previous year’s estimates.</w:t>
            </w:r>
          </w:p>
        </w:tc>
      </w:tr>
      <w:tr w:rsidR="007518E4" w:rsidRPr="00C76C53" w14:paraId="47F078AB"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2FC5BCC5" w14:textId="77777777" w:rsidR="007518E4" w:rsidRPr="00C76C53" w:rsidRDefault="007518E4" w:rsidP="00E12685">
            <w:pPr>
              <w:tabs>
                <w:tab w:val="num" w:pos="720"/>
              </w:tabs>
              <w:spacing w:before="0"/>
              <w:ind w:left="0"/>
              <w:rPr>
                <w:rFonts w:ascii="Times New Roman" w:hAnsi="Times New Roman"/>
                <w:b/>
                <w:sz w:val="19"/>
                <w:szCs w:val="19"/>
              </w:rPr>
            </w:pPr>
            <w:r w:rsidRPr="00C76C53">
              <w:rPr>
                <w:rFonts w:ascii="Times New Roman" w:hAnsi="Times New Roman"/>
                <w:b/>
                <w:sz w:val="19"/>
                <w:szCs w:val="19"/>
              </w:rPr>
              <w:t xml:space="preserve">PI-17 </w:t>
            </w:r>
            <w:r w:rsidRPr="00C76C53">
              <w:rPr>
                <w:rFonts w:ascii="Times New Roman" w:eastAsiaTheme="minorEastAsia" w:hAnsi="Times New Roman"/>
                <w:b/>
                <w:sz w:val="19"/>
                <w:szCs w:val="19"/>
              </w:rPr>
              <w:t>Budget preparation process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4FE7A7E2"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05206C89" w14:textId="77777777" w:rsidR="007518E4" w:rsidRPr="0019670D" w:rsidRDefault="007518E4" w:rsidP="00E12685">
            <w:pPr>
              <w:spacing w:before="0"/>
              <w:ind w:left="0"/>
              <w:rPr>
                <w:rFonts w:ascii="Times New Roman" w:hAnsi="Times New Roman"/>
                <w:sz w:val="19"/>
                <w:szCs w:val="19"/>
              </w:rPr>
            </w:pPr>
            <w:r w:rsidRPr="0019670D">
              <w:rPr>
                <w:rFonts w:ascii="Times New Roman" w:hAnsi="Times New Roman"/>
                <w:sz w:val="19"/>
                <w:szCs w:val="19"/>
              </w:rPr>
              <w:t>Dimensions combined by Method M2 (average).</w:t>
            </w:r>
          </w:p>
        </w:tc>
      </w:tr>
      <w:tr w:rsidR="007518E4" w:rsidRPr="00C76C53" w14:paraId="08EFFE25"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6F521B19" w14:textId="77777777" w:rsidR="007518E4" w:rsidRPr="00C76C53" w:rsidRDefault="007518E4" w:rsidP="00E12685">
            <w:pPr>
              <w:pStyle w:val="BodyText"/>
              <w:widowControl w:val="0"/>
              <w:tabs>
                <w:tab w:val="num" w:pos="720"/>
                <w:tab w:val="left" w:pos="960"/>
              </w:tabs>
              <w:spacing w:before="0"/>
              <w:ind w:left="0"/>
              <w:rPr>
                <w:rFonts w:ascii="Times New Roman" w:hAnsi="Times New Roman"/>
                <w:bCs/>
                <w:sz w:val="19"/>
                <w:szCs w:val="19"/>
              </w:rPr>
            </w:pPr>
            <w:r w:rsidRPr="00C76C53">
              <w:rPr>
                <w:rFonts w:ascii="Times New Roman" w:hAnsi="Times New Roman"/>
                <w:sz w:val="19"/>
                <w:szCs w:val="19"/>
              </w:rPr>
              <w:t>17.1 Budget calendar</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3BE68C43"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C</w:t>
            </w:r>
          </w:p>
        </w:tc>
        <w:tc>
          <w:tcPr>
            <w:tcW w:w="5369" w:type="dxa"/>
            <w:tcBorders>
              <w:top w:val="single" w:sz="4" w:space="0" w:color="auto"/>
              <w:left w:val="nil"/>
              <w:bottom w:val="single" w:sz="4" w:space="0" w:color="auto"/>
              <w:right w:val="single" w:sz="4" w:space="0" w:color="auto"/>
            </w:tcBorders>
            <w:shd w:val="clear" w:color="auto" w:fill="auto"/>
            <w:vAlign w:val="center"/>
          </w:tcPr>
          <w:p w14:paraId="169FBBB0"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hAnsi="Times New Roman"/>
                <w:sz w:val="19"/>
                <w:szCs w:val="19"/>
                <w:lang w:eastAsia="en-IN"/>
              </w:rPr>
              <w:t xml:space="preserve">A formal budget calendar exists with </w:t>
            </w:r>
            <w:r w:rsidRPr="0019670D">
              <w:rPr>
                <w:rFonts w:ascii="Times New Roman" w:eastAsia="ヒラギノ角ゴ Pro W3" w:hAnsi="Times New Roman"/>
                <w:color w:val="000000"/>
                <w:sz w:val="19"/>
                <w:szCs w:val="19"/>
                <w:lang w:eastAsia="en-IN"/>
              </w:rPr>
              <w:t xml:space="preserve">steps that are generally adhered to.  </w:t>
            </w:r>
            <w:proofErr w:type="gramStart"/>
            <w:r w:rsidRPr="0019670D">
              <w:rPr>
                <w:rFonts w:ascii="Times New Roman" w:eastAsia="ヒラギノ角ゴ Pro W3" w:hAnsi="Times New Roman"/>
                <w:color w:val="000000"/>
                <w:sz w:val="19"/>
                <w:szCs w:val="19"/>
                <w:lang w:eastAsia="en-IN"/>
              </w:rPr>
              <w:t>However</w:t>
            </w:r>
            <w:proofErr w:type="gramEnd"/>
            <w:r w:rsidRPr="0019670D">
              <w:rPr>
                <w:rFonts w:ascii="Times New Roman" w:eastAsia="ヒラギノ角ゴ Pro W3" w:hAnsi="Times New Roman"/>
                <w:color w:val="000000"/>
                <w:sz w:val="19"/>
                <w:szCs w:val="19"/>
                <w:lang w:eastAsia="en-IN"/>
              </w:rPr>
              <w:t xml:space="preserve"> in practice spending units have around two weeks to prepare their budget proposals and estimates after receipt of the budget instructions and respective ceiling</w:t>
            </w:r>
          </w:p>
        </w:tc>
      </w:tr>
      <w:tr w:rsidR="007518E4" w:rsidRPr="00C76C53" w14:paraId="75AEF934"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79F5958C" w14:textId="77777777" w:rsidR="007518E4" w:rsidRPr="00C76C53" w:rsidRDefault="007518E4" w:rsidP="00E12685">
            <w:pPr>
              <w:pStyle w:val="BodyText"/>
              <w:widowControl w:val="0"/>
              <w:tabs>
                <w:tab w:val="num" w:pos="720"/>
                <w:tab w:val="left" w:pos="961"/>
              </w:tabs>
              <w:spacing w:before="0"/>
              <w:ind w:left="0"/>
              <w:rPr>
                <w:rFonts w:ascii="Times New Roman" w:hAnsi="Times New Roman"/>
                <w:bCs/>
                <w:sz w:val="19"/>
                <w:szCs w:val="19"/>
              </w:rPr>
            </w:pPr>
            <w:r w:rsidRPr="00C76C53">
              <w:rPr>
                <w:rFonts w:ascii="Times New Roman" w:hAnsi="Times New Roman"/>
                <w:sz w:val="19"/>
                <w:szCs w:val="19"/>
              </w:rPr>
              <w:t>17.2 Guidance on budget preparation</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D772055"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3E203C1D" w14:textId="77777777" w:rsidR="007518E4" w:rsidRPr="0019670D" w:rsidRDefault="007518E4" w:rsidP="00E12685">
            <w:pPr>
              <w:spacing w:before="0"/>
              <w:ind w:left="0"/>
              <w:rPr>
                <w:rFonts w:ascii="Times New Roman" w:hAnsi="Times New Roman"/>
                <w:sz w:val="19"/>
                <w:szCs w:val="19"/>
                <w:lang w:eastAsia="en-IN"/>
              </w:rPr>
            </w:pPr>
            <w:r w:rsidRPr="0019670D">
              <w:rPr>
                <w:rFonts w:ascii="Times New Roman" w:hAnsi="Times New Roman"/>
                <w:sz w:val="19"/>
                <w:szCs w:val="19"/>
                <w:lang w:eastAsia="en-IN"/>
              </w:rPr>
              <w:t xml:space="preserve">A general budget circular (MoF) and set of instructions (MPI) are circulated to all spending units with general description of the budget formulation context and instructions for specific expenditure categories, including capital and current expenditures. </w:t>
            </w:r>
            <w:r w:rsidRPr="0019670D">
              <w:rPr>
                <w:rFonts w:ascii="Times New Roman" w:hAnsi="Times New Roman"/>
                <w:sz w:val="19"/>
                <w:szCs w:val="19"/>
                <w:lang w:eastAsia="en-IN"/>
              </w:rPr>
              <w:lastRenderedPageBreak/>
              <w:t>Individual notifications with final ceilings to each ministry are circulated only after the initial budget submission to NA with proposed aggregate expenditure and revenue plans, as approved by the Minister for Finance.</w:t>
            </w:r>
          </w:p>
        </w:tc>
      </w:tr>
      <w:tr w:rsidR="007518E4" w:rsidRPr="00C76C53" w14:paraId="3D76F881"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549B2378" w14:textId="77777777" w:rsidR="007518E4" w:rsidRPr="00C76C53" w:rsidRDefault="007518E4" w:rsidP="00E12685">
            <w:pPr>
              <w:pStyle w:val="BodyText"/>
              <w:widowControl w:val="0"/>
              <w:tabs>
                <w:tab w:val="num" w:pos="720"/>
                <w:tab w:val="left" w:pos="960"/>
              </w:tabs>
              <w:spacing w:before="0"/>
              <w:ind w:left="0"/>
              <w:rPr>
                <w:rFonts w:ascii="Times New Roman" w:hAnsi="Times New Roman"/>
                <w:bCs/>
                <w:sz w:val="19"/>
                <w:szCs w:val="19"/>
              </w:rPr>
            </w:pPr>
            <w:r w:rsidRPr="00C76C53">
              <w:rPr>
                <w:rFonts w:ascii="Times New Roman" w:hAnsi="Times New Roman"/>
                <w:sz w:val="19"/>
                <w:szCs w:val="19"/>
              </w:rPr>
              <w:lastRenderedPageBreak/>
              <w:t>17.3 Budget submission to the legislature</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EAC9BDE" w14:textId="77777777" w:rsidR="007518E4" w:rsidRPr="0019670D" w:rsidRDefault="007518E4" w:rsidP="00E12685">
            <w:pPr>
              <w:spacing w:before="0"/>
              <w:ind w:left="0"/>
              <w:jc w:val="center"/>
              <w:rPr>
                <w:rFonts w:ascii="Times New Roman" w:hAnsi="Times New Roman"/>
                <w:sz w:val="19"/>
                <w:szCs w:val="19"/>
              </w:rPr>
            </w:pPr>
            <w:r w:rsidRPr="0019670D">
              <w:rPr>
                <w:rFonts w:ascii="Times New Roman" w:hAnsi="Times New Roman"/>
                <w:sz w:val="19"/>
                <w:szCs w:val="19"/>
              </w:rPr>
              <w:t>A</w:t>
            </w:r>
          </w:p>
        </w:tc>
        <w:tc>
          <w:tcPr>
            <w:tcW w:w="5369" w:type="dxa"/>
            <w:tcBorders>
              <w:top w:val="single" w:sz="4" w:space="0" w:color="auto"/>
              <w:left w:val="nil"/>
              <w:bottom w:val="single" w:sz="4" w:space="0" w:color="auto"/>
              <w:right w:val="single" w:sz="4" w:space="0" w:color="auto"/>
            </w:tcBorders>
            <w:shd w:val="clear" w:color="auto" w:fill="auto"/>
            <w:vAlign w:val="center"/>
          </w:tcPr>
          <w:p w14:paraId="1EE4755B" w14:textId="77777777" w:rsidR="007518E4" w:rsidRPr="0019670D" w:rsidRDefault="007518E4" w:rsidP="00E12685">
            <w:pPr>
              <w:spacing w:before="0"/>
              <w:ind w:left="0"/>
              <w:rPr>
                <w:rFonts w:ascii="Times New Roman" w:eastAsia="ヒラギノ角ゴ Pro W3" w:hAnsi="Times New Roman"/>
                <w:color w:val="000000"/>
                <w:sz w:val="19"/>
                <w:szCs w:val="19"/>
                <w:lang w:eastAsia="en-IN"/>
              </w:rPr>
            </w:pPr>
            <w:r w:rsidRPr="0019670D">
              <w:rPr>
                <w:rFonts w:ascii="Times New Roman" w:eastAsia="ヒラギノ角ゴ Pro W3" w:hAnsi="Times New Roman"/>
                <w:color w:val="000000"/>
                <w:sz w:val="19"/>
                <w:szCs w:val="19"/>
                <w:lang w:eastAsia="en-IN"/>
              </w:rPr>
              <w:t>MoF has, on behalf of the government– in each of the last three years - presented the annual budget proposals to the National Assembly at least 8 weeks before the start of the fiscal year.</w:t>
            </w:r>
          </w:p>
        </w:tc>
      </w:tr>
      <w:tr w:rsidR="007518E4" w:rsidRPr="00C76C53" w14:paraId="11248EE8"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18283B8A" w14:textId="77777777" w:rsidR="007518E4" w:rsidRPr="00C76C53" w:rsidRDefault="007518E4" w:rsidP="00E12685">
            <w:pPr>
              <w:tabs>
                <w:tab w:val="num" w:pos="720"/>
              </w:tabs>
              <w:spacing w:before="0"/>
              <w:ind w:left="0"/>
              <w:rPr>
                <w:rFonts w:ascii="Times New Roman" w:hAnsi="Times New Roman"/>
                <w:b/>
                <w:sz w:val="19"/>
                <w:szCs w:val="19"/>
              </w:rPr>
            </w:pPr>
            <w:r w:rsidRPr="00C76C53">
              <w:rPr>
                <w:rFonts w:ascii="Times New Roman" w:hAnsi="Times New Roman"/>
                <w:b/>
                <w:color w:val="000000"/>
                <w:sz w:val="19"/>
                <w:szCs w:val="19"/>
              </w:rPr>
              <w:t xml:space="preserve">PI-18 </w:t>
            </w:r>
            <w:r w:rsidRPr="00C76C53">
              <w:rPr>
                <w:rFonts w:ascii="Times New Roman" w:eastAsiaTheme="minorEastAsia" w:hAnsi="Times New Roman"/>
                <w:b/>
                <w:sz w:val="19"/>
                <w:szCs w:val="19"/>
              </w:rPr>
              <w:t>Legislative scrutiny of budgets</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A80EC55" w14:textId="77777777" w:rsidR="007518E4" w:rsidRPr="004130EB" w:rsidRDefault="00107AF7" w:rsidP="00E12685">
            <w:pPr>
              <w:spacing w:before="0"/>
              <w:ind w:left="0"/>
              <w:jc w:val="center"/>
              <w:rPr>
                <w:rFonts w:ascii="Times New Roman" w:hAnsi="Times New Roman"/>
                <w:b/>
                <w:sz w:val="19"/>
                <w:szCs w:val="19"/>
              </w:rPr>
            </w:pPr>
            <w:r>
              <w:rPr>
                <w:rFonts w:ascii="Times New Roman" w:hAnsi="Times New Roman"/>
                <w:b/>
                <w:sz w:val="19"/>
                <w:szCs w:val="19"/>
              </w:rPr>
              <w:t>D</w:t>
            </w:r>
            <w:r w:rsidR="007518E4" w:rsidRPr="004130EB">
              <w:rPr>
                <w:rFonts w:ascii="Times New Roman" w:hAnsi="Times New Roman"/>
                <w:b/>
                <w:sz w:val="19"/>
                <w:szCs w:val="19"/>
              </w:rPr>
              <w:t>+</w:t>
            </w:r>
          </w:p>
        </w:tc>
        <w:tc>
          <w:tcPr>
            <w:tcW w:w="5369" w:type="dxa"/>
            <w:tcBorders>
              <w:top w:val="single" w:sz="4" w:space="0" w:color="auto"/>
              <w:left w:val="nil"/>
              <w:bottom w:val="single" w:sz="4" w:space="0" w:color="auto"/>
              <w:right w:val="single" w:sz="4" w:space="0" w:color="auto"/>
            </w:tcBorders>
            <w:shd w:val="clear" w:color="auto" w:fill="CCECFF"/>
            <w:vAlign w:val="center"/>
          </w:tcPr>
          <w:p w14:paraId="1EF7527F" w14:textId="77777777" w:rsidR="007518E4" w:rsidRPr="004130EB" w:rsidRDefault="007518E4" w:rsidP="00E12685">
            <w:pPr>
              <w:spacing w:before="0"/>
              <w:ind w:left="0"/>
              <w:rPr>
                <w:rFonts w:ascii="Times New Roman" w:hAnsi="Times New Roman"/>
                <w:sz w:val="19"/>
                <w:szCs w:val="19"/>
              </w:rPr>
            </w:pPr>
            <w:r w:rsidRPr="004130EB">
              <w:rPr>
                <w:rFonts w:ascii="Times New Roman" w:hAnsi="Times New Roman"/>
                <w:sz w:val="19"/>
                <w:szCs w:val="19"/>
              </w:rPr>
              <w:t>Dimensions combined by Method M1 (weakest link)</w:t>
            </w:r>
          </w:p>
        </w:tc>
      </w:tr>
      <w:tr w:rsidR="007518E4" w:rsidRPr="00C76C53" w14:paraId="40EFE0A1"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428B19AC" w14:textId="77777777" w:rsidR="007518E4" w:rsidRPr="00C76C53" w:rsidRDefault="007518E4" w:rsidP="00E12685">
            <w:pPr>
              <w:pStyle w:val="BodyText"/>
              <w:widowControl w:val="0"/>
              <w:tabs>
                <w:tab w:val="num" w:pos="720"/>
                <w:tab w:val="left" w:pos="960"/>
              </w:tabs>
              <w:spacing w:before="0"/>
              <w:ind w:left="0"/>
              <w:rPr>
                <w:rFonts w:ascii="Times New Roman" w:hAnsi="Times New Roman"/>
                <w:b/>
                <w:bCs/>
                <w:sz w:val="19"/>
                <w:szCs w:val="19"/>
              </w:rPr>
            </w:pPr>
            <w:r w:rsidRPr="00C76C53">
              <w:rPr>
                <w:rFonts w:ascii="Times New Roman" w:hAnsi="Times New Roman"/>
                <w:sz w:val="19"/>
                <w:szCs w:val="19"/>
              </w:rPr>
              <w:t>18.1 Scope of budget scrutiny</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6D64A895" w14:textId="77777777" w:rsidR="007518E4" w:rsidRPr="004130EB" w:rsidRDefault="007518E4" w:rsidP="00E12685">
            <w:pPr>
              <w:spacing w:before="0"/>
              <w:ind w:left="0"/>
              <w:jc w:val="center"/>
              <w:rPr>
                <w:rFonts w:ascii="Times New Roman" w:hAnsi="Times New Roman"/>
                <w:sz w:val="19"/>
                <w:szCs w:val="19"/>
              </w:rPr>
            </w:pPr>
            <w:r w:rsidRPr="004130EB">
              <w:rPr>
                <w:rFonts w:ascii="Times New Roman" w:hAnsi="Times New Roman"/>
                <w:sz w:val="19"/>
                <w:szCs w:val="19"/>
              </w:rPr>
              <w:t>D</w:t>
            </w:r>
          </w:p>
        </w:tc>
        <w:tc>
          <w:tcPr>
            <w:tcW w:w="5369" w:type="dxa"/>
            <w:tcBorders>
              <w:top w:val="single" w:sz="4" w:space="0" w:color="auto"/>
              <w:left w:val="nil"/>
              <w:bottom w:val="single" w:sz="4" w:space="0" w:color="auto"/>
              <w:right w:val="single" w:sz="4" w:space="0" w:color="auto"/>
            </w:tcBorders>
            <w:shd w:val="clear" w:color="auto" w:fill="auto"/>
            <w:vAlign w:val="center"/>
          </w:tcPr>
          <w:p w14:paraId="49A458CF" w14:textId="77777777" w:rsidR="007518E4" w:rsidRPr="004130EB" w:rsidRDefault="007518E4" w:rsidP="00E12685">
            <w:pPr>
              <w:spacing w:before="0"/>
              <w:ind w:left="0"/>
              <w:rPr>
                <w:rFonts w:ascii="Times New Roman" w:hAnsi="Times New Roman"/>
                <w:sz w:val="19"/>
                <w:szCs w:val="19"/>
                <w:lang w:eastAsia="en-IN"/>
              </w:rPr>
            </w:pPr>
            <w:r w:rsidRPr="004130EB">
              <w:rPr>
                <w:rFonts w:ascii="Times New Roman" w:hAnsi="Times New Roman"/>
                <w:sz w:val="19"/>
                <w:szCs w:val="19"/>
                <w:lang w:eastAsia="en-IN"/>
              </w:rPr>
              <w:t>The National Assembly reviews but not fiscal policies and aggregate fiscal forecasts but not the details of revenue and expenditure plans.</w:t>
            </w:r>
          </w:p>
        </w:tc>
      </w:tr>
      <w:tr w:rsidR="007518E4" w:rsidRPr="00C76C53" w14:paraId="4A539318"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4D895BC0" w14:textId="77777777" w:rsidR="007518E4" w:rsidRPr="00C76C53" w:rsidRDefault="007518E4" w:rsidP="00E12685">
            <w:pPr>
              <w:pStyle w:val="BodyText"/>
              <w:widowControl w:val="0"/>
              <w:tabs>
                <w:tab w:val="num" w:pos="720"/>
                <w:tab w:val="left" w:pos="961"/>
              </w:tabs>
              <w:spacing w:before="0"/>
              <w:ind w:left="0"/>
              <w:rPr>
                <w:rFonts w:ascii="Times New Roman" w:hAnsi="Times New Roman"/>
                <w:b/>
                <w:bCs/>
                <w:sz w:val="19"/>
                <w:szCs w:val="19"/>
              </w:rPr>
            </w:pPr>
            <w:r w:rsidRPr="00C76C53">
              <w:rPr>
                <w:rFonts w:ascii="Times New Roman" w:hAnsi="Times New Roman"/>
                <w:sz w:val="19"/>
                <w:szCs w:val="19"/>
              </w:rPr>
              <w:t>18.2 Legislative procedures for budget scrutiny</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2991B7BB" w14:textId="77777777" w:rsidR="007518E4" w:rsidRPr="004130EB" w:rsidRDefault="00107AF7" w:rsidP="00E12685">
            <w:pPr>
              <w:spacing w:before="0"/>
              <w:ind w:left="0"/>
              <w:jc w:val="center"/>
              <w:rPr>
                <w:rFonts w:ascii="Times New Roman" w:hAnsi="Times New Roman"/>
                <w:sz w:val="19"/>
                <w:szCs w:val="19"/>
              </w:rPr>
            </w:pPr>
            <w:r>
              <w:rPr>
                <w:rFonts w:ascii="Times New Roman" w:hAnsi="Times New Roman"/>
                <w:sz w:val="19"/>
                <w:szCs w:val="19"/>
              </w:rPr>
              <w:t>B</w:t>
            </w:r>
          </w:p>
        </w:tc>
        <w:tc>
          <w:tcPr>
            <w:tcW w:w="5369" w:type="dxa"/>
            <w:tcBorders>
              <w:top w:val="single" w:sz="4" w:space="0" w:color="auto"/>
              <w:left w:val="nil"/>
              <w:bottom w:val="single" w:sz="4" w:space="0" w:color="auto"/>
              <w:right w:val="single" w:sz="4" w:space="0" w:color="auto"/>
            </w:tcBorders>
            <w:shd w:val="clear" w:color="auto" w:fill="auto"/>
            <w:vAlign w:val="center"/>
          </w:tcPr>
          <w:p w14:paraId="564258C0" w14:textId="77777777" w:rsidR="007518E4" w:rsidRPr="004130EB" w:rsidRDefault="007518E4" w:rsidP="00E12685">
            <w:pPr>
              <w:spacing w:before="0"/>
              <w:ind w:left="0"/>
              <w:rPr>
                <w:rFonts w:ascii="Times New Roman" w:hAnsi="Times New Roman"/>
                <w:sz w:val="19"/>
                <w:szCs w:val="19"/>
                <w:lang w:eastAsia="en-IN"/>
              </w:rPr>
            </w:pPr>
            <w:r w:rsidRPr="004130EB">
              <w:rPr>
                <w:rFonts w:ascii="Times New Roman" w:hAnsi="Times New Roman"/>
                <w:sz w:val="19"/>
                <w:szCs w:val="19"/>
                <w:lang w:eastAsia="en-IN"/>
              </w:rPr>
              <w:t>The National Assembly has well established procedures for scrutiny of the budget, which are adhered to. The procedures include (limited) negotiation procedures, technical support to committees, consultations with civil society and access for the media to attend consultations.</w:t>
            </w:r>
          </w:p>
        </w:tc>
      </w:tr>
      <w:tr w:rsidR="007518E4" w:rsidRPr="00C76C53" w14:paraId="493E6ED7"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033ED54A" w14:textId="77777777" w:rsidR="007518E4" w:rsidRPr="00C76C53" w:rsidRDefault="007518E4" w:rsidP="00E12685">
            <w:pPr>
              <w:pStyle w:val="BodyText"/>
              <w:widowControl w:val="0"/>
              <w:tabs>
                <w:tab w:val="num" w:pos="720"/>
                <w:tab w:val="left" w:pos="960"/>
              </w:tabs>
              <w:spacing w:before="0"/>
              <w:ind w:left="0"/>
              <w:rPr>
                <w:rFonts w:ascii="Times New Roman" w:hAnsi="Times New Roman"/>
                <w:b/>
                <w:bCs/>
                <w:sz w:val="19"/>
                <w:szCs w:val="19"/>
              </w:rPr>
            </w:pPr>
            <w:r w:rsidRPr="00C76C53">
              <w:rPr>
                <w:rFonts w:ascii="Times New Roman" w:hAnsi="Times New Roman"/>
                <w:sz w:val="19"/>
                <w:szCs w:val="19"/>
              </w:rPr>
              <w:t>18.3 Timing of budget approval</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1C893BFF" w14:textId="77777777" w:rsidR="007518E4" w:rsidRPr="004130EB" w:rsidRDefault="007518E4" w:rsidP="00E12685">
            <w:pPr>
              <w:spacing w:before="0"/>
              <w:ind w:left="0"/>
              <w:jc w:val="center"/>
              <w:rPr>
                <w:rFonts w:ascii="Times New Roman" w:hAnsi="Times New Roman"/>
                <w:sz w:val="19"/>
                <w:szCs w:val="19"/>
              </w:rPr>
            </w:pPr>
            <w:r w:rsidRPr="004130EB">
              <w:rPr>
                <w:rFonts w:ascii="Times New Roman" w:hAnsi="Times New Roman"/>
                <w:sz w:val="19"/>
                <w:szCs w:val="19"/>
              </w:rPr>
              <w:t>A</w:t>
            </w:r>
          </w:p>
        </w:tc>
        <w:tc>
          <w:tcPr>
            <w:tcW w:w="5369" w:type="dxa"/>
            <w:tcBorders>
              <w:top w:val="single" w:sz="4" w:space="0" w:color="auto"/>
              <w:left w:val="nil"/>
              <w:bottom w:val="single" w:sz="4" w:space="0" w:color="auto"/>
              <w:right w:val="single" w:sz="4" w:space="0" w:color="auto"/>
            </w:tcBorders>
            <w:shd w:val="clear" w:color="auto" w:fill="auto"/>
            <w:vAlign w:val="center"/>
          </w:tcPr>
          <w:p w14:paraId="57CF5D62" w14:textId="77777777" w:rsidR="007518E4" w:rsidRPr="004130EB" w:rsidRDefault="007518E4" w:rsidP="00E12685">
            <w:pPr>
              <w:spacing w:before="0"/>
              <w:ind w:left="0"/>
              <w:rPr>
                <w:rFonts w:ascii="Times New Roman" w:eastAsia="ヒラギノ角ゴ Pro W3" w:hAnsi="Times New Roman"/>
                <w:color w:val="000000"/>
                <w:sz w:val="19"/>
                <w:szCs w:val="19"/>
                <w:lang w:eastAsia="en-IN"/>
              </w:rPr>
            </w:pPr>
            <w:r w:rsidRPr="004130EB">
              <w:rPr>
                <w:rFonts w:ascii="Times New Roman" w:eastAsia="ヒラギノ角ゴ Pro W3" w:hAnsi="Times New Roman"/>
                <w:color w:val="000000"/>
                <w:sz w:val="19"/>
                <w:szCs w:val="19"/>
                <w:lang w:eastAsia="en-IN"/>
              </w:rPr>
              <w:t>The National Assembly has – in each of the last three years - approved the annual budget before the start of the fiscal year</w:t>
            </w:r>
          </w:p>
        </w:tc>
      </w:tr>
      <w:tr w:rsidR="007518E4" w:rsidRPr="00C76C53" w14:paraId="6E1FECCC" w14:textId="77777777" w:rsidTr="00E502FD">
        <w:tblPrEx>
          <w:jc w:val="center"/>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auto"/>
          </w:tcPr>
          <w:p w14:paraId="7B2EF9B4" w14:textId="77777777" w:rsidR="007518E4" w:rsidRPr="00C76C53" w:rsidRDefault="007518E4" w:rsidP="00E12685">
            <w:pPr>
              <w:pStyle w:val="BodyText"/>
              <w:widowControl w:val="0"/>
              <w:tabs>
                <w:tab w:val="num" w:pos="720"/>
                <w:tab w:val="left" w:pos="960"/>
              </w:tabs>
              <w:spacing w:before="0"/>
              <w:ind w:left="0"/>
              <w:rPr>
                <w:rFonts w:ascii="Times New Roman" w:hAnsi="Times New Roman"/>
                <w:sz w:val="19"/>
                <w:szCs w:val="19"/>
              </w:rPr>
            </w:pPr>
            <w:r w:rsidRPr="00C76C53">
              <w:rPr>
                <w:rFonts w:ascii="Times New Roman" w:hAnsi="Times New Roman"/>
                <w:spacing w:val="-1"/>
                <w:sz w:val="19"/>
                <w:szCs w:val="19"/>
              </w:rPr>
              <w:t xml:space="preserve">18.4 </w:t>
            </w:r>
            <w:r w:rsidRPr="00C76C53">
              <w:rPr>
                <w:rFonts w:ascii="Times New Roman" w:hAnsi="Times New Roman"/>
                <w:sz w:val="19"/>
                <w:szCs w:val="19"/>
              </w:rPr>
              <w:t>Rules for budget adjustments by the executive</w:t>
            </w:r>
          </w:p>
        </w:tc>
        <w:tc>
          <w:tcPr>
            <w:tcW w:w="911" w:type="dxa"/>
            <w:gridSpan w:val="2"/>
            <w:tcBorders>
              <w:top w:val="single" w:sz="4" w:space="0" w:color="auto"/>
              <w:left w:val="nil"/>
              <w:bottom w:val="single" w:sz="4" w:space="0" w:color="auto"/>
              <w:right w:val="single" w:sz="4" w:space="0" w:color="auto"/>
            </w:tcBorders>
            <w:shd w:val="clear" w:color="auto" w:fill="auto"/>
            <w:vAlign w:val="center"/>
          </w:tcPr>
          <w:p w14:paraId="542E7928" w14:textId="77777777" w:rsidR="007518E4" w:rsidRPr="004130EB" w:rsidRDefault="007518E4" w:rsidP="00E12685">
            <w:pPr>
              <w:spacing w:before="0"/>
              <w:ind w:left="0"/>
              <w:jc w:val="center"/>
              <w:rPr>
                <w:rFonts w:ascii="Times New Roman" w:hAnsi="Times New Roman"/>
                <w:sz w:val="19"/>
                <w:szCs w:val="19"/>
              </w:rPr>
            </w:pPr>
            <w:r w:rsidRPr="004130EB">
              <w:rPr>
                <w:rFonts w:ascii="Times New Roman" w:hAnsi="Times New Roman"/>
                <w:sz w:val="19"/>
                <w:szCs w:val="19"/>
              </w:rPr>
              <w:t>B</w:t>
            </w:r>
          </w:p>
        </w:tc>
        <w:tc>
          <w:tcPr>
            <w:tcW w:w="5369" w:type="dxa"/>
            <w:tcBorders>
              <w:top w:val="single" w:sz="4" w:space="0" w:color="auto"/>
              <w:left w:val="nil"/>
              <w:bottom w:val="single" w:sz="4" w:space="0" w:color="auto"/>
              <w:right w:val="single" w:sz="4" w:space="0" w:color="auto"/>
            </w:tcBorders>
            <w:shd w:val="clear" w:color="auto" w:fill="auto"/>
            <w:vAlign w:val="center"/>
          </w:tcPr>
          <w:p w14:paraId="15EADCA9" w14:textId="77777777" w:rsidR="007518E4" w:rsidRPr="004130EB" w:rsidRDefault="007518E4" w:rsidP="00E12685">
            <w:pPr>
              <w:spacing w:before="0"/>
              <w:ind w:left="0"/>
              <w:rPr>
                <w:rFonts w:ascii="Times New Roman" w:eastAsia="ヒラギノ角ゴ Pro W3" w:hAnsi="Times New Roman"/>
                <w:color w:val="000000"/>
                <w:sz w:val="19"/>
                <w:szCs w:val="19"/>
                <w:lang w:eastAsia="en-IN"/>
              </w:rPr>
            </w:pPr>
            <w:r w:rsidRPr="004130EB">
              <w:rPr>
                <w:rFonts w:ascii="Times New Roman" w:eastAsia="ヒラギノ角ゴ Pro W3" w:hAnsi="Times New Roman"/>
                <w:color w:val="000000"/>
                <w:sz w:val="19"/>
                <w:szCs w:val="19"/>
                <w:lang w:eastAsia="en-IN"/>
              </w:rPr>
              <w:t>Clear rules for in-year budget reallocations by the executive are set out in the State Budget Law and mostly adhered to.  A revised budget is presented to the NA during the first session of the year and the SBL grants the executive with substantial powers of reallocation within the overall aggregate of original and adjusted appropriations.</w:t>
            </w:r>
          </w:p>
        </w:tc>
      </w:tr>
      <w:tr w:rsidR="007518E4" w:rsidRPr="00C76C53" w14:paraId="6BE394C2"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59CC5128" w14:textId="77777777" w:rsidR="007518E4" w:rsidRPr="0046537D" w:rsidRDefault="007518E4" w:rsidP="00E12685">
            <w:pPr>
              <w:spacing w:before="0"/>
              <w:ind w:left="0"/>
              <w:jc w:val="left"/>
              <w:rPr>
                <w:rFonts w:ascii="Times New Roman" w:hAnsi="Times New Roman"/>
                <w:b/>
                <w:sz w:val="19"/>
                <w:szCs w:val="19"/>
              </w:rPr>
            </w:pPr>
            <w:r w:rsidRPr="0046537D">
              <w:rPr>
                <w:rFonts w:ascii="Times New Roman" w:hAnsi="Times New Roman"/>
                <w:b/>
                <w:bCs/>
                <w:sz w:val="19"/>
                <w:szCs w:val="19"/>
              </w:rPr>
              <w:t xml:space="preserve">PI-19 Revenue Administration </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E525FE6" w14:textId="3D5FBA1C" w:rsidR="007518E4" w:rsidRPr="0046537D" w:rsidRDefault="007518E4" w:rsidP="00E12685">
            <w:pPr>
              <w:spacing w:before="0"/>
              <w:ind w:left="0"/>
              <w:jc w:val="center"/>
              <w:rPr>
                <w:rFonts w:ascii="Times New Roman" w:hAnsi="Times New Roman"/>
                <w:sz w:val="19"/>
                <w:szCs w:val="19"/>
              </w:rPr>
            </w:pPr>
            <w:r w:rsidRPr="0046537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0935B168" w14:textId="77777777" w:rsidR="007518E4" w:rsidRPr="0046537D" w:rsidRDefault="007518E4" w:rsidP="00E12685">
            <w:pPr>
              <w:spacing w:before="0"/>
              <w:ind w:left="0"/>
              <w:rPr>
                <w:rFonts w:ascii="Times New Roman" w:hAnsi="Times New Roman"/>
                <w:sz w:val="19"/>
                <w:szCs w:val="19"/>
              </w:rPr>
            </w:pPr>
            <w:r w:rsidRPr="0046537D">
              <w:rPr>
                <w:rFonts w:ascii="Times New Roman" w:hAnsi="Times New Roman"/>
                <w:sz w:val="19"/>
                <w:szCs w:val="19"/>
              </w:rPr>
              <w:t>Dimensions combined by Method M2 (average)</w:t>
            </w:r>
          </w:p>
        </w:tc>
      </w:tr>
      <w:tr w:rsidR="007518E4" w:rsidRPr="00C76C53" w14:paraId="37D288FC"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14CEB63D" w14:textId="77777777" w:rsidR="007518E4" w:rsidRPr="0046537D" w:rsidRDefault="007518E4" w:rsidP="00E12685">
            <w:pPr>
              <w:autoSpaceDE w:val="0"/>
              <w:autoSpaceDN w:val="0"/>
              <w:adjustRightInd w:val="0"/>
              <w:spacing w:before="0"/>
              <w:ind w:left="0"/>
              <w:jc w:val="left"/>
              <w:rPr>
                <w:rFonts w:ascii="Times New Roman" w:hAnsi="Times New Roman"/>
                <w:color w:val="000000"/>
                <w:sz w:val="19"/>
                <w:szCs w:val="19"/>
              </w:rPr>
            </w:pPr>
            <w:r w:rsidRPr="0046537D">
              <w:rPr>
                <w:rFonts w:ascii="Times New Roman" w:hAnsi="Times New Roman"/>
                <w:color w:val="000000"/>
                <w:sz w:val="19"/>
                <w:szCs w:val="19"/>
              </w:rPr>
              <w:t>19.1 Rights and obligation for revenue measures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931FB08" w14:textId="1C73A7C1" w:rsidR="007518E4" w:rsidRPr="0046537D" w:rsidRDefault="008D2590" w:rsidP="00E12685">
            <w:pPr>
              <w:spacing w:before="0"/>
              <w:ind w:left="0"/>
              <w:jc w:val="center"/>
              <w:rPr>
                <w:rFonts w:ascii="Times New Roman" w:hAnsi="Times New Roman"/>
                <w:sz w:val="19"/>
                <w:szCs w:val="19"/>
              </w:rPr>
            </w:pPr>
            <w:r>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6D783693" w14:textId="77777777" w:rsidR="007518E4" w:rsidRPr="0046537D" w:rsidRDefault="007518E4" w:rsidP="00E12685">
            <w:pPr>
              <w:spacing w:before="0"/>
              <w:ind w:left="0"/>
              <w:rPr>
                <w:rFonts w:ascii="Times New Roman" w:eastAsia="Calibri" w:hAnsi="Times New Roman"/>
                <w:color w:val="000000"/>
                <w:sz w:val="19"/>
                <w:szCs w:val="19"/>
              </w:rPr>
            </w:pPr>
            <w:r w:rsidRPr="0046537D">
              <w:rPr>
                <w:rFonts w:ascii="Times New Roman" w:eastAsia="Calibri" w:hAnsi="Times New Roman"/>
                <w:color w:val="000000"/>
                <w:sz w:val="19"/>
                <w:szCs w:val="19"/>
              </w:rPr>
              <w:t xml:space="preserve">General information is available on the TD and Customs department websites and some taxpayer education activities are taking place to promote and update information on tax obligations to the </w:t>
            </w:r>
            <w:proofErr w:type="gramStart"/>
            <w:r w:rsidRPr="0046537D">
              <w:rPr>
                <w:rFonts w:ascii="Times New Roman" w:eastAsia="Calibri" w:hAnsi="Times New Roman"/>
                <w:color w:val="000000"/>
                <w:sz w:val="19"/>
                <w:szCs w:val="19"/>
              </w:rPr>
              <w:t>general public</w:t>
            </w:r>
            <w:proofErr w:type="gramEnd"/>
            <w:r w:rsidRPr="0046537D">
              <w:rPr>
                <w:rFonts w:ascii="Times New Roman" w:eastAsia="Calibri" w:hAnsi="Times New Roman"/>
                <w:color w:val="000000"/>
                <w:sz w:val="19"/>
                <w:szCs w:val="19"/>
              </w:rPr>
              <w:t>, but there is significant scope for improving the access to information on the tax regulatory framework. The regime of tax exemptions described in the legal framework is very extensive and creates scope and opportunities for discretionary decisions.</w:t>
            </w:r>
          </w:p>
        </w:tc>
      </w:tr>
      <w:tr w:rsidR="007518E4" w:rsidRPr="00C76C53" w14:paraId="1C19D07D"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22DDEE76" w14:textId="77777777" w:rsidR="007518E4" w:rsidRPr="0046537D" w:rsidRDefault="007518E4" w:rsidP="00E12685">
            <w:pPr>
              <w:autoSpaceDE w:val="0"/>
              <w:autoSpaceDN w:val="0"/>
              <w:adjustRightInd w:val="0"/>
              <w:spacing w:before="0"/>
              <w:ind w:left="0"/>
              <w:jc w:val="left"/>
              <w:rPr>
                <w:rFonts w:ascii="Times New Roman" w:hAnsi="Times New Roman"/>
                <w:color w:val="000000"/>
                <w:sz w:val="19"/>
                <w:szCs w:val="19"/>
              </w:rPr>
            </w:pPr>
            <w:r w:rsidRPr="0046537D">
              <w:rPr>
                <w:rFonts w:ascii="Times New Roman" w:hAnsi="Times New Roman"/>
                <w:color w:val="000000"/>
                <w:sz w:val="19"/>
                <w:szCs w:val="19"/>
              </w:rPr>
              <w:t xml:space="preserve">19.2 Revenue risk management </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711E036" w14:textId="77777777" w:rsidR="007518E4" w:rsidRPr="0046537D" w:rsidRDefault="007518E4" w:rsidP="00E12685">
            <w:pPr>
              <w:spacing w:before="0"/>
              <w:ind w:left="0"/>
              <w:jc w:val="center"/>
              <w:rPr>
                <w:rFonts w:ascii="Times New Roman" w:hAnsi="Times New Roman"/>
                <w:sz w:val="19"/>
                <w:szCs w:val="19"/>
              </w:rPr>
            </w:pPr>
            <w:r w:rsidRPr="0046537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tcPr>
          <w:p w14:paraId="43D34C10" w14:textId="77777777" w:rsidR="007518E4" w:rsidRPr="0046537D" w:rsidRDefault="007518E4" w:rsidP="00E12685">
            <w:pPr>
              <w:spacing w:before="0"/>
              <w:ind w:left="0"/>
              <w:rPr>
                <w:rFonts w:ascii="Times New Roman" w:eastAsia="Calibri" w:hAnsi="Times New Roman"/>
                <w:color w:val="000000"/>
                <w:sz w:val="19"/>
                <w:szCs w:val="19"/>
              </w:rPr>
            </w:pPr>
            <w:r w:rsidRPr="0046537D">
              <w:rPr>
                <w:rFonts w:ascii="Times New Roman" w:eastAsia="Calibri" w:hAnsi="Times New Roman"/>
                <w:color w:val="000000"/>
                <w:sz w:val="19"/>
                <w:szCs w:val="19"/>
              </w:rPr>
              <w:t xml:space="preserve">There is a Tax Identification Number system in place.  The Tax Department, collecting more than 50% of revenues – does not yet have a system in place to prioritize and assesses compliance risks by revenue categories.  It does track some 500 large taxpayers to improve collection rate for registered taxpayers.  There is no comprehensive risk management approach to compliance linking all the tax components (registration, filing, payment and refund) and no data available to measure or assess tax compliance.  Customs Department currently carried out physical inspection of all imports.  There are legal sanctions for </w:t>
            </w:r>
            <w:proofErr w:type="spellStart"/>
            <w:proofErr w:type="gramStart"/>
            <w:r w:rsidRPr="0046537D">
              <w:rPr>
                <w:rFonts w:ascii="Times New Roman" w:eastAsia="Calibri" w:hAnsi="Times New Roman"/>
                <w:color w:val="000000"/>
                <w:sz w:val="19"/>
                <w:szCs w:val="19"/>
              </w:rPr>
              <w:t>Non compliance</w:t>
            </w:r>
            <w:proofErr w:type="spellEnd"/>
            <w:proofErr w:type="gramEnd"/>
            <w:r w:rsidRPr="0046537D">
              <w:rPr>
                <w:rFonts w:ascii="Times New Roman" w:eastAsia="Calibri" w:hAnsi="Times New Roman"/>
                <w:color w:val="000000"/>
                <w:sz w:val="19"/>
                <w:szCs w:val="19"/>
              </w:rPr>
              <w:t>.</w:t>
            </w:r>
          </w:p>
        </w:tc>
      </w:tr>
      <w:tr w:rsidR="007518E4" w:rsidRPr="00C76C53" w14:paraId="0D937923"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5601A9C"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eastAsia="Arial" w:hAnsi="Times New Roman"/>
                <w:bCs/>
                <w:color w:val="000000"/>
                <w:sz w:val="19"/>
                <w:szCs w:val="19"/>
                <w:lang w:eastAsia="ar-SA"/>
              </w:rPr>
            </w:pPr>
            <w:r w:rsidRPr="00C76C53">
              <w:rPr>
                <w:rFonts w:ascii="Times New Roman" w:hAnsi="Times New Roman"/>
                <w:sz w:val="19"/>
                <w:szCs w:val="19"/>
              </w:rPr>
              <w:t>19.3 Revenue audit and investigation</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2E9AC49" w14:textId="77777777" w:rsidR="007518E4" w:rsidRPr="0036589A" w:rsidRDefault="007518E4" w:rsidP="00E12685">
            <w:pPr>
              <w:spacing w:before="0"/>
              <w:ind w:left="0"/>
              <w:jc w:val="center"/>
              <w:rPr>
                <w:rFonts w:ascii="Times New Roman" w:hAnsi="Times New Roman"/>
                <w:sz w:val="19"/>
                <w:szCs w:val="19"/>
              </w:rPr>
            </w:pPr>
            <w:r>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tcPr>
          <w:p w14:paraId="09834FA7" w14:textId="77777777" w:rsidR="007518E4" w:rsidRPr="0036589A" w:rsidRDefault="007518E4" w:rsidP="00E12685">
            <w:pPr>
              <w:spacing w:before="0"/>
              <w:ind w:left="0"/>
              <w:rPr>
                <w:rFonts w:ascii="Times New Roman" w:eastAsia="Calibri" w:hAnsi="Times New Roman"/>
                <w:color w:val="000000"/>
                <w:sz w:val="19"/>
                <w:szCs w:val="19"/>
              </w:rPr>
            </w:pPr>
            <w:r w:rsidRPr="0036589A">
              <w:rPr>
                <w:rFonts w:ascii="Times New Roman" w:eastAsia="Calibri" w:hAnsi="Times New Roman"/>
                <w:color w:val="000000"/>
                <w:sz w:val="19"/>
                <w:szCs w:val="19"/>
              </w:rPr>
              <w:t xml:space="preserve">While the audit process at both the Tax Department and Customs Department is currently being modernized to incorporate a focused </w:t>
            </w:r>
            <w:proofErr w:type="gramStart"/>
            <w:r w:rsidRPr="0036589A">
              <w:rPr>
                <w:rFonts w:ascii="Times New Roman" w:eastAsia="Calibri" w:hAnsi="Times New Roman"/>
                <w:color w:val="000000"/>
                <w:sz w:val="19"/>
                <w:szCs w:val="19"/>
              </w:rPr>
              <w:t>risk based</w:t>
            </w:r>
            <w:proofErr w:type="gramEnd"/>
            <w:r w:rsidRPr="0036589A">
              <w:rPr>
                <w:rFonts w:ascii="Times New Roman" w:eastAsia="Calibri" w:hAnsi="Times New Roman"/>
                <w:color w:val="000000"/>
                <w:sz w:val="19"/>
                <w:szCs w:val="19"/>
              </w:rPr>
              <w:t xml:space="preserve"> selection process, there is an audit process in place that is based on a plan and these are implemented fully.  </w:t>
            </w:r>
          </w:p>
        </w:tc>
      </w:tr>
      <w:tr w:rsidR="007518E4" w:rsidRPr="00C76C53" w14:paraId="5A43C7D0"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D9AE16B"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sz w:val="19"/>
                <w:szCs w:val="19"/>
              </w:rPr>
            </w:pPr>
            <w:r w:rsidRPr="00C76C53">
              <w:rPr>
                <w:rFonts w:ascii="Times New Roman" w:hAnsi="Times New Roman"/>
                <w:sz w:val="19"/>
                <w:szCs w:val="19"/>
              </w:rPr>
              <w:t>19.4 Revenue arrears monitoring</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9C6BE6E" w14:textId="77777777" w:rsidR="007518E4" w:rsidRPr="0036589A" w:rsidRDefault="007518E4" w:rsidP="00E12685">
            <w:pPr>
              <w:spacing w:before="0"/>
              <w:ind w:left="0"/>
              <w:jc w:val="center"/>
              <w:rPr>
                <w:rFonts w:ascii="Times New Roman" w:hAnsi="Times New Roman"/>
                <w:sz w:val="19"/>
                <w:szCs w:val="19"/>
              </w:rPr>
            </w:pPr>
            <w:r w:rsidRPr="0036589A">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tcPr>
          <w:p w14:paraId="088465D8" w14:textId="77777777" w:rsidR="007518E4" w:rsidRPr="0036589A" w:rsidRDefault="007518E4" w:rsidP="00E12685">
            <w:pPr>
              <w:spacing w:before="0"/>
              <w:ind w:left="0"/>
              <w:rPr>
                <w:rFonts w:ascii="Times New Roman" w:eastAsia="Calibri" w:hAnsi="Times New Roman"/>
                <w:color w:val="000000"/>
                <w:sz w:val="19"/>
                <w:szCs w:val="19"/>
              </w:rPr>
            </w:pPr>
            <w:r w:rsidRPr="0036589A">
              <w:rPr>
                <w:rFonts w:ascii="Times New Roman" w:eastAsia="Calibri" w:hAnsi="Times New Roman"/>
                <w:color w:val="000000"/>
                <w:sz w:val="19"/>
                <w:szCs w:val="19"/>
              </w:rPr>
              <w:t xml:space="preserve">According to the TD, </w:t>
            </w:r>
            <w:r>
              <w:rPr>
                <w:rFonts w:ascii="Times New Roman" w:eastAsia="Calibri" w:hAnsi="Times New Roman"/>
                <w:color w:val="000000"/>
                <w:sz w:val="19"/>
                <w:szCs w:val="19"/>
              </w:rPr>
              <w:t>t</w:t>
            </w:r>
            <w:r w:rsidRPr="0036589A">
              <w:rPr>
                <w:rFonts w:ascii="Times New Roman" w:eastAsia="Calibri" w:hAnsi="Times New Roman"/>
                <w:color w:val="000000"/>
                <w:sz w:val="19"/>
                <w:szCs w:val="19"/>
              </w:rPr>
              <w:t>he stock of revenue arrears recorded as of 10 December 2018 was 1% of the total revenue collection, 99% of which had been outstanding for more than 12 months.</w:t>
            </w:r>
          </w:p>
        </w:tc>
      </w:tr>
      <w:tr w:rsidR="008D2590" w:rsidRPr="00C76C53" w14:paraId="4B3242FE"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555672D" w14:textId="77777777" w:rsidR="008D2590" w:rsidRPr="00C76C53" w:rsidRDefault="008D2590" w:rsidP="00E12685">
            <w:pPr>
              <w:widowControl w:val="0"/>
              <w:tabs>
                <w:tab w:val="left" w:pos="720"/>
                <w:tab w:val="num" w:pos="1146"/>
              </w:tabs>
              <w:suppressAutoHyphens/>
              <w:autoSpaceDE w:val="0"/>
              <w:adjustRightInd w:val="0"/>
              <w:snapToGrid w:val="0"/>
              <w:spacing w:before="0"/>
              <w:ind w:left="0"/>
              <w:textAlignment w:val="baseline"/>
              <w:rPr>
                <w:rFonts w:ascii="Times New Roman" w:eastAsia="Arial" w:hAnsi="Times New Roman"/>
                <w:b/>
                <w:color w:val="000000"/>
                <w:sz w:val="19"/>
                <w:szCs w:val="19"/>
                <w:lang w:eastAsia="ar-SA"/>
              </w:rPr>
            </w:pPr>
            <w:r w:rsidRPr="00C76C53">
              <w:rPr>
                <w:rFonts w:ascii="Times New Roman" w:eastAsia="Arial" w:hAnsi="Times New Roman"/>
                <w:b/>
                <w:color w:val="000000"/>
                <w:sz w:val="19"/>
                <w:szCs w:val="19"/>
                <w:lang w:eastAsia="ar-SA"/>
              </w:rPr>
              <w:t>PI-20 Accounting for revenue</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86429C6" w14:textId="77777777" w:rsidR="008D2590" w:rsidRPr="008D2590" w:rsidRDefault="008D2590" w:rsidP="00E12685">
            <w:pPr>
              <w:spacing w:before="0"/>
              <w:ind w:left="0"/>
              <w:jc w:val="center"/>
              <w:rPr>
                <w:rFonts w:ascii="Times New Roman" w:hAnsi="Times New Roman"/>
                <w:sz w:val="19"/>
                <w:szCs w:val="19"/>
              </w:rPr>
            </w:pPr>
            <w:r w:rsidRPr="008D2590">
              <w:rPr>
                <w:rFonts w:ascii="Times New Roman" w:hAnsi="Times New Roman"/>
                <w:sz w:val="19"/>
                <w:szCs w:val="19"/>
              </w:rPr>
              <w:t>B</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65A377A8" w14:textId="77777777" w:rsidR="008D2590" w:rsidRPr="008D2590" w:rsidRDefault="008D2590" w:rsidP="00E12685">
            <w:pPr>
              <w:spacing w:before="0"/>
              <w:ind w:left="0"/>
              <w:rPr>
                <w:rFonts w:ascii="Times New Roman" w:hAnsi="Times New Roman"/>
                <w:sz w:val="19"/>
                <w:szCs w:val="19"/>
              </w:rPr>
            </w:pPr>
            <w:r w:rsidRPr="008D2590">
              <w:rPr>
                <w:rFonts w:ascii="Times New Roman" w:hAnsi="Times New Roman"/>
                <w:sz w:val="19"/>
                <w:szCs w:val="19"/>
              </w:rPr>
              <w:t>Dimensions combined by Method M1 (weakest link).</w:t>
            </w:r>
          </w:p>
        </w:tc>
      </w:tr>
      <w:tr w:rsidR="008D2590" w:rsidRPr="00C76C53" w14:paraId="33A96D5E"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240F7BE" w14:textId="77777777" w:rsidR="008D2590" w:rsidRPr="00C76C53" w:rsidRDefault="008D2590" w:rsidP="00E12685">
            <w:pPr>
              <w:widowControl w:val="0"/>
              <w:tabs>
                <w:tab w:val="left" w:pos="720"/>
                <w:tab w:val="num" w:pos="1146"/>
              </w:tabs>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sz w:val="19"/>
                <w:szCs w:val="19"/>
              </w:rPr>
              <w:t>20.1 Information on revenue collections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16D1C52" w14:textId="77777777" w:rsidR="008D2590" w:rsidRPr="008D2590" w:rsidRDefault="008D2590" w:rsidP="00E12685">
            <w:pPr>
              <w:spacing w:before="0"/>
              <w:ind w:left="0"/>
              <w:jc w:val="center"/>
              <w:rPr>
                <w:rFonts w:ascii="Times New Roman" w:hAnsi="Times New Roman"/>
                <w:sz w:val="19"/>
                <w:szCs w:val="19"/>
              </w:rPr>
            </w:pPr>
            <w:r w:rsidRPr="008D2590">
              <w:rPr>
                <w:rFonts w:ascii="Times New Roman" w:hAnsi="Times New Roman"/>
                <w:sz w:val="19"/>
                <w:szCs w:val="19"/>
              </w:rPr>
              <w:t>B</w:t>
            </w:r>
          </w:p>
        </w:tc>
        <w:tc>
          <w:tcPr>
            <w:tcW w:w="5369" w:type="dxa"/>
            <w:tcBorders>
              <w:top w:val="single" w:sz="4" w:space="0" w:color="auto"/>
              <w:left w:val="single" w:sz="4" w:space="0" w:color="auto"/>
              <w:bottom w:val="single" w:sz="4" w:space="0" w:color="auto"/>
              <w:right w:val="single" w:sz="4" w:space="0" w:color="auto"/>
            </w:tcBorders>
            <w:vAlign w:val="center"/>
          </w:tcPr>
          <w:p w14:paraId="01E47000" w14:textId="77777777" w:rsidR="008D2590" w:rsidRPr="008D2590" w:rsidRDefault="008D2590" w:rsidP="00E12685">
            <w:pPr>
              <w:spacing w:before="0"/>
              <w:ind w:left="0"/>
              <w:rPr>
                <w:rFonts w:ascii="Times New Roman" w:hAnsi="Times New Roman"/>
                <w:sz w:val="19"/>
                <w:szCs w:val="19"/>
                <w:lang w:eastAsia="en-IN"/>
              </w:rPr>
            </w:pPr>
            <w:r w:rsidRPr="008D2590">
              <w:rPr>
                <w:rFonts w:ascii="Times New Roman" w:hAnsi="Times New Roman"/>
                <w:sz w:val="19"/>
                <w:szCs w:val="19"/>
                <w:lang w:eastAsia="en-IN"/>
              </w:rPr>
              <w:t xml:space="preserve">Monthly consolidated reports on all of the central government revenues are prepared by the Treasury Department showing revenue breakdown by </w:t>
            </w:r>
            <w:proofErr w:type="gramStart"/>
            <w:r w:rsidRPr="008D2590">
              <w:rPr>
                <w:rFonts w:ascii="Times New Roman" w:hAnsi="Times New Roman"/>
                <w:sz w:val="19"/>
                <w:szCs w:val="19"/>
                <w:lang w:eastAsia="en-IN"/>
              </w:rPr>
              <w:t>type, and</w:t>
            </w:r>
            <w:proofErr w:type="gramEnd"/>
            <w:r w:rsidRPr="008D2590">
              <w:rPr>
                <w:rFonts w:ascii="Times New Roman" w:hAnsi="Times New Roman"/>
                <w:sz w:val="19"/>
                <w:szCs w:val="19"/>
                <w:lang w:eastAsia="en-IN"/>
              </w:rPr>
              <w:t xml:space="preserve"> submitted to MoF.</w:t>
            </w:r>
          </w:p>
        </w:tc>
      </w:tr>
      <w:tr w:rsidR="008D2590" w:rsidRPr="00C76C53" w14:paraId="3A44A471"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05D57FED" w14:textId="77777777" w:rsidR="008D2590" w:rsidRPr="00C76C53" w:rsidRDefault="008D2590" w:rsidP="00876E3F">
            <w:pPr>
              <w:widowControl w:val="0"/>
              <w:tabs>
                <w:tab w:val="left" w:pos="720"/>
                <w:tab w:val="num" w:pos="1146"/>
              </w:tabs>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sz w:val="19"/>
                <w:szCs w:val="19"/>
              </w:rPr>
              <w:t>20.2 Transfer of revenue collections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A996A3B" w14:textId="77777777" w:rsidR="008D2590" w:rsidRPr="008D2590" w:rsidRDefault="008D2590" w:rsidP="00876E3F">
            <w:pPr>
              <w:spacing w:before="0"/>
              <w:ind w:left="0"/>
              <w:jc w:val="center"/>
              <w:rPr>
                <w:rFonts w:ascii="Times New Roman" w:hAnsi="Times New Roman"/>
                <w:sz w:val="19"/>
                <w:szCs w:val="19"/>
              </w:rPr>
            </w:pPr>
            <w:r w:rsidRPr="008D2590">
              <w:rPr>
                <w:rFonts w:ascii="Times New Roman" w:hAnsi="Times New Roman"/>
                <w:sz w:val="19"/>
                <w:szCs w:val="19"/>
              </w:rPr>
              <w:t>A</w:t>
            </w:r>
          </w:p>
        </w:tc>
        <w:tc>
          <w:tcPr>
            <w:tcW w:w="5369" w:type="dxa"/>
            <w:tcBorders>
              <w:top w:val="single" w:sz="4" w:space="0" w:color="auto"/>
              <w:left w:val="single" w:sz="4" w:space="0" w:color="auto"/>
              <w:bottom w:val="single" w:sz="4" w:space="0" w:color="auto"/>
              <w:right w:val="single" w:sz="4" w:space="0" w:color="auto"/>
            </w:tcBorders>
            <w:vAlign w:val="center"/>
          </w:tcPr>
          <w:p w14:paraId="1A8D500C" w14:textId="77777777" w:rsidR="008D2590" w:rsidRPr="008D2590" w:rsidRDefault="008D2590" w:rsidP="00876E3F">
            <w:pPr>
              <w:spacing w:before="0"/>
              <w:ind w:left="0"/>
              <w:rPr>
                <w:rFonts w:ascii="Times New Roman" w:hAnsi="Times New Roman"/>
                <w:sz w:val="19"/>
                <w:szCs w:val="19"/>
                <w:lang w:eastAsia="en-IN"/>
              </w:rPr>
            </w:pPr>
            <w:r w:rsidRPr="008D2590">
              <w:rPr>
                <w:rFonts w:ascii="Times New Roman" w:hAnsi="Times New Roman"/>
                <w:sz w:val="19"/>
                <w:szCs w:val="19"/>
                <w:lang w:eastAsia="en-IN"/>
              </w:rPr>
              <w:t>Revenue collections for more than 75% of total revenue are transferred daily (from Tax and Customs departments, SOE and other revenue collecting departments into the Treasury Accounts with commercial banks</w:t>
            </w:r>
          </w:p>
        </w:tc>
      </w:tr>
      <w:tr w:rsidR="008D2590" w:rsidRPr="00C76C53" w14:paraId="5CB430E2" w14:textId="77777777" w:rsidTr="00D66921">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66552D9" w14:textId="77777777" w:rsidR="008D2590" w:rsidRPr="00C76C53" w:rsidRDefault="008D2590" w:rsidP="00876E3F">
            <w:pPr>
              <w:widowControl w:val="0"/>
              <w:tabs>
                <w:tab w:val="left" w:pos="720"/>
                <w:tab w:val="num" w:pos="1146"/>
              </w:tabs>
              <w:suppressAutoHyphens/>
              <w:autoSpaceDE w:val="0"/>
              <w:adjustRightInd w:val="0"/>
              <w:snapToGrid w:val="0"/>
              <w:spacing w:before="0"/>
              <w:ind w:left="0"/>
              <w:textAlignment w:val="baseline"/>
              <w:rPr>
                <w:rFonts w:ascii="Times New Roman" w:eastAsia="Arial" w:hAnsi="Times New Roman"/>
                <w:bCs/>
                <w:color w:val="000000"/>
                <w:sz w:val="19"/>
                <w:szCs w:val="19"/>
                <w:lang w:eastAsia="ar-SA"/>
              </w:rPr>
            </w:pPr>
            <w:r w:rsidRPr="00C76C53">
              <w:rPr>
                <w:rFonts w:ascii="Times New Roman" w:hAnsi="Times New Roman"/>
                <w:sz w:val="19"/>
                <w:szCs w:val="19"/>
              </w:rPr>
              <w:lastRenderedPageBreak/>
              <w:t>20.3 Revenue accounts reconciliation</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82839D5" w14:textId="77777777" w:rsidR="008D2590" w:rsidRPr="008D2590" w:rsidRDefault="008D2590" w:rsidP="00876E3F">
            <w:pPr>
              <w:widowControl w:val="0"/>
              <w:tabs>
                <w:tab w:val="left" w:pos="720"/>
                <w:tab w:val="num" w:pos="1146"/>
              </w:tabs>
              <w:suppressAutoHyphens/>
              <w:autoSpaceDE w:val="0"/>
              <w:adjustRightInd w:val="0"/>
              <w:snapToGrid w:val="0"/>
              <w:spacing w:before="0"/>
              <w:ind w:left="0"/>
              <w:jc w:val="center"/>
              <w:textAlignment w:val="baseline"/>
              <w:rPr>
                <w:rFonts w:ascii="Times New Roman" w:eastAsia="Arial" w:hAnsi="Times New Roman"/>
                <w:bCs/>
                <w:color w:val="000000"/>
                <w:sz w:val="19"/>
                <w:szCs w:val="19"/>
                <w:lang w:val="pt-BR" w:eastAsia="ar-SA"/>
              </w:rPr>
            </w:pPr>
            <w:r w:rsidRPr="008D2590">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2A3F628B" w14:textId="77777777" w:rsidR="008D2590" w:rsidRPr="008D2590" w:rsidRDefault="008D2590" w:rsidP="00876E3F">
            <w:pPr>
              <w:autoSpaceDE w:val="0"/>
              <w:autoSpaceDN w:val="0"/>
              <w:adjustRightInd w:val="0"/>
              <w:spacing w:before="0"/>
              <w:ind w:left="0"/>
              <w:rPr>
                <w:rFonts w:ascii="Times New Roman" w:hAnsi="Times New Roman"/>
                <w:sz w:val="19"/>
                <w:szCs w:val="19"/>
              </w:rPr>
            </w:pPr>
            <w:r w:rsidRPr="008D2590">
              <w:rPr>
                <w:rFonts w:ascii="Times New Roman" w:hAnsi="Times New Roman"/>
                <w:sz w:val="19"/>
                <w:szCs w:val="19"/>
                <w:lang w:eastAsia="en-IN"/>
              </w:rPr>
              <w:t xml:space="preserve">At the central level, the reconciliation process is done for assessments/charges, collections, arrears and transfers to the Treasury </w:t>
            </w:r>
            <w:proofErr w:type="gramStart"/>
            <w:r w:rsidRPr="008D2590">
              <w:rPr>
                <w:rFonts w:ascii="Times New Roman" w:hAnsi="Times New Roman"/>
                <w:sz w:val="19"/>
                <w:szCs w:val="19"/>
                <w:lang w:eastAsia="en-IN"/>
              </w:rPr>
              <w:t>on a monthly basis</w:t>
            </w:r>
            <w:proofErr w:type="gramEnd"/>
            <w:r w:rsidRPr="008D2590">
              <w:rPr>
                <w:rFonts w:ascii="Times New Roman" w:hAnsi="Times New Roman"/>
                <w:sz w:val="19"/>
                <w:szCs w:val="19"/>
                <w:lang w:eastAsia="en-IN"/>
              </w:rPr>
              <w:t>, and corresponding monthly reports are prepared. However, the information on reconciliation is limited by the lack of integration of the data systems and manual processes involved in the recording and reporting of the revenue transactions for revenues outside the Tax and Customs departments and at the provincial level, although the amounts processed at that latter level are assessed as less significant.</w:t>
            </w:r>
          </w:p>
        </w:tc>
      </w:tr>
      <w:tr w:rsidR="007518E4" w:rsidRPr="00C76C53" w14:paraId="03B6A46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2566" w14:textId="77777777" w:rsidR="007518E4" w:rsidRPr="00C76C53" w:rsidRDefault="007518E4" w:rsidP="00E12685">
            <w:pPr>
              <w:pStyle w:val="Default"/>
              <w:tabs>
                <w:tab w:val="left" w:pos="720"/>
                <w:tab w:val="num" w:pos="1146"/>
              </w:tabs>
              <w:spacing w:before="0"/>
              <w:ind w:left="0"/>
              <w:rPr>
                <w:rFonts w:ascii="Times New Roman" w:eastAsia="Arial" w:hAnsi="Times New Roman" w:cs="Times New Roman"/>
                <w:b/>
                <w:sz w:val="19"/>
                <w:szCs w:val="19"/>
                <w:lang w:eastAsia="ar-SA"/>
              </w:rPr>
            </w:pPr>
            <w:r w:rsidRPr="00C76C53">
              <w:rPr>
                <w:rFonts w:ascii="Times New Roman" w:eastAsia="Arial" w:hAnsi="Times New Roman" w:cs="Times New Roman"/>
                <w:b/>
                <w:bCs/>
                <w:sz w:val="19"/>
                <w:szCs w:val="19"/>
                <w:lang w:eastAsia="ar-SA"/>
              </w:rPr>
              <w:t xml:space="preserve">PI-21 </w:t>
            </w:r>
            <w:r w:rsidRPr="00C76C53">
              <w:rPr>
                <w:rFonts w:ascii="Times New Roman" w:eastAsiaTheme="minorEastAsia" w:hAnsi="Times New Roman" w:cs="Times New Roman"/>
                <w:b/>
                <w:sz w:val="19"/>
                <w:szCs w:val="19"/>
              </w:rPr>
              <w:t>Predictability of in-year resource allocation</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B5EA0" w14:textId="77777777" w:rsidR="007518E4" w:rsidRPr="00511DED" w:rsidRDefault="007518E4" w:rsidP="00E12685">
            <w:pPr>
              <w:spacing w:before="0"/>
              <w:ind w:left="0"/>
              <w:jc w:val="center"/>
              <w:rPr>
                <w:rFonts w:ascii="Times New Roman" w:hAnsi="Times New Roman"/>
                <w:sz w:val="19"/>
                <w:szCs w:val="19"/>
              </w:rPr>
            </w:pPr>
            <w:r>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1CC9C5D1" w14:textId="77777777" w:rsidR="007518E4" w:rsidRPr="00511DED" w:rsidRDefault="007518E4" w:rsidP="00E12685">
            <w:pPr>
              <w:spacing w:before="0"/>
              <w:ind w:left="0"/>
              <w:rPr>
                <w:rFonts w:ascii="Times New Roman" w:hAnsi="Times New Roman"/>
                <w:sz w:val="19"/>
                <w:szCs w:val="19"/>
              </w:rPr>
            </w:pPr>
            <w:r w:rsidRPr="00511DED">
              <w:rPr>
                <w:rFonts w:ascii="Times New Roman" w:hAnsi="Times New Roman"/>
                <w:sz w:val="19"/>
                <w:szCs w:val="19"/>
              </w:rPr>
              <w:t>Dimensions combined by Method M2 (average).</w:t>
            </w:r>
          </w:p>
        </w:tc>
      </w:tr>
      <w:tr w:rsidR="007518E4" w:rsidRPr="00C76C53" w14:paraId="1EC5DBC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10CE46E9" w14:textId="77777777" w:rsidR="007518E4" w:rsidRPr="00C76C53" w:rsidRDefault="007518E4" w:rsidP="00E12685">
            <w:pPr>
              <w:pStyle w:val="Default"/>
              <w:tabs>
                <w:tab w:val="left" w:pos="720"/>
                <w:tab w:val="num" w:pos="1146"/>
              </w:tabs>
              <w:spacing w:before="0"/>
              <w:ind w:left="0"/>
              <w:rPr>
                <w:rFonts w:ascii="Times New Roman" w:hAnsi="Times New Roman" w:cs="Times New Roman"/>
                <w:sz w:val="19"/>
                <w:szCs w:val="19"/>
              </w:rPr>
            </w:pPr>
            <w:r w:rsidRPr="00C76C53">
              <w:rPr>
                <w:rFonts w:ascii="Times New Roman" w:hAnsi="Times New Roman" w:cs="Times New Roman"/>
                <w:sz w:val="19"/>
                <w:szCs w:val="19"/>
              </w:rPr>
              <w:t>21.1 Consolidation of cash balances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483084C"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41E23988" w14:textId="77777777" w:rsidR="007518E4" w:rsidRPr="00511DED" w:rsidRDefault="007518E4" w:rsidP="00E12685">
            <w:pPr>
              <w:spacing w:before="0"/>
              <w:ind w:left="0"/>
              <w:rPr>
                <w:rFonts w:ascii="Times New Roman" w:hAnsi="Times New Roman"/>
                <w:sz w:val="19"/>
                <w:szCs w:val="19"/>
              </w:rPr>
            </w:pPr>
            <w:r w:rsidRPr="00511DED">
              <w:rPr>
                <w:rFonts w:ascii="Times New Roman" w:hAnsi="Times New Roman"/>
                <w:sz w:val="19"/>
                <w:szCs w:val="19"/>
                <w:lang w:eastAsia="en-IN"/>
              </w:rPr>
              <w:t>All cash balances are now consolidated on a weekly basis including the accounts held by commercial banks on behalf of the Treasury Department, however incomplete coverage of accounting and transaction data in GFIS at provincial level has an impact on the consolidation of cash balances in real time and undermines the accuracy of information reported on cash position.</w:t>
            </w:r>
          </w:p>
        </w:tc>
      </w:tr>
      <w:tr w:rsidR="007518E4" w:rsidRPr="00C76C53" w14:paraId="61711F65"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78DB5DE" w14:textId="77777777" w:rsidR="007518E4" w:rsidRPr="00C76C53" w:rsidRDefault="007518E4" w:rsidP="00E12685">
            <w:pPr>
              <w:tabs>
                <w:tab w:val="left" w:pos="720"/>
                <w:tab w:val="num" w:pos="1146"/>
              </w:tabs>
              <w:autoSpaceDE w:val="0"/>
              <w:autoSpaceDN w:val="0"/>
              <w:adjustRightInd w:val="0"/>
              <w:spacing w:before="0"/>
              <w:ind w:left="0"/>
              <w:rPr>
                <w:rFonts w:ascii="Times New Roman" w:hAnsi="Times New Roman"/>
                <w:sz w:val="19"/>
                <w:szCs w:val="19"/>
              </w:rPr>
            </w:pPr>
            <w:r w:rsidRPr="00C76C53">
              <w:rPr>
                <w:rFonts w:ascii="Times New Roman" w:hAnsi="Times New Roman"/>
                <w:sz w:val="19"/>
                <w:szCs w:val="19"/>
              </w:rPr>
              <w:t>21.2 Cash forecasting and monitoring</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286C531"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07479D7B" w14:textId="77777777" w:rsidR="007518E4" w:rsidRPr="00511DED" w:rsidRDefault="007518E4" w:rsidP="00E12685">
            <w:pPr>
              <w:spacing w:before="0"/>
              <w:ind w:left="0"/>
              <w:rPr>
                <w:rFonts w:ascii="Times New Roman" w:hAnsi="Times New Roman"/>
                <w:sz w:val="19"/>
                <w:szCs w:val="19"/>
                <w:lang w:eastAsia="en-IN"/>
              </w:rPr>
            </w:pPr>
            <w:r w:rsidRPr="00511DED">
              <w:rPr>
                <w:rFonts w:ascii="Times New Roman" w:hAnsi="Times New Roman"/>
                <w:sz w:val="19"/>
                <w:szCs w:val="19"/>
                <w:lang w:eastAsia="en-IN"/>
              </w:rPr>
              <w:t xml:space="preserve">Cash flow forecasts are produced for the fiscal year and updated </w:t>
            </w:r>
            <w:r w:rsidRPr="0046537D">
              <w:rPr>
                <w:rFonts w:ascii="Times New Roman" w:hAnsi="Times New Roman"/>
                <w:sz w:val="19"/>
                <w:szCs w:val="19"/>
                <w:lang w:eastAsia="en-IN"/>
              </w:rPr>
              <w:t>weekly and monthly</w:t>
            </w:r>
            <w:r w:rsidRPr="00511DED">
              <w:rPr>
                <w:rFonts w:ascii="Times New Roman" w:hAnsi="Times New Roman"/>
                <w:sz w:val="19"/>
                <w:szCs w:val="19"/>
                <w:lang w:eastAsia="en-IN"/>
              </w:rPr>
              <w:t xml:space="preserve"> on the basis of actual revenue collections by the main revenue collecting </w:t>
            </w:r>
            <w:proofErr w:type="gramStart"/>
            <w:r w:rsidRPr="00511DED">
              <w:rPr>
                <w:rFonts w:ascii="Times New Roman" w:hAnsi="Times New Roman"/>
                <w:sz w:val="19"/>
                <w:szCs w:val="19"/>
                <w:lang w:eastAsia="en-IN"/>
              </w:rPr>
              <w:t>agencies</w:t>
            </w:r>
            <w:proofErr w:type="gramEnd"/>
            <w:r w:rsidRPr="00511DED">
              <w:rPr>
                <w:rFonts w:ascii="Times New Roman" w:hAnsi="Times New Roman"/>
                <w:sz w:val="19"/>
                <w:szCs w:val="19"/>
                <w:lang w:eastAsia="en-IN"/>
              </w:rPr>
              <w:t xml:space="preserve"> but expenditure projections do not cover expenditure commitments beyond budget execution plans and actual payments.</w:t>
            </w:r>
          </w:p>
        </w:tc>
      </w:tr>
      <w:tr w:rsidR="007518E4" w:rsidRPr="00C76C53" w14:paraId="71D231C0"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4BCE60DD" w14:textId="77777777" w:rsidR="007518E4" w:rsidRPr="00C76C53" w:rsidRDefault="007518E4" w:rsidP="00E12685">
            <w:pPr>
              <w:tabs>
                <w:tab w:val="left" w:pos="720"/>
                <w:tab w:val="num" w:pos="1146"/>
              </w:tabs>
              <w:autoSpaceDE w:val="0"/>
              <w:autoSpaceDN w:val="0"/>
              <w:adjustRightInd w:val="0"/>
              <w:spacing w:before="0"/>
              <w:ind w:left="0"/>
              <w:rPr>
                <w:rFonts w:ascii="Times New Roman" w:hAnsi="Times New Roman"/>
                <w:sz w:val="19"/>
                <w:szCs w:val="19"/>
              </w:rPr>
            </w:pPr>
            <w:r w:rsidRPr="00C76C53">
              <w:rPr>
                <w:rFonts w:ascii="Times New Roman" w:hAnsi="Times New Roman"/>
                <w:sz w:val="19"/>
                <w:szCs w:val="19"/>
              </w:rPr>
              <w:t>21.3 Information on commitment ceilings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766E084"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50C006D0" w14:textId="77777777" w:rsidR="007518E4" w:rsidRPr="00511DED" w:rsidRDefault="007518E4" w:rsidP="00E12685">
            <w:pPr>
              <w:pStyle w:val="ListParagraph"/>
              <w:spacing w:before="0"/>
              <w:ind w:left="0"/>
              <w:contextualSpacing w:val="0"/>
              <w:rPr>
                <w:rFonts w:ascii="Times New Roman" w:eastAsia="ヒラギノ角ゴ Pro W3" w:hAnsi="Times New Roman"/>
                <w:color w:val="000000"/>
                <w:sz w:val="19"/>
                <w:szCs w:val="19"/>
                <w:lang w:eastAsia="en-IN"/>
              </w:rPr>
            </w:pPr>
            <w:r w:rsidRPr="00511DED">
              <w:rPr>
                <w:rFonts w:ascii="Times New Roman" w:hAnsi="Times New Roman"/>
                <w:color w:val="000000"/>
                <w:sz w:val="19"/>
                <w:szCs w:val="19"/>
              </w:rPr>
              <w:t xml:space="preserve">Reliable information on funds available for commitment is based on the quarterly spending plans aligned to the approved state budget but is constrained by cash availability which means that information is not reliable even </w:t>
            </w:r>
            <w:proofErr w:type="gramStart"/>
            <w:r w:rsidRPr="00511DED">
              <w:rPr>
                <w:rFonts w:ascii="Times New Roman" w:hAnsi="Times New Roman"/>
                <w:color w:val="000000"/>
                <w:sz w:val="19"/>
                <w:szCs w:val="19"/>
              </w:rPr>
              <w:t>on a monthly basis</w:t>
            </w:r>
            <w:proofErr w:type="gramEnd"/>
            <w:r w:rsidRPr="00511DED">
              <w:rPr>
                <w:rFonts w:ascii="Times New Roman" w:hAnsi="Times New Roman"/>
                <w:color w:val="000000"/>
                <w:sz w:val="19"/>
                <w:szCs w:val="19"/>
              </w:rPr>
              <w:t>.</w:t>
            </w:r>
          </w:p>
        </w:tc>
      </w:tr>
      <w:tr w:rsidR="007518E4" w:rsidRPr="00C76C53" w14:paraId="562C34A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7CB8AF0" w14:textId="77777777" w:rsidR="007518E4" w:rsidRPr="00C76C53" w:rsidRDefault="007518E4" w:rsidP="00E12685">
            <w:pPr>
              <w:tabs>
                <w:tab w:val="left" w:pos="720"/>
                <w:tab w:val="num" w:pos="1146"/>
              </w:tabs>
              <w:autoSpaceDE w:val="0"/>
              <w:autoSpaceDN w:val="0"/>
              <w:adjustRightInd w:val="0"/>
              <w:spacing w:before="0"/>
              <w:ind w:left="0"/>
              <w:rPr>
                <w:rFonts w:ascii="Times New Roman" w:hAnsi="Times New Roman"/>
                <w:sz w:val="19"/>
                <w:szCs w:val="19"/>
              </w:rPr>
            </w:pPr>
            <w:r w:rsidRPr="00C76C53">
              <w:rPr>
                <w:rFonts w:ascii="Times New Roman" w:hAnsi="Times New Roman"/>
                <w:sz w:val="19"/>
                <w:szCs w:val="19"/>
              </w:rPr>
              <w:t>21.4 Significance of in-year budget adjustments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69DDA26"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30C6D027" w14:textId="77777777" w:rsidR="007518E4" w:rsidRPr="00511DED" w:rsidRDefault="007518E4" w:rsidP="00E12685">
            <w:pPr>
              <w:spacing w:before="0"/>
              <w:ind w:left="0"/>
              <w:rPr>
                <w:rFonts w:ascii="Times New Roman" w:eastAsia="ヒラギノ角ゴ Pro W3" w:hAnsi="Times New Roman"/>
                <w:color w:val="000000"/>
                <w:sz w:val="19"/>
                <w:szCs w:val="19"/>
                <w:lang w:eastAsia="en-IN"/>
              </w:rPr>
            </w:pPr>
            <w:r w:rsidRPr="00511DED">
              <w:rPr>
                <w:rFonts w:ascii="Times New Roman" w:eastAsia="ヒラギノ角ゴ Pro W3" w:hAnsi="Times New Roman"/>
                <w:color w:val="000000"/>
                <w:sz w:val="19"/>
                <w:szCs w:val="19"/>
                <w:lang w:eastAsia="en-IN"/>
              </w:rPr>
              <w:t>Significant and systematic in-year budget adjustments to allocations take place and are predictable but not based on clear policy decisions and priorities involving the budgetary units concerned and therefore only partially transparent.</w:t>
            </w:r>
          </w:p>
        </w:tc>
      </w:tr>
      <w:tr w:rsidR="007518E4" w:rsidRPr="00C76C53" w14:paraId="1E722086"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8ED6F6A"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b/>
                <w:color w:val="000000"/>
                <w:sz w:val="19"/>
                <w:szCs w:val="19"/>
                <w:lang w:eastAsia="ar-SA"/>
              </w:rPr>
            </w:pPr>
            <w:r w:rsidRPr="00C76C53">
              <w:rPr>
                <w:rFonts w:ascii="Times New Roman" w:eastAsia="Arial" w:hAnsi="Times New Roman"/>
                <w:b/>
                <w:bCs/>
                <w:color w:val="000000"/>
                <w:sz w:val="19"/>
                <w:szCs w:val="19"/>
                <w:lang w:eastAsia="ar-SA"/>
              </w:rPr>
              <w:t>PI-22</w:t>
            </w:r>
            <w:r w:rsidRPr="00C76C53">
              <w:rPr>
                <w:rFonts w:ascii="Times New Roman" w:hAnsi="Times New Roman"/>
                <w:b/>
                <w:bCs/>
                <w:sz w:val="19"/>
                <w:szCs w:val="19"/>
              </w:rPr>
              <w:t xml:space="preserve"> </w:t>
            </w:r>
            <w:r w:rsidRPr="00C76C53">
              <w:rPr>
                <w:rFonts w:ascii="Times New Roman" w:eastAsiaTheme="minorEastAsia" w:hAnsi="Times New Roman"/>
                <w:b/>
                <w:sz w:val="19"/>
                <w:szCs w:val="19"/>
              </w:rPr>
              <w:t>Expenditure arrears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7D839E8"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4D32519F" w14:textId="77777777" w:rsidR="007518E4" w:rsidRPr="00511DED" w:rsidRDefault="007518E4" w:rsidP="00E12685">
            <w:pPr>
              <w:spacing w:before="0"/>
              <w:ind w:left="0"/>
              <w:rPr>
                <w:rFonts w:ascii="Times New Roman" w:eastAsia="Calibri" w:hAnsi="Times New Roman"/>
                <w:color w:val="000000"/>
                <w:sz w:val="19"/>
                <w:szCs w:val="19"/>
              </w:rPr>
            </w:pPr>
            <w:r w:rsidRPr="00511DED">
              <w:rPr>
                <w:rFonts w:ascii="Times New Roman" w:eastAsia="Calibri" w:hAnsi="Times New Roman"/>
                <w:bCs/>
                <w:color w:val="000000"/>
                <w:sz w:val="19"/>
                <w:szCs w:val="19"/>
              </w:rPr>
              <w:t>Dimensions combined by Method M1 (weakest link).</w:t>
            </w:r>
            <w:r w:rsidRPr="00511DED">
              <w:rPr>
                <w:rFonts w:ascii="Times New Roman" w:eastAsia="Calibri" w:hAnsi="Times New Roman"/>
                <w:color w:val="000000"/>
                <w:sz w:val="19"/>
                <w:szCs w:val="19"/>
              </w:rPr>
              <w:t xml:space="preserve"> </w:t>
            </w:r>
          </w:p>
        </w:tc>
      </w:tr>
      <w:tr w:rsidR="007518E4" w:rsidRPr="00C76C53" w14:paraId="0012729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1B566D67"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22.1 Stock</w:t>
            </w:r>
            <w:r w:rsidRPr="00C76C53">
              <w:rPr>
                <w:rFonts w:ascii="Times New Roman" w:hAnsi="Times New Roman"/>
                <w:sz w:val="19"/>
                <w:szCs w:val="19"/>
              </w:rPr>
              <w:t xml:space="preserve"> of expenditure arrears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DAFCF26"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r w:rsidR="00D23EDB">
              <w:rPr>
                <w:rFonts w:ascii="Times New Roman" w:hAnsi="Times New Roman"/>
                <w:sz w:val="19"/>
                <w:szCs w:val="19"/>
              </w:rPr>
              <w:t>*</w:t>
            </w:r>
          </w:p>
        </w:tc>
        <w:tc>
          <w:tcPr>
            <w:tcW w:w="5369" w:type="dxa"/>
            <w:tcBorders>
              <w:top w:val="single" w:sz="4" w:space="0" w:color="auto"/>
              <w:left w:val="single" w:sz="4" w:space="0" w:color="auto"/>
              <w:bottom w:val="single" w:sz="4" w:space="0" w:color="auto"/>
              <w:right w:val="single" w:sz="4" w:space="0" w:color="auto"/>
            </w:tcBorders>
            <w:vAlign w:val="center"/>
          </w:tcPr>
          <w:p w14:paraId="3CAAD0A1" w14:textId="77777777" w:rsidR="007518E4" w:rsidRPr="00511DED" w:rsidRDefault="007518E4" w:rsidP="00E12685">
            <w:pPr>
              <w:pStyle w:val="ListParagraph"/>
              <w:spacing w:before="0"/>
              <w:ind w:left="0"/>
              <w:contextualSpacing w:val="0"/>
              <w:rPr>
                <w:rFonts w:ascii="Times New Roman" w:eastAsia="Calibri" w:hAnsi="Times New Roman"/>
                <w:sz w:val="19"/>
                <w:szCs w:val="19"/>
              </w:rPr>
            </w:pPr>
            <w:r w:rsidRPr="00511DED">
              <w:rPr>
                <w:rFonts w:ascii="Times New Roman" w:eastAsia="Calibri" w:hAnsi="Times New Roman"/>
                <w:bCs/>
                <w:color w:val="000000"/>
                <w:sz w:val="19"/>
                <w:szCs w:val="19"/>
              </w:rPr>
              <w:t xml:space="preserve">Although data on the stock of identified and recorded expenditure arrears are not up to date, the evidence is that in 2013/14, excluding significant arrears on the capital account it was more than 10% of total expenditure just on recurrent arrears alone.  The situation has not changed markedly to date. </w:t>
            </w:r>
          </w:p>
        </w:tc>
      </w:tr>
      <w:tr w:rsidR="007518E4" w:rsidRPr="00C76C53" w14:paraId="467F81C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5EC2532F"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22.2 </w:t>
            </w:r>
            <w:r w:rsidRPr="00C76C53">
              <w:rPr>
                <w:rFonts w:ascii="Times New Roman" w:hAnsi="Times New Roman"/>
                <w:sz w:val="19"/>
                <w:szCs w:val="19"/>
              </w:rPr>
              <w:t>Expenditure arrears monitoring</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FFE0D7D"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30584C9A" w14:textId="77777777" w:rsidR="007518E4" w:rsidRPr="00511DED" w:rsidRDefault="007518E4" w:rsidP="00E12685">
            <w:pPr>
              <w:spacing w:before="0"/>
              <w:ind w:left="0"/>
              <w:rPr>
                <w:rFonts w:ascii="Times New Roman" w:hAnsi="Times New Roman"/>
                <w:sz w:val="19"/>
                <w:szCs w:val="19"/>
              </w:rPr>
            </w:pPr>
            <w:r w:rsidRPr="00511DED">
              <w:rPr>
                <w:rFonts w:ascii="Times New Roman" w:hAnsi="Times New Roman"/>
                <w:sz w:val="19"/>
                <w:szCs w:val="19"/>
              </w:rPr>
              <w:t>There is no systematic system in place for monitoring expenditure arrears at the level of the line ministries and consolidation of annual arrears by MoF is done manually resulting in Treasury being unable to report arrears at the aggregate level.</w:t>
            </w:r>
          </w:p>
        </w:tc>
      </w:tr>
      <w:tr w:rsidR="007518E4" w:rsidRPr="00C76C53" w14:paraId="2F49A66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4A22388"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b/>
                <w:color w:val="000000"/>
                <w:sz w:val="19"/>
                <w:szCs w:val="19"/>
                <w:lang w:eastAsia="ar-SA"/>
              </w:rPr>
            </w:pPr>
            <w:r w:rsidRPr="00C76C53">
              <w:rPr>
                <w:rFonts w:ascii="Times New Roman" w:eastAsia="Arial" w:hAnsi="Times New Roman"/>
                <w:b/>
                <w:bCs/>
                <w:color w:val="000000"/>
                <w:sz w:val="19"/>
                <w:szCs w:val="19"/>
                <w:lang w:eastAsia="ar-SA"/>
              </w:rPr>
              <w:t>PI-23</w:t>
            </w:r>
            <w:r w:rsidRPr="00C76C53">
              <w:rPr>
                <w:rFonts w:ascii="Times New Roman" w:hAnsi="Times New Roman"/>
                <w:b/>
                <w:bCs/>
                <w:sz w:val="19"/>
                <w:szCs w:val="19"/>
              </w:rPr>
              <w:t xml:space="preserve"> Payroll controls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B39DE63"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76156ED4" w14:textId="77777777" w:rsidR="007518E4" w:rsidRPr="00511DED" w:rsidRDefault="007518E4" w:rsidP="00E12685">
            <w:pPr>
              <w:spacing w:before="0"/>
              <w:ind w:left="0"/>
              <w:rPr>
                <w:rFonts w:ascii="Times New Roman" w:eastAsia="Calibri" w:hAnsi="Times New Roman"/>
                <w:sz w:val="19"/>
                <w:szCs w:val="19"/>
              </w:rPr>
            </w:pPr>
            <w:r w:rsidRPr="00511DED">
              <w:rPr>
                <w:rFonts w:ascii="Times New Roman" w:eastAsia="Calibri" w:hAnsi="Times New Roman"/>
                <w:sz w:val="19"/>
                <w:szCs w:val="19"/>
              </w:rPr>
              <w:t xml:space="preserve">Dimensions combined by Method M1 (weakest link). </w:t>
            </w:r>
          </w:p>
        </w:tc>
      </w:tr>
      <w:tr w:rsidR="007518E4" w:rsidRPr="00C76C53" w14:paraId="797C1F1C"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3781090B"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23.1 </w:t>
            </w:r>
            <w:r w:rsidRPr="00C76C53">
              <w:rPr>
                <w:rFonts w:ascii="Times New Roman" w:hAnsi="Times New Roman"/>
                <w:sz w:val="19"/>
                <w:szCs w:val="19"/>
              </w:rPr>
              <w:t>Integration of payroll and personnel records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C44C61B"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2570F538" w14:textId="77777777" w:rsidR="007518E4" w:rsidRPr="00511DED" w:rsidRDefault="007518E4" w:rsidP="00E12685">
            <w:pPr>
              <w:spacing w:before="0"/>
              <w:ind w:left="0"/>
              <w:rPr>
                <w:rFonts w:ascii="Times New Roman" w:eastAsia="Calibri" w:hAnsi="Times New Roman"/>
                <w:sz w:val="19"/>
                <w:szCs w:val="19"/>
              </w:rPr>
            </w:pPr>
            <w:r w:rsidRPr="00511DED">
              <w:rPr>
                <w:rFonts w:ascii="Times New Roman" w:eastAsia="Calibri" w:hAnsi="Times New Roman"/>
                <w:bCs/>
                <w:color w:val="000000"/>
                <w:sz w:val="19"/>
                <w:szCs w:val="19"/>
              </w:rPr>
              <w:t xml:space="preserve">Approved staff list, personnel database, and payroll are not directly linked.  Delays up to 3 months (from one to the following quarterly payroll the payroll) can occur for budget control, data consistency, and personnel records reconciliation to take place. Appointments and promotions are controlled against approved staff quotas by </w:t>
            </w:r>
            <w:proofErr w:type="spellStart"/>
            <w:r w:rsidRPr="00511DED">
              <w:rPr>
                <w:rFonts w:ascii="Times New Roman" w:eastAsia="Calibri" w:hAnsi="Times New Roman"/>
                <w:bCs/>
                <w:color w:val="000000"/>
                <w:sz w:val="19"/>
                <w:szCs w:val="19"/>
              </w:rPr>
              <w:t>MoHA</w:t>
            </w:r>
            <w:proofErr w:type="spellEnd"/>
            <w:r w:rsidRPr="00511DED">
              <w:rPr>
                <w:rFonts w:ascii="Times New Roman" w:eastAsia="Calibri" w:hAnsi="Times New Roman"/>
                <w:bCs/>
                <w:color w:val="000000"/>
                <w:sz w:val="19"/>
                <w:szCs w:val="19"/>
              </w:rPr>
              <w:t xml:space="preserve"> and budget allocations by MoF.</w:t>
            </w:r>
          </w:p>
        </w:tc>
      </w:tr>
      <w:tr w:rsidR="007518E4" w:rsidRPr="00C76C53" w14:paraId="79348EE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9C27719"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23.2 </w:t>
            </w:r>
            <w:r w:rsidRPr="00C76C53">
              <w:rPr>
                <w:rFonts w:ascii="Times New Roman" w:hAnsi="Times New Roman"/>
                <w:sz w:val="19"/>
                <w:szCs w:val="19"/>
              </w:rPr>
              <w:t>Management of payroll changes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45FD2B9"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0B23D87B" w14:textId="77777777" w:rsidR="007518E4" w:rsidRPr="00511DED" w:rsidRDefault="007518E4" w:rsidP="00E12685">
            <w:pPr>
              <w:spacing w:before="0"/>
              <w:ind w:left="0"/>
              <w:rPr>
                <w:rFonts w:ascii="Times New Roman" w:hAnsi="Times New Roman"/>
                <w:sz w:val="19"/>
                <w:szCs w:val="19"/>
              </w:rPr>
            </w:pPr>
            <w:r w:rsidRPr="00511DED">
              <w:rPr>
                <w:rFonts w:ascii="Times New Roman" w:eastAsia="Calibri" w:hAnsi="Times New Roman"/>
                <w:color w:val="000000"/>
                <w:sz w:val="19"/>
                <w:szCs w:val="19"/>
              </w:rPr>
              <w:t>Payroll data is updated quarterly and processed by Treasury at the end of each quarter. Retroactive adjustments are limited.</w:t>
            </w:r>
          </w:p>
        </w:tc>
      </w:tr>
      <w:tr w:rsidR="007518E4" w:rsidRPr="00C76C53" w14:paraId="0DB157B2"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05BBBF6"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23.3 </w:t>
            </w:r>
            <w:r w:rsidRPr="00C76C53">
              <w:rPr>
                <w:rFonts w:ascii="Times New Roman" w:hAnsi="Times New Roman"/>
                <w:sz w:val="19"/>
                <w:szCs w:val="19"/>
              </w:rPr>
              <w:t>Internal control of payroll</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A46D078"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59B8480F" w14:textId="77777777" w:rsidR="007518E4" w:rsidRPr="00511DED" w:rsidRDefault="007518E4" w:rsidP="00E12685">
            <w:pPr>
              <w:spacing w:before="0"/>
              <w:ind w:left="0"/>
              <w:rPr>
                <w:rFonts w:ascii="Times New Roman" w:eastAsia="Calibri" w:hAnsi="Times New Roman"/>
                <w:sz w:val="19"/>
                <w:szCs w:val="19"/>
              </w:rPr>
            </w:pPr>
            <w:r w:rsidRPr="00511DED">
              <w:rPr>
                <w:rFonts w:ascii="Times New Roman" w:eastAsia="Calibri" w:hAnsi="Times New Roman"/>
                <w:sz w:val="19"/>
                <w:szCs w:val="19"/>
              </w:rPr>
              <w:t xml:space="preserve">Segregation of roles and responsibilities and payroll controls are well defined and restricted to user defined access levels ensuring data integrity in the PIMS database and MoF payroll system. Changes to the payroll and PIMS database are well documented with readily available audit trail.  </w:t>
            </w:r>
            <w:proofErr w:type="gramStart"/>
            <w:r w:rsidRPr="00511DED">
              <w:rPr>
                <w:rFonts w:ascii="Times New Roman" w:eastAsia="Calibri" w:hAnsi="Times New Roman"/>
                <w:sz w:val="19"/>
                <w:szCs w:val="19"/>
              </w:rPr>
              <w:t>However</w:t>
            </w:r>
            <w:proofErr w:type="gramEnd"/>
            <w:r w:rsidRPr="00511DED">
              <w:rPr>
                <w:rFonts w:ascii="Times New Roman" w:eastAsia="Calibri" w:hAnsi="Times New Roman"/>
                <w:sz w:val="19"/>
                <w:szCs w:val="19"/>
              </w:rPr>
              <w:t xml:space="preserve"> the coverage of the </w:t>
            </w:r>
            <w:proofErr w:type="spellStart"/>
            <w:r w:rsidRPr="00511DED">
              <w:rPr>
                <w:rFonts w:ascii="Times New Roman" w:eastAsia="Calibri" w:hAnsi="Times New Roman"/>
                <w:sz w:val="19"/>
                <w:szCs w:val="19"/>
              </w:rPr>
              <w:t>MoHA</w:t>
            </w:r>
            <w:proofErr w:type="spellEnd"/>
            <w:r w:rsidRPr="00511DED">
              <w:rPr>
                <w:rFonts w:ascii="Times New Roman" w:eastAsia="Calibri" w:hAnsi="Times New Roman"/>
                <w:sz w:val="19"/>
                <w:szCs w:val="19"/>
              </w:rPr>
              <w:t xml:space="preserve"> and MoF controls does not include the significant part represented by the police and armed forces managed separately.</w:t>
            </w:r>
          </w:p>
        </w:tc>
      </w:tr>
      <w:tr w:rsidR="007518E4" w:rsidRPr="00C76C53" w14:paraId="1B6AED72"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77DFEE2"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23.4 </w:t>
            </w:r>
            <w:r w:rsidRPr="00C76C53">
              <w:rPr>
                <w:rFonts w:ascii="Times New Roman" w:hAnsi="Times New Roman"/>
                <w:sz w:val="19"/>
                <w:szCs w:val="19"/>
              </w:rPr>
              <w:t>Payroll audit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7A81F48" w14:textId="77777777" w:rsidR="007518E4" w:rsidRPr="00511DED" w:rsidRDefault="007518E4" w:rsidP="00E12685">
            <w:pPr>
              <w:spacing w:before="0"/>
              <w:ind w:left="0"/>
              <w:jc w:val="center"/>
              <w:rPr>
                <w:rFonts w:ascii="Times New Roman" w:hAnsi="Times New Roman"/>
                <w:sz w:val="19"/>
                <w:szCs w:val="19"/>
              </w:rPr>
            </w:pPr>
            <w:r w:rsidRPr="00511DE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37C4FEAC" w14:textId="77777777" w:rsidR="007518E4" w:rsidRPr="00511DED" w:rsidRDefault="007518E4" w:rsidP="00E12685">
            <w:pPr>
              <w:spacing w:before="0"/>
              <w:ind w:left="0"/>
              <w:rPr>
                <w:rFonts w:ascii="Times New Roman" w:eastAsia="Calibri" w:hAnsi="Times New Roman"/>
                <w:sz w:val="19"/>
                <w:szCs w:val="19"/>
              </w:rPr>
            </w:pPr>
            <w:r w:rsidRPr="00511DED">
              <w:rPr>
                <w:rFonts w:ascii="Times New Roman" w:hAnsi="Times New Roman"/>
                <w:sz w:val="19"/>
                <w:szCs w:val="19"/>
              </w:rPr>
              <w:t>No comprehensive or partial payroll audit by SAO has been completed within the last three years.</w:t>
            </w:r>
          </w:p>
        </w:tc>
      </w:tr>
      <w:tr w:rsidR="007518E4" w:rsidRPr="00C76C53" w14:paraId="36D5A98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023E389"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
                <w:bCs/>
                <w:sz w:val="19"/>
                <w:szCs w:val="19"/>
              </w:rPr>
            </w:pPr>
            <w:r w:rsidRPr="00C76C53">
              <w:rPr>
                <w:rFonts w:ascii="Times New Roman" w:eastAsia="Arial" w:hAnsi="Times New Roman"/>
                <w:b/>
                <w:bCs/>
                <w:color w:val="000000"/>
                <w:sz w:val="19"/>
                <w:szCs w:val="19"/>
                <w:lang w:val="en-GB" w:eastAsia="ar-SA"/>
              </w:rPr>
              <w:t>PI-24</w:t>
            </w:r>
            <w:r w:rsidRPr="00C76C53">
              <w:rPr>
                <w:rFonts w:ascii="Times New Roman" w:hAnsi="Times New Roman"/>
                <w:b/>
                <w:bCs/>
                <w:sz w:val="19"/>
                <w:szCs w:val="19"/>
                <w:lang w:val="en-GB"/>
              </w:rPr>
              <w:t xml:space="preserve"> Procurement management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BDCF6A8"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56EF567C" w14:textId="77777777" w:rsidR="007518E4" w:rsidRPr="00303823" w:rsidRDefault="007518E4" w:rsidP="00E12685">
            <w:pPr>
              <w:spacing w:before="0"/>
              <w:ind w:left="0"/>
              <w:rPr>
                <w:rFonts w:ascii="Times New Roman" w:hAnsi="Times New Roman"/>
                <w:sz w:val="19"/>
                <w:szCs w:val="19"/>
              </w:rPr>
            </w:pPr>
            <w:r w:rsidRPr="00303823">
              <w:rPr>
                <w:rFonts w:ascii="Times New Roman" w:eastAsia="Calibri" w:hAnsi="Times New Roman"/>
                <w:color w:val="000000"/>
                <w:sz w:val="19"/>
                <w:szCs w:val="19"/>
              </w:rPr>
              <w:t xml:space="preserve">Dimension scores combined by method M2 (Average) </w:t>
            </w:r>
          </w:p>
        </w:tc>
      </w:tr>
      <w:tr w:rsidR="007518E4" w:rsidRPr="00C76C53" w14:paraId="08EFED6C"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3DD4F7F5"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hAnsi="Times New Roman"/>
                <w:bCs/>
                <w:sz w:val="19"/>
                <w:szCs w:val="19"/>
                <w:lang w:val="en-GB"/>
              </w:rPr>
              <w:lastRenderedPageBreak/>
              <w:t xml:space="preserve">24.1 </w:t>
            </w:r>
            <w:r w:rsidRPr="00C76C53">
              <w:rPr>
                <w:rFonts w:ascii="Times New Roman" w:hAnsi="Times New Roman"/>
                <w:sz w:val="19"/>
                <w:szCs w:val="19"/>
              </w:rPr>
              <w:t>Procurement monitoring</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E394507"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6619DAE8" w14:textId="77777777" w:rsidR="007518E4" w:rsidRPr="00303823" w:rsidRDefault="007518E4" w:rsidP="00E12685">
            <w:pPr>
              <w:spacing w:before="0"/>
              <w:ind w:left="0"/>
              <w:rPr>
                <w:rFonts w:ascii="Times New Roman" w:eastAsia="Calibri" w:hAnsi="Times New Roman"/>
                <w:sz w:val="19"/>
                <w:szCs w:val="19"/>
              </w:rPr>
            </w:pPr>
            <w:r w:rsidRPr="00303823">
              <w:rPr>
                <w:rFonts w:ascii="Times New Roman" w:eastAsia="Calibri" w:hAnsi="Times New Roman"/>
                <w:sz w:val="19"/>
                <w:szCs w:val="19"/>
              </w:rPr>
              <w:t>No comprehensive databases are available to provide consolidated information on procurement operations by government entities. The procurement function is fully decentralized at ministry department level.  Records are maintained for contracts by each implementing entity and there is neither a system nor database to track data available on procurement and contract management.</w:t>
            </w:r>
          </w:p>
        </w:tc>
      </w:tr>
      <w:tr w:rsidR="007518E4" w:rsidRPr="00C76C53" w14:paraId="03E2A24A"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773F45D"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eastAsia="Arial" w:hAnsi="Times New Roman"/>
                <w:bCs/>
                <w:color w:val="000000"/>
                <w:sz w:val="19"/>
                <w:szCs w:val="19"/>
                <w:lang w:val="en-GB" w:eastAsia="ar-SA"/>
              </w:rPr>
              <w:t xml:space="preserve">24.2 </w:t>
            </w:r>
            <w:r w:rsidRPr="00C76C53">
              <w:rPr>
                <w:rFonts w:ascii="Times New Roman" w:hAnsi="Times New Roman"/>
                <w:sz w:val="19"/>
                <w:szCs w:val="19"/>
              </w:rPr>
              <w:t>Procurement methods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6729377"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r w:rsidR="00167035">
              <w:rPr>
                <w:rFonts w:ascii="Times New Roman" w:hAnsi="Times New Roman"/>
                <w:sz w:val="19"/>
                <w:szCs w:val="19"/>
              </w:rPr>
              <w:t>*</w:t>
            </w:r>
          </w:p>
        </w:tc>
        <w:tc>
          <w:tcPr>
            <w:tcW w:w="5369" w:type="dxa"/>
            <w:tcBorders>
              <w:top w:val="single" w:sz="4" w:space="0" w:color="auto"/>
              <w:left w:val="single" w:sz="4" w:space="0" w:color="auto"/>
              <w:bottom w:val="single" w:sz="4" w:space="0" w:color="auto"/>
              <w:right w:val="single" w:sz="4" w:space="0" w:color="auto"/>
            </w:tcBorders>
            <w:vAlign w:val="center"/>
          </w:tcPr>
          <w:p w14:paraId="6490037C" w14:textId="77777777" w:rsidR="007518E4" w:rsidRPr="00303823" w:rsidRDefault="007518E4" w:rsidP="00E12685">
            <w:pPr>
              <w:spacing w:before="0"/>
              <w:ind w:left="0"/>
              <w:rPr>
                <w:rFonts w:ascii="Times New Roman" w:hAnsi="Times New Roman"/>
                <w:sz w:val="19"/>
                <w:szCs w:val="19"/>
              </w:rPr>
            </w:pPr>
            <w:r w:rsidRPr="00303823">
              <w:rPr>
                <w:rFonts w:ascii="Times New Roman" w:eastAsia="Calibri" w:hAnsi="Times New Roman"/>
                <w:bCs/>
                <w:color w:val="000000"/>
                <w:sz w:val="19"/>
                <w:szCs w:val="19"/>
              </w:rPr>
              <w:t xml:space="preserve">There is no reliable and available data on the application of the various procurement methods for award of contracts.  The limited information from </w:t>
            </w:r>
            <w:proofErr w:type="spellStart"/>
            <w:r w:rsidRPr="00303823">
              <w:rPr>
                <w:rFonts w:ascii="Times New Roman" w:eastAsia="Calibri" w:hAnsi="Times New Roman"/>
                <w:bCs/>
                <w:color w:val="000000"/>
                <w:sz w:val="19"/>
                <w:szCs w:val="19"/>
              </w:rPr>
              <w:t>MoES</w:t>
            </w:r>
            <w:proofErr w:type="spellEnd"/>
            <w:r w:rsidRPr="00303823">
              <w:rPr>
                <w:rFonts w:ascii="Times New Roman" w:eastAsia="Calibri" w:hAnsi="Times New Roman"/>
                <w:bCs/>
                <w:color w:val="000000"/>
                <w:sz w:val="19"/>
                <w:szCs w:val="19"/>
              </w:rPr>
              <w:t xml:space="preserve"> suggests that the existing rules are not applied.</w:t>
            </w:r>
          </w:p>
        </w:tc>
      </w:tr>
      <w:tr w:rsidR="007518E4" w:rsidRPr="00C76C53" w14:paraId="3620CADF"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8789620"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eastAsia="Arial" w:hAnsi="Times New Roman"/>
                <w:bCs/>
                <w:color w:val="000000"/>
                <w:sz w:val="19"/>
                <w:szCs w:val="19"/>
                <w:lang w:val="en-GB" w:eastAsia="ar-SA"/>
              </w:rPr>
              <w:t xml:space="preserve">24.3 </w:t>
            </w:r>
            <w:r w:rsidRPr="00C76C53">
              <w:rPr>
                <w:rFonts w:ascii="Times New Roman" w:hAnsi="Times New Roman"/>
                <w:sz w:val="19"/>
                <w:szCs w:val="19"/>
              </w:rPr>
              <w:t>Public access to procurement information</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52407AB"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4246EDE2" w14:textId="77777777" w:rsidR="007518E4" w:rsidRPr="00303823" w:rsidRDefault="007518E4" w:rsidP="00E12685">
            <w:pPr>
              <w:spacing w:before="0"/>
              <w:ind w:left="0"/>
              <w:rPr>
                <w:rFonts w:ascii="Times New Roman" w:eastAsia="Calibri" w:hAnsi="Times New Roman"/>
                <w:color w:val="000000"/>
                <w:sz w:val="19"/>
                <w:szCs w:val="19"/>
              </w:rPr>
            </w:pPr>
            <w:r w:rsidRPr="00303823">
              <w:rPr>
                <w:rFonts w:ascii="Times New Roman" w:eastAsia="Calibri" w:hAnsi="Times New Roman"/>
                <w:sz w:val="19"/>
                <w:szCs w:val="19"/>
              </w:rPr>
              <w:t>Key procurement information is not made available to the public beyond legislation and competitive bidding opportunities.</w:t>
            </w:r>
          </w:p>
        </w:tc>
      </w:tr>
      <w:tr w:rsidR="007518E4" w:rsidRPr="00C76C53" w14:paraId="1AEBB591"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313A9B3" w14:textId="77777777" w:rsidR="007518E4" w:rsidRPr="00C76C53" w:rsidRDefault="007518E4" w:rsidP="00E12685">
            <w:pPr>
              <w:spacing w:before="0"/>
              <w:ind w:left="0"/>
              <w:rPr>
                <w:rFonts w:ascii="Times New Roman" w:hAnsi="Times New Roman"/>
                <w:bCs/>
                <w:sz w:val="19"/>
                <w:szCs w:val="19"/>
              </w:rPr>
            </w:pPr>
            <w:r w:rsidRPr="00C76C53">
              <w:rPr>
                <w:rFonts w:ascii="Times New Roman" w:eastAsia="Arial" w:hAnsi="Times New Roman"/>
                <w:bCs/>
                <w:color w:val="000000"/>
                <w:sz w:val="19"/>
                <w:szCs w:val="19"/>
                <w:lang w:val="en-GB" w:eastAsia="ar-SA"/>
              </w:rPr>
              <w:t xml:space="preserve">24.4 </w:t>
            </w:r>
            <w:r w:rsidRPr="00C76C53">
              <w:rPr>
                <w:rFonts w:ascii="Times New Roman" w:hAnsi="Times New Roman"/>
                <w:sz w:val="19"/>
                <w:szCs w:val="19"/>
              </w:rPr>
              <w:t>Procurement complaints management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46205F4"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7F8B37E1" w14:textId="77777777" w:rsidR="007518E4" w:rsidRPr="00303823" w:rsidRDefault="007518E4" w:rsidP="00E12685">
            <w:pPr>
              <w:spacing w:before="0"/>
              <w:ind w:left="0"/>
              <w:rPr>
                <w:rFonts w:ascii="Times New Roman" w:hAnsi="Times New Roman"/>
                <w:sz w:val="19"/>
                <w:szCs w:val="19"/>
              </w:rPr>
            </w:pPr>
            <w:r w:rsidRPr="00303823">
              <w:rPr>
                <w:rFonts w:ascii="Times New Roman" w:hAnsi="Times New Roman"/>
                <w:sz w:val="19"/>
                <w:szCs w:val="19"/>
              </w:rPr>
              <w:t>The procurement complaint system does not meet criterion (1) relating to an independent complaints body and only one of the other criteria (not charging fees).</w:t>
            </w:r>
          </w:p>
        </w:tc>
      </w:tr>
      <w:tr w:rsidR="007518E4" w:rsidRPr="00C76C53" w14:paraId="4CF66EC6"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5FA134D8"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b/>
                <w:color w:val="000000"/>
                <w:sz w:val="19"/>
                <w:szCs w:val="19"/>
                <w:lang w:eastAsia="ar-SA"/>
              </w:rPr>
            </w:pPr>
            <w:r w:rsidRPr="00C76C53">
              <w:rPr>
                <w:rFonts w:ascii="Times New Roman" w:eastAsia="Arial" w:hAnsi="Times New Roman"/>
                <w:b/>
                <w:bCs/>
                <w:color w:val="000000"/>
                <w:sz w:val="19"/>
                <w:szCs w:val="19"/>
                <w:lang w:eastAsia="ar-SA"/>
              </w:rPr>
              <w:t>PI-25</w:t>
            </w:r>
            <w:r w:rsidRPr="00C76C53">
              <w:rPr>
                <w:rFonts w:ascii="Times New Roman" w:hAnsi="Times New Roman"/>
                <w:b/>
                <w:bCs/>
                <w:sz w:val="19"/>
                <w:szCs w:val="19"/>
              </w:rPr>
              <w:t xml:space="preserve"> </w:t>
            </w:r>
            <w:r w:rsidRPr="00C76C53">
              <w:rPr>
                <w:rFonts w:ascii="Times New Roman" w:hAnsi="Times New Roman"/>
                <w:b/>
                <w:sz w:val="19"/>
                <w:szCs w:val="19"/>
              </w:rPr>
              <w:t>Internal controls on non-salary expenditure</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6753303"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C</w:t>
            </w:r>
            <w:r w:rsidR="00F527C0">
              <w:rPr>
                <w:rFonts w:ascii="Times New Roman" w:hAnsi="Times New Roman"/>
                <w:sz w:val="19"/>
                <w:szCs w:val="19"/>
              </w:rPr>
              <w:t>+</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1932CD30" w14:textId="77777777" w:rsidR="007518E4" w:rsidRPr="00303823" w:rsidRDefault="007518E4" w:rsidP="00E12685">
            <w:pPr>
              <w:spacing w:before="0"/>
              <w:ind w:left="0"/>
              <w:rPr>
                <w:rFonts w:ascii="Times New Roman" w:hAnsi="Times New Roman"/>
                <w:sz w:val="19"/>
                <w:szCs w:val="19"/>
              </w:rPr>
            </w:pPr>
            <w:r w:rsidRPr="00303823">
              <w:rPr>
                <w:rFonts w:ascii="Times New Roman" w:eastAsia="Calibri" w:hAnsi="Times New Roman"/>
                <w:color w:val="000000"/>
                <w:sz w:val="19"/>
                <w:szCs w:val="19"/>
              </w:rPr>
              <w:t>Dimension scores combined by method M2 (Average)</w:t>
            </w:r>
          </w:p>
        </w:tc>
      </w:tr>
      <w:tr w:rsidR="007518E4" w:rsidRPr="00C76C53" w14:paraId="0ADD6AC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5046E95"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25.1 </w:t>
            </w:r>
            <w:r w:rsidRPr="00C76C53">
              <w:rPr>
                <w:rFonts w:ascii="Times New Roman" w:hAnsi="Times New Roman"/>
                <w:spacing w:val="-1"/>
                <w:sz w:val="19"/>
                <w:szCs w:val="19"/>
              </w:rPr>
              <w:t>Segregation</w:t>
            </w:r>
            <w:r w:rsidRPr="00C76C53">
              <w:rPr>
                <w:rFonts w:ascii="Times New Roman" w:hAnsi="Times New Roman"/>
                <w:spacing w:val="-10"/>
                <w:sz w:val="19"/>
                <w:szCs w:val="19"/>
              </w:rPr>
              <w:t xml:space="preserve"> </w:t>
            </w:r>
            <w:r w:rsidRPr="00C76C53">
              <w:rPr>
                <w:rFonts w:ascii="Times New Roman" w:hAnsi="Times New Roman"/>
                <w:sz w:val="19"/>
                <w:szCs w:val="19"/>
              </w:rPr>
              <w:t>of</w:t>
            </w:r>
            <w:r w:rsidRPr="00C76C53">
              <w:rPr>
                <w:rFonts w:ascii="Times New Roman" w:hAnsi="Times New Roman"/>
                <w:spacing w:val="-10"/>
                <w:sz w:val="19"/>
                <w:szCs w:val="19"/>
              </w:rPr>
              <w:t xml:space="preserve"> </w:t>
            </w:r>
            <w:r w:rsidRPr="00C76C53">
              <w:rPr>
                <w:rFonts w:ascii="Times New Roman" w:hAnsi="Times New Roman"/>
                <w:spacing w:val="-1"/>
                <w:sz w:val="19"/>
                <w:szCs w:val="19"/>
              </w:rPr>
              <w:t>duties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6131D00"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164C5ECC" w14:textId="77777777" w:rsidR="007518E4" w:rsidRPr="00303823" w:rsidRDefault="007518E4" w:rsidP="00E12685">
            <w:pPr>
              <w:spacing w:before="0"/>
              <w:ind w:left="0"/>
              <w:rPr>
                <w:rFonts w:ascii="Times New Roman" w:eastAsia="Calibri" w:hAnsi="Times New Roman"/>
                <w:sz w:val="19"/>
                <w:szCs w:val="19"/>
              </w:rPr>
            </w:pPr>
            <w:r w:rsidRPr="00303823">
              <w:rPr>
                <w:rFonts w:ascii="Times New Roman" w:hAnsi="Times New Roman"/>
                <w:sz w:val="19"/>
                <w:szCs w:val="19"/>
              </w:rPr>
              <w:t>Segregation of duties is prescribed throughout the expenditure process with responsibilities laid down for most key steps.  Systematic and consistent definition of rules, regulations and responsibilities are still needed.</w:t>
            </w:r>
          </w:p>
        </w:tc>
      </w:tr>
      <w:tr w:rsidR="007518E4" w:rsidRPr="00C76C53" w14:paraId="1A3EFCD8"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B558C96" w14:textId="77777777" w:rsidR="007518E4" w:rsidRPr="00C76C53" w:rsidRDefault="007518E4" w:rsidP="00E12685">
            <w:pPr>
              <w:spacing w:before="0"/>
              <w:ind w:left="0"/>
              <w:rPr>
                <w:rFonts w:ascii="Times New Roman" w:eastAsia="Arial" w:hAnsi="Times New Roman"/>
                <w:color w:val="000000"/>
                <w:sz w:val="19"/>
                <w:szCs w:val="19"/>
                <w:lang w:eastAsia="ar-SA"/>
              </w:rPr>
            </w:pPr>
            <w:r w:rsidRPr="00C76C53">
              <w:rPr>
                <w:rFonts w:ascii="Times New Roman" w:hAnsi="Times New Roman"/>
                <w:bCs/>
                <w:sz w:val="19"/>
                <w:szCs w:val="19"/>
              </w:rPr>
              <w:t xml:space="preserve">25.2 </w:t>
            </w:r>
            <w:r w:rsidRPr="00C76C53">
              <w:rPr>
                <w:rFonts w:ascii="Times New Roman" w:hAnsi="Times New Roman"/>
                <w:spacing w:val="-1"/>
                <w:sz w:val="19"/>
                <w:szCs w:val="19"/>
              </w:rPr>
              <w:t>Effectiveness</w:t>
            </w:r>
            <w:r w:rsidRPr="00C76C53">
              <w:rPr>
                <w:rFonts w:ascii="Times New Roman" w:hAnsi="Times New Roman"/>
                <w:spacing w:val="-11"/>
                <w:sz w:val="19"/>
                <w:szCs w:val="19"/>
              </w:rPr>
              <w:t xml:space="preserve"> </w:t>
            </w:r>
            <w:r w:rsidRPr="00C76C53">
              <w:rPr>
                <w:rFonts w:ascii="Times New Roman" w:hAnsi="Times New Roman"/>
                <w:sz w:val="19"/>
                <w:szCs w:val="19"/>
              </w:rPr>
              <w:t>of</w:t>
            </w:r>
            <w:r w:rsidRPr="00C76C53">
              <w:rPr>
                <w:rFonts w:ascii="Times New Roman" w:hAnsi="Times New Roman"/>
                <w:spacing w:val="-12"/>
                <w:sz w:val="19"/>
                <w:szCs w:val="19"/>
              </w:rPr>
              <w:t xml:space="preserve"> </w:t>
            </w:r>
            <w:r w:rsidRPr="00C76C53">
              <w:rPr>
                <w:rFonts w:ascii="Times New Roman" w:hAnsi="Times New Roman"/>
                <w:spacing w:val="-1"/>
                <w:sz w:val="19"/>
                <w:szCs w:val="19"/>
              </w:rPr>
              <w:t>expenditure</w:t>
            </w:r>
            <w:r w:rsidRPr="00C76C53">
              <w:rPr>
                <w:rFonts w:ascii="Times New Roman" w:hAnsi="Times New Roman"/>
                <w:spacing w:val="-10"/>
                <w:sz w:val="19"/>
                <w:szCs w:val="19"/>
              </w:rPr>
              <w:t xml:space="preserve"> </w:t>
            </w:r>
            <w:r w:rsidRPr="00C76C53">
              <w:rPr>
                <w:rFonts w:ascii="Times New Roman" w:hAnsi="Times New Roman"/>
                <w:spacing w:val="-1"/>
                <w:sz w:val="19"/>
                <w:szCs w:val="19"/>
              </w:rPr>
              <w:t>commitment</w:t>
            </w:r>
            <w:r w:rsidRPr="00C76C53">
              <w:rPr>
                <w:rFonts w:ascii="Times New Roman" w:hAnsi="Times New Roman"/>
                <w:spacing w:val="-9"/>
                <w:sz w:val="19"/>
                <w:szCs w:val="19"/>
              </w:rPr>
              <w:t xml:space="preserve"> </w:t>
            </w:r>
            <w:r w:rsidRPr="00C76C53">
              <w:rPr>
                <w:rFonts w:ascii="Times New Roman" w:hAnsi="Times New Roman"/>
                <w:spacing w:val="-1"/>
                <w:sz w:val="19"/>
                <w:szCs w:val="19"/>
              </w:rPr>
              <w:t>controls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BFF36D9"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18E81374" w14:textId="77777777" w:rsidR="007518E4" w:rsidRPr="00303823" w:rsidRDefault="007518E4" w:rsidP="00E12685">
            <w:pPr>
              <w:spacing w:before="0"/>
              <w:ind w:left="0"/>
              <w:rPr>
                <w:rFonts w:ascii="Times New Roman" w:hAnsi="Times New Roman"/>
                <w:sz w:val="19"/>
                <w:szCs w:val="19"/>
              </w:rPr>
            </w:pPr>
            <w:r w:rsidRPr="00303823">
              <w:rPr>
                <w:rFonts w:ascii="Times New Roman" w:hAnsi="Times New Roman"/>
                <w:bCs/>
                <w:color w:val="000000"/>
                <w:sz w:val="19"/>
                <w:szCs w:val="19"/>
              </w:rPr>
              <w:t>Expenditure commitment control procedures exist as part of GFIS for recurrent expenditures. However, the effectiveness of the control system is undermined by the uncertainty and lack of information on cash availability for payments and contracting obligations that can incur outside the GFIS system. Additionally, only the central government operations can be fully captured by GFIS and are limited to single-year commitments.</w:t>
            </w:r>
          </w:p>
        </w:tc>
      </w:tr>
      <w:tr w:rsidR="007518E4" w:rsidRPr="00C76C53" w14:paraId="2C06A3CC"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D76AAAE"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25.3 </w:t>
            </w:r>
            <w:r w:rsidRPr="00C76C53">
              <w:rPr>
                <w:rFonts w:ascii="Times New Roman" w:hAnsi="Times New Roman"/>
                <w:sz w:val="19"/>
                <w:szCs w:val="19"/>
              </w:rPr>
              <w:t>Compliance with payment rules and procedures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C7EC89A" w14:textId="77777777" w:rsidR="007518E4" w:rsidRPr="00303823" w:rsidRDefault="00F527C0" w:rsidP="00E12685">
            <w:pPr>
              <w:spacing w:before="0"/>
              <w:ind w:left="0"/>
              <w:jc w:val="center"/>
              <w:rPr>
                <w:rFonts w:ascii="Times New Roman" w:hAnsi="Times New Roman"/>
                <w:sz w:val="19"/>
                <w:szCs w:val="19"/>
              </w:rPr>
            </w:pPr>
            <w:r>
              <w:rPr>
                <w:rFonts w:ascii="Times New Roman" w:hAnsi="Times New Roman"/>
                <w:sz w:val="19"/>
                <w:szCs w:val="19"/>
              </w:rPr>
              <w:t>B</w:t>
            </w:r>
          </w:p>
        </w:tc>
        <w:tc>
          <w:tcPr>
            <w:tcW w:w="5369" w:type="dxa"/>
            <w:tcBorders>
              <w:top w:val="single" w:sz="4" w:space="0" w:color="auto"/>
              <w:left w:val="single" w:sz="4" w:space="0" w:color="auto"/>
              <w:bottom w:val="single" w:sz="4" w:space="0" w:color="auto"/>
              <w:right w:val="single" w:sz="4" w:space="0" w:color="auto"/>
            </w:tcBorders>
            <w:vAlign w:val="center"/>
          </w:tcPr>
          <w:p w14:paraId="36E28B4C" w14:textId="77777777" w:rsidR="007518E4" w:rsidRPr="00303823" w:rsidRDefault="007518E4" w:rsidP="00E12685">
            <w:pPr>
              <w:spacing w:before="0"/>
              <w:ind w:left="0"/>
              <w:rPr>
                <w:rFonts w:ascii="Times New Roman" w:eastAsia="Calibri" w:hAnsi="Times New Roman"/>
                <w:color w:val="000000"/>
                <w:sz w:val="19"/>
                <w:szCs w:val="19"/>
              </w:rPr>
            </w:pPr>
            <w:r w:rsidRPr="00303823">
              <w:rPr>
                <w:rFonts w:ascii="Times New Roman" w:eastAsia="Calibri" w:hAnsi="Times New Roman"/>
                <w:bCs/>
                <w:color w:val="000000"/>
                <w:sz w:val="19"/>
                <w:szCs w:val="19"/>
              </w:rPr>
              <w:t>Stricter procedures for expenditure authorization by the Treasury department</w:t>
            </w:r>
            <w:r w:rsidRPr="00303823">
              <w:rPr>
                <w:rFonts w:ascii="Times New Roman" w:eastAsia="Calibri" w:hAnsi="Times New Roman"/>
                <w:color w:val="000000"/>
                <w:sz w:val="19"/>
                <w:szCs w:val="19"/>
              </w:rPr>
              <w:t xml:space="preserve"> have been enforced since 2017.  Evidence shows that basic controls relating to payments are usually complied with,</w:t>
            </w:r>
            <w:r w:rsidRPr="00303823">
              <w:rPr>
                <w:rFonts w:ascii="Times New Roman" w:eastAsia="Calibri" w:hAnsi="Times New Roman"/>
                <w:bCs/>
                <w:color w:val="000000"/>
                <w:sz w:val="19"/>
                <w:szCs w:val="19"/>
              </w:rPr>
              <w:t xml:space="preserve"> and </w:t>
            </w:r>
            <w:r w:rsidRPr="00303823">
              <w:rPr>
                <w:rFonts w:ascii="Times New Roman" w:eastAsia="Calibri" w:hAnsi="Times New Roman"/>
                <w:color w:val="000000"/>
                <w:sz w:val="19"/>
                <w:szCs w:val="19"/>
              </w:rPr>
              <w:t xml:space="preserve">exceptions duly justified. SAO reports for the past period concluded </w:t>
            </w:r>
            <w:r w:rsidRPr="00303823">
              <w:rPr>
                <w:rFonts w:ascii="Times New Roman" w:eastAsia="Calibri" w:hAnsi="Times New Roman"/>
                <w:bCs/>
                <w:color w:val="000000"/>
                <w:sz w:val="19"/>
                <w:szCs w:val="19"/>
              </w:rPr>
              <w:t xml:space="preserve">unauthorized expenditures not fully compliant with the regular payment procedures. </w:t>
            </w:r>
          </w:p>
        </w:tc>
      </w:tr>
      <w:tr w:rsidR="007518E4" w:rsidRPr="00C76C53" w14:paraId="52D1A52F"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15C6A400"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b/>
                <w:color w:val="000000"/>
                <w:sz w:val="19"/>
                <w:szCs w:val="19"/>
                <w:lang w:eastAsia="ar-SA"/>
              </w:rPr>
            </w:pPr>
            <w:r w:rsidRPr="00C76C53">
              <w:rPr>
                <w:rFonts w:ascii="Times New Roman" w:eastAsia="Arial" w:hAnsi="Times New Roman"/>
                <w:b/>
                <w:bCs/>
                <w:color w:val="000000"/>
                <w:sz w:val="19"/>
                <w:szCs w:val="19"/>
                <w:lang w:eastAsia="ar-SA"/>
              </w:rPr>
              <w:t>PI-26</w:t>
            </w:r>
            <w:r w:rsidRPr="00C76C53">
              <w:rPr>
                <w:rFonts w:ascii="Times New Roman" w:hAnsi="Times New Roman"/>
                <w:b/>
                <w:bCs/>
                <w:sz w:val="19"/>
                <w:szCs w:val="19"/>
              </w:rPr>
              <w:t xml:space="preserve"> Internal audit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08E5425"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6F3EAF22" w14:textId="77777777" w:rsidR="007518E4" w:rsidRPr="00303823" w:rsidRDefault="007518E4" w:rsidP="00E12685">
            <w:pPr>
              <w:spacing w:before="0"/>
              <w:ind w:left="0"/>
              <w:rPr>
                <w:rFonts w:ascii="Times New Roman" w:hAnsi="Times New Roman"/>
                <w:sz w:val="19"/>
                <w:szCs w:val="19"/>
              </w:rPr>
            </w:pPr>
            <w:r w:rsidRPr="00303823">
              <w:rPr>
                <w:rFonts w:ascii="Times New Roman" w:eastAsia="Calibri" w:hAnsi="Times New Roman"/>
                <w:sz w:val="19"/>
                <w:szCs w:val="19"/>
              </w:rPr>
              <w:t>Dimension scores combined by Method M1 (weakest link)</w:t>
            </w:r>
          </w:p>
        </w:tc>
      </w:tr>
      <w:tr w:rsidR="007518E4" w:rsidRPr="00C76C53" w14:paraId="6AC83C7D"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4FBAEECA"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26.1 </w:t>
            </w:r>
            <w:r w:rsidRPr="00C76C53">
              <w:rPr>
                <w:rFonts w:ascii="Times New Roman" w:hAnsi="Times New Roman"/>
                <w:sz w:val="19"/>
                <w:szCs w:val="19"/>
              </w:rPr>
              <w:t>Coverage of internal audit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16798BE"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0E5B974E" w14:textId="77777777" w:rsidR="007518E4" w:rsidRPr="00303823" w:rsidRDefault="007518E4" w:rsidP="00E12685">
            <w:pPr>
              <w:spacing w:before="0"/>
              <w:ind w:left="0"/>
              <w:rPr>
                <w:rFonts w:ascii="Times New Roman" w:eastAsia="Calibri" w:hAnsi="Times New Roman"/>
                <w:color w:val="000000"/>
                <w:sz w:val="19"/>
                <w:szCs w:val="19"/>
              </w:rPr>
            </w:pPr>
            <w:r w:rsidRPr="00303823">
              <w:rPr>
                <w:rFonts w:ascii="Times New Roman" w:hAnsi="Times New Roman"/>
                <w:sz w:val="19"/>
                <w:szCs w:val="19"/>
              </w:rPr>
              <w:t xml:space="preserve">The Inspection departments in all government entities carry out ex post controls activities relating to the budget execution including some features of an operational audit function.  These activities cover organizational independence, access to information and power to report to the Head of the ministry or entity.  They do not operate based on recognized international standards and professional audit techniques. </w:t>
            </w:r>
          </w:p>
        </w:tc>
      </w:tr>
      <w:tr w:rsidR="007518E4" w:rsidRPr="00C76C53" w14:paraId="41E19BF6"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1EC5673F"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26.2 </w:t>
            </w:r>
            <w:r w:rsidRPr="00C76C53">
              <w:rPr>
                <w:rFonts w:ascii="Times New Roman" w:hAnsi="Times New Roman"/>
                <w:sz w:val="19"/>
                <w:szCs w:val="19"/>
              </w:rPr>
              <w:t>Nature of audits and standards applied</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6169BA7"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7C5E1F3F" w14:textId="77777777" w:rsidR="007518E4" w:rsidRPr="00303823" w:rsidRDefault="007518E4" w:rsidP="00E12685">
            <w:pPr>
              <w:spacing w:before="0"/>
              <w:ind w:left="0"/>
              <w:rPr>
                <w:rFonts w:ascii="Times New Roman" w:hAnsi="Times New Roman"/>
                <w:bCs/>
                <w:color w:val="000000"/>
                <w:sz w:val="19"/>
                <w:szCs w:val="19"/>
              </w:rPr>
            </w:pPr>
            <w:r w:rsidRPr="00303823">
              <w:rPr>
                <w:rFonts w:ascii="Times New Roman" w:hAnsi="Times New Roman"/>
                <w:bCs/>
                <w:color w:val="000000"/>
                <w:sz w:val="19"/>
                <w:szCs w:val="19"/>
              </w:rPr>
              <w:t>Internal audit activities largely focus on compliance. A quality assurance system is not in place and there are no established government standards for the Inspection planning and reporting.</w:t>
            </w:r>
          </w:p>
        </w:tc>
      </w:tr>
      <w:tr w:rsidR="007518E4" w:rsidRPr="00C76C53" w14:paraId="1C6B01DD"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072911C0"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eastAsia="Arial" w:hAnsi="Times New Roman"/>
                <w:color w:val="000000"/>
                <w:sz w:val="19"/>
                <w:szCs w:val="19"/>
                <w:lang w:eastAsia="ar-SA"/>
              </w:rPr>
            </w:pPr>
            <w:r w:rsidRPr="00C76C53">
              <w:rPr>
                <w:rFonts w:ascii="Times New Roman" w:hAnsi="Times New Roman"/>
                <w:bCs/>
                <w:sz w:val="19"/>
                <w:szCs w:val="19"/>
              </w:rPr>
              <w:t xml:space="preserve">26.3 </w:t>
            </w:r>
            <w:r w:rsidRPr="00C76C53">
              <w:rPr>
                <w:rFonts w:ascii="Times New Roman" w:hAnsi="Times New Roman"/>
                <w:sz w:val="19"/>
                <w:szCs w:val="19"/>
              </w:rPr>
              <w:t>Implementation of internal audits and reporting</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D9A9D02"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3F8640A6" w14:textId="77777777" w:rsidR="007518E4" w:rsidRPr="00303823" w:rsidRDefault="007518E4" w:rsidP="00E12685">
            <w:pPr>
              <w:spacing w:before="0"/>
              <w:ind w:left="0"/>
              <w:rPr>
                <w:rFonts w:ascii="Times New Roman" w:eastAsia="Calibri" w:hAnsi="Times New Roman"/>
                <w:color w:val="000000"/>
                <w:sz w:val="19"/>
                <w:szCs w:val="19"/>
              </w:rPr>
            </w:pPr>
            <w:r w:rsidRPr="00303823">
              <w:rPr>
                <w:rFonts w:ascii="Times New Roman" w:hAnsi="Times New Roman"/>
                <w:sz w:val="19"/>
                <w:szCs w:val="19"/>
              </w:rPr>
              <w:t xml:space="preserve">The Inspection departments’ work plan are implemented under the authority of their respective management and no information was accessible on the percentage of coverage of the planned activities and investigations </w:t>
            </w:r>
            <w:proofErr w:type="gramStart"/>
            <w:r w:rsidRPr="00303823">
              <w:rPr>
                <w:rFonts w:ascii="Times New Roman" w:hAnsi="Times New Roman"/>
                <w:sz w:val="19"/>
                <w:szCs w:val="19"/>
              </w:rPr>
              <w:t>effectively  undertaken</w:t>
            </w:r>
            <w:proofErr w:type="gramEnd"/>
          </w:p>
        </w:tc>
      </w:tr>
      <w:tr w:rsidR="007518E4" w:rsidRPr="00C76C53" w14:paraId="582610E9"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503341CB" w14:textId="77777777" w:rsidR="007518E4" w:rsidRPr="00C76C53" w:rsidRDefault="007518E4" w:rsidP="00E12685">
            <w:pPr>
              <w:widowControl w:val="0"/>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hAnsi="Times New Roman"/>
                <w:bCs/>
                <w:sz w:val="19"/>
                <w:szCs w:val="19"/>
              </w:rPr>
              <w:t xml:space="preserve">26.4 </w:t>
            </w:r>
            <w:r w:rsidRPr="00C76C53">
              <w:rPr>
                <w:rFonts w:ascii="Times New Roman" w:hAnsi="Times New Roman"/>
                <w:sz w:val="19"/>
                <w:szCs w:val="19"/>
              </w:rPr>
              <w:t>Response to internal audits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96FDFA9" w14:textId="77777777" w:rsidR="007518E4" w:rsidRPr="00303823" w:rsidRDefault="007518E4" w:rsidP="00E12685">
            <w:pPr>
              <w:spacing w:before="0"/>
              <w:ind w:left="0"/>
              <w:jc w:val="center"/>
              <w:rPr>
                <w:rFonts w:ascii="Times New Roman" w:hAnsi="Times New Roman"/>
                <w:sz w:val="19"/>
                <w:szCs w:val="19"/>
              </w:rPr>
            </w:pPr>
            <w:r w:rsidRPr="00303823">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33E44B35" w14:textId="77777777" w:rsidR="007518E4" w:rsidRPr="00303823" w:rsidRDefault="007518E4" w:rsidP="00E12685">
            <w:pPr>
              <w:spacing w:before="0"/>
              <w:ind w:left="0"/>
              <w:rPr>
                <w:rFonts w:ascii="Times New Roman" w:eastAsia="Calibri" w:hAnsi="Times New Roman"/>
                <w:color w:val="000000"/>
                <w:sz w:val="19"/>
                <w:szCs w:val="19"/>
              </w:rPr>
            </w:pPr>
            <w:r w:rsidRPr="00303823">
              <w:rPr>
                <w:rFonts w:ascii="Times New Roman" w:hAnsi="Times New Roman"/>
                <w:sz w:val="19"/>
                <w:szCs w:val="19"/>
              </w:rPr>
              <w:t xml:space="preserve">Follow up and response to the Inspection departments’ recommendations depends on the management decision and no tracking of follow up or resolution rate is available. </w:t>
            </w:r>
          </w:p>
        </w:tc>
      </w:tr>
      <w:tr w:rsidR="007518E4" w:rsidRPr="00C76C53" w14:paraId="4F9EC2DF"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4763A09F"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
                <w:bCs/>
                <w:sz w:val="19"/>
                <w:szCs w:val="19"/>
              </w:rPr>
            </w:pPr>
            <w:r w:rsidRPr="00C76C53">
              <w:rPr>
                <w:rFonts w:ascii="Times New Roman" w:eastAsia="Arial" w:hAnsi="Times New Roman"/>
                <w:b/>
                <w:bCs/>
                <w:color w:val="000000"/>
                <w:sz w:val="19"/>
                <w:szCs w:val="19"/>
                <w:lang w:eastAsia="ar-SA"/>
              </w:rPr>
              <w:t>PI-27</w:t>
            </w:r>
            <w:r w:rsidRPr="00C76C53">
              <w:rPr>
                <w:rFonts w:ascii="Times New Roman" w:hAnsi="Times New Roman"/>
                <w:b/>
                <w:bCs/>
                <w:sz w:val="19"/>
                <w:szCs w:val="19"/>
              </w:rPr>
              <w:t xml:space="preserve"> </w:t>
            </w:r>
            <w:r w:rsidRPr="00C76C53">
              <w:rPr>
                <w:rFonts w:ascii="Times New Roman" w:eastAsiaTheme="minorEastAsia" w:hAnsi="Times New Roman"/>
                <w:b/>
                <w:sz w:val="19"/>
                <w:szCs w:val="19"/>
              </w:rPr>
              <w:t>F</w:t>
            </w:r>
            <w:r w:rsidRPr="00C76C53">
              <w:rPr>
                <w:rFonts w:ascii="Times New Roman" w:hAnsi="Times New Roman"/>
                <w:b/>
                <w:sz w:val="19"/>
                <w:szCs w:val="19"/>
              </w:rPr>
              <w:t>inancial data integrity</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415D5C4"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64B6B085" w14:textId="77777777" w:rsidR="007518E4" w:rsidRPr="00105D4D" w:rsidRDefault="007518E4" w:rsidP="00E12685">
            <w:pPr>
              <w:spacing w:before="0"/>
              <w:ind w:left="0"/>
              <w:rPr>
                <w:rFonts w:ascii="Times New Roman" w:hAnsi="Times New Roman"/>
                <w:sz w:val="19"/>
                <w:szCs w:val="19"/>
              </w:rPr>
            </w:pPr>
            <w:r w:rsidRPr="00105D4D">
              <w:rPr>
                <w:rFonts w:ascii="Times New Roman" w:hAnsi="Times New Roman"/>
                <w:sz w:val="19"/>
                <w:szCs w:val="19"/>
              </w:rPr>
              <w:t>Dimension scores combined by Method M2 (average)</w:t>
            </w:r>
          </w:p>
        </w:tc>
      </w:tr>
      <w:tr w:rsidR="007518E4" w:rsidRPr="00C76C53" w14:paraId="09D90D20"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18A6B5B6" w14:textId="77777777" w:rsidR="007518E4" w:rsidRPr="00C76C53" w:rsidRDefault="007518E4" w:rsidP="00E12685">
            <w:pPr>
              <w:widowControl w:val="0"/>
              <w:tabs>
                <w:tab w:val="left" w:pos="274"/>
                <w:tab w:val="left" w:pos="961"/>
              </w:tabs>
              <w:spacing w:before="0"/>
              <w:ind w:left="0"/>
              <w:rPr>
                <w:rFonts w:ascii="Times New Roman" w:hAnsi="Times New Roman"/>
                <w:sz w:val="19"/>
                <w:szCs w:val="19"/>
                <w:lang w:val="en-GB"/>
              </w:rPr>
            </w:pPr>
            <w:r w:rsidRPr="00C76C53">
              <w:rPr>
                <w:rFonts w:ascii="Times New Roman" w:hAnsi="Times New Roman"/>
                <w:spacing w:val="-1"/>
                <w:sz w:val="19"/>
                <w:szCs w:val="19"/>
                <w:lang w:val="en-GB"/>
              </w:rPr>
              <w:t xml:space="preserve">27.1 </w:t>
            </w:r>
            <w:r w:rsidRPr="00C76C53">
              <w:rPr>
                <w:rFonts w:ascii="Times New Roman" w:hAnsi="Times New Roman"/>
                <w:sz w:val="19"/>
                <w:szCs w:val="19"/>
              </w:rPr>
              <w:t>Bank account reconciliation</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E95D2A5" w14:textId="77777777" w:rsidR="007518E4" w:rsidRPr="00105D4D" w:rsidRDefault="00F527C0" w:rsidP="00E12685">
            <w:pPr>
              <w:spacing w:before="0"/>
              <w:ind w:left="0"/>
              <w:jc w:val="center"/>
              <w:rPr>
                <w:rFonts w:ascii="Times New Roman" w:hAnsi="Times New Roman"/>
                <w:sz w:val="19"/>
                <w:szCs w:val="19"/>
              </w:rPr>
            </w:pPr>
            <w:r>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64BEE160"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The Treasury department is progressively taking steps toward the TSA implementation, but for the moment, reconciliations are done based on available GFIS records supported by manual processes for all other transactions not captured by GFIS. Main Treasury accounts at central level are reconciled daily for expenditures transactions and weekly for revenue collection. Other transactions from technical revenue or bank receipts can take up to one month.</w:t>
            </w:r>
          </w:p>
        </w:tc>
      </w:tr>
      <w:tr w:rsidR="007518E4" w:rsidRPr="00C76C53" w14:paraId="660AB2A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6D931A8" w14:textId="77777777" w:rsidR="007518E4" w:rsidRPr="00C76C53" w:rsidRDefault="007518E4" w:rsidP="00E12685">
            <w:pPr>
              <w:widowControl w:val="0"/>
              <w:tabs>
                <w:tab w:val="left" w:pos="961"/>
              </w:tabs>
              <w:spacing w:before="0"/>
              <w:ind w:left="0"/>
              <w:rPr>
                <w:rFonts w:ascii="Times New Roman" w:hAnsi="Times New Roman"/>
                <w:sz w:val="19"/>
                <w:szCs w:val="19"/>
                <w:lang w:val="en-GB"/>
              </w:rPr>
            </w:pPr>
            <w:r w:rsidRPr="00C76C53">
              <w:rPr>
                <w:rFonts w:ascii="Times New Roman" w:hAnsi="Times New Roman"/>
                <w:spacing w:val="-1"/>
                <w:sz w:val="19"/>
                <w:szCs w:val="19"/>
                <w:lang w:val="en-GB"/>
              </w:rPr>
              <w:lastRenderedPageBreak/>
              <w:t xml:space="preserve">27.2 </w:t>
            </w:r>
            <w:r w:rsidRPr="00C76C53">
              <w:rPr>
                <w:rFonts w:ascii="Times New Roman" w:hAnsi="Times New Roman"/>
                <w:sz w:val="19"/>
                <w:szCs w:val="19"/>
              </w:rPr>
              <w:t>Suspense accounts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552DA3D"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B</w:t>
            </w:r>
          </w:p>
        </w:tc>
        <w:tc>
          <w:tcPr>
            <w:tcW w:w="5369" w:type="dxa"/>
            <w:tcBorders>
              <w:top w:val="single" w:sz="4" w:space="0" w:color="auto"/>
              <w:left w:val="single" w:sz="4" w:space="0" w:color="auto"/>
              <w:bottom w:val="single" w:sz="4" w:space="0" w:color="auto"/>
              <w:right w:val="single" w:sz="4" w:space="0" w:color="auto"/>
            </w:tcBorders>
            <w:vAlign w:val="center"/>
          </w:tcPr>
          <w:p w14:paraId="468B38B1" w14:textId="1BF759F4"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 xml:space="preserve">Suspense accounts are reconciled </w:t>
            </w:r>
            <w:r w:rsidR="001548C8">
              <w:rPr>
                <w:rFonts w:ascii="Times New Roman" w:hAnsi="Times New Roman"/>
                <w:sz w:val="19"/>
                <w:szCs w:val="19"/>
                <w:lang w:eastAsia="en-IN"/>
              </w:rPr>
              <w:t xml:space="preserve">in a timely manner </w:t>
            </w:r>
            <w:r w:rsidRPr="00105D4D">
              <w:rPr>
                <w:rFonts w:ascii="Times New Roman" w:hAnsi="Times New Roman"/>
                <w:sz w:val="19"/>
                <w:szCs w:val="19"/>
                <w:lang w:eastAsia="en-IN"/>
              </w:rPr>
              <w:t>during the successive</w:t>
            </w:r>
            <w:r w:rsidR="001548C8">
              <w:rPr>
                <w:rFonts w:ascii="Times New Roman" w:hAnsi="Times New Roman"/>
                <w:sz w:val="19"/>
                <w:szCs w:val="19"/>
                <w:lang w:eastAsia="en-IN"/>
              </w:rPr>
              <w:t xml:space="preserve"> daily,</w:t>
            </w:r>
            <w:r w:rsidRPr="00105D4D">
              <w:rPr>
                <w:rFonts w:ascii="Times New Roman" w:hAnsi="Times New Roman"/>
                <w:sz w:val="19"/>
                <w:szCs w:val="19"/>
                <w:lang w:eastAsia="en-IN"/>
              </w:rPr>
              <w:t xml:space="preserve"> weekly and monthly reconciliation processes and are systematically cleared </w:t>
            </w:r>
            <w:r w:rsidR="001548C8">
              <w:rPr>
                <w:rFonts w:ascii="Times New Roman" w:hAnsi="Times New Roman"/>
                <w:sz w:val="19"/>
                <w:szCs w:val="19"/>
                <w:lang w:eastAsia="en-IN"/>
              </w:rPr>
              <w:t xml:space="preserve">during the closing period </w:t>
            </w:r>
            <w:proofErr w:type="gramStart"/>
            <w:r w:rsidR="001548C8">
              <w:rPr>
                <w:rFonts w:ascii="Times New Roman" w:hAnsi="Times New Roman"/>
                <w:sz w:val="19"/>
                <w:szCs w:val="19"/>
                <w:lang w:eastAsia="en-IN"/>
              </w:rPr>
              <w:t xml:space="preserve">after </w:t>
            </w:r>
            <w:r w:rsidRPr="00105D4D">
              <w:rPr>
                <w:rFonts w:ascii="Times New Roman" w:hAnsi="Times New Roman"/>
                <w:sz w:val="19"/>
                <w:szCs w:val="19"/>
                <w:lang w:eastAsia="en-IN"/>
              </w:rPr>
              <w:t xml:space="preserve"> the</w:t>
            </w:r>
            <w:proofErr w:type="gramEnd"/>
            <w:r w:rsidRPr="00105D4D">
              <w:rPr>
                <w:rFonts w:ascii="Times New Roman" w:hAnsi="Times New Roman"/>
                <w:sz w:val="19"/>
                <w:szCs w:val="19"/>
                <w:lang w:eastAsia="en-IN"/>
              </w:rPr>
              <w:t xml:space="preserve"> end of the fiscal year.</w:t>
            </w:r>
          </w:p>
        </w:tc>
      </w:tr>
      <w:tr w:rsidR="007518E4" w:rsidRPr="00C76C53" w14:paraId="51CDB627"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43753831" w14:textId="77777777" w:rsidR="007518E4" w:rsidRPr="00C76C53" w:rsidRDefault="007518E4" w:rsidP="00E12685">
            <w:pPr>
              <w:widowControl w:val="0"/>
              <w:tabs>
                <w:tab w:val="left" w:pos="960"/>
              </w:tabs>
              <w:spacing w:before="0"/>
              <w:ind w:left="0"/>
              <w:rPr>
                <w:rFonts w:ascii="Times New Roman" w:hAnsi="Times New Roman"/>
                <w:sz w:val="19"/>
                <w:szCs w:val="19"/>
                <w:lang w:val="en-GB"/>
              </w:rPr>
            </w:pPr>
            <w:r w:rsidRPr="00C76C53">
              <w:rPr>
                <w:rFonts w:ascii="Times New Roman" w:hAnsi="Times New Roman"/>
                <w:spacing w:val="-1"/>
                <w:sz w:val="19"/>
                <w:szCs w:val="19"/>
                <w:lang w:val="en-GB"/>
              </w:rPr>
              <w:t xml:space="preserve">27.3 </w:t>
            </w:r>
            <w:r w:rsidRPr="00C76C53">
              <w:rPr>
                <w:rFonts w:ascii="Times New Roman" w:hAnsi="Times New Roman"/>
                <w:sz w:val="19"/>
                <w:szCs w:val="19"/>
              </w:rPr>
              <w:t>Advance accounts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2F98320"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B</w:t>
            </w:r>
          </w:p>
        </w:tc>
        <w:tc>
          <w:tcPr>
            <w:tcW w:w="5369" w:type="dxa"/>
            <w:tcBorders>
              <w:top w:val="single" w:sz="4" w:space="0" w:color="auto"/>
              <w:left w:val="single" w:sz="4" w:space="0" w:color="auto"/>
              <w:bottom w:val="single" w:sz="4" w:space="0" w:color="auto"/>
              <w:right w:val="single" w:sz="4" w:space="0" w:color="auto"/>
            </w:tcBorders>
            <w:vAlign w:val="center"/>
          </w:tcPr>
          <w:p w14:paraId="39281581"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Advance accounts and records are correctly maintained, reconciliations take place at least quarterly and most advances are cleared in a timely manner.</w:t>
            </w:r>
          </w:p>
        </w:tc>
      </w:tr>
      <w:tr w:rsidR="007518E4" w:rsidRPr="00C76C53" w14:paraId="08B19A1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5BD1E12A" w14:textId="77777777" w:rsidR="007518E4" w:rsidRPr="00C76C53" w:rsidRDefault="007518E4" w:rsidP="00E12685">
            <w:pPr>
              <w:widowControl w:val="0"/>
              <w:tabs>
                <w:tab w:val="left" w:pos="961"/>
              </w:tabs>
              <w:spacing w:before="0"/>
              <w:ind w:left="0"/>
              <w:rPr>
                <w:rFonts w:ascii="Times New Roman" w:hAnsi="Times New Roman"/>
                <w:sz w:val="19"/>
                <w:szCs w:val="19"/>
                <w:lang w:val="en-GB"/>
              </w:rPr>
            </w:pPr>
            <w:r w:rsidRPr="00C76C53">
              <w:rPr>
                <w:rFonts w:ascii="Times New Roman" w:hAnsi="Times New Roman"/>
                <w:sz w:val="19"/>
                <w:szCs w:val="19"/>
                <w:lang w:val="en-GB"/>
              </w:rPr>
              <w:t xml:space="preserve">27.4 </w:t>
            </w:r>
            <w:r w:rsidRPr="00C76C53">
              <w:rPr>
                <w:rFonts w:ascii="Times New Roman" w:hAnsi="Times New Roman"/>
                <w:sz w:val="19"/>
                <w:szCs w:val="19"/>
              </w:rPr>
              <w:t>Financial data integrity processes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DB7F0C9"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349D1168"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 xml:space="preserve">Financial data is kept in an electronic system in which access and changes to records and data is restricted and recorded through segregation of access in line with duties through controlled passwords. Issues with the system security that could affect the data integrity have yet to be addressed. </w:t>
            </w:r>
          </w:p>
        </w:tc>
      </w:tr>
      <w:tr w:rsidR="007518E4" w:rsidRPr="00C76C53" w14:paraId="195C8AF7"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07095D5"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
                <w:bCs/>
                <w:sz w:val="19"/>
                <w:szCs w:val="19"/>
              </w:rPr>
            </w:pPr>
            <w:r w:rsidRPr="00C76C53">
              <w:rPr>
                <w:rFonts w:ascii="Times New Roman" w:eastAsia="Arial" w:hAnsi="Times New Roman"/>
                <w:b/>
                <w:bCs/>
                <w:color w:val="000000"/>
                <w:sz w:val="19"/>
                <w:szCs w:val="19"/>
                <w:lang w:eastAsia="ar-SA"/>
              </w:rPr>
              <w:t>PI-28</w:t>
            </w:r>
            <w:r w:rsidRPr="00C76C53">
              <w:rPr>
                <w:rFonts w:ascii="Times New Roman" w:hAnsi="Times New Roman"/>
                <w:b/>
                <w:bCs/>
                <w:sz w:val="19"/>
                <w:szCs w:val="19"/>
              </w:rPr>
              <w:t xml:space="preserve"> </w:t>
            </w:r>
            <w:r w:rsidRPr="00C76C53">
              <w:rPr>
                <w:rFonts w:ascii="Times New Roman" w:eastAsiaTheme="minorEastAsia" w:hAnsi="Times New Roman"/>
                <w:b/>
                <w:sz w:val="19"/>
                <w:szCs w:val="19"/>
              </w:rPr>
              <w:t>In-year budget reports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A30D86F"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r w:rsidR="008721BD">
              <w:rPr>
                <w:rFonts w:ascii="Times New Roman" w:hAnsi="Times New Roman"/>
                <w:sz w:val="19"/>
                <w:szCs w:val="19"/>
              </w:rPr>
              <w:t>+</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5EEBDBCF" w14:textId="77777777" w:rsidR="007518E4" w:rsidRPr="00105D4D" w:rsidRDefault="007518E4" w:rsidP="00E12685">
            <w:pPr>
              <w:spacing w:before="0"/>
              <w:ind w:left="0"/>
              <w:rPr>
                <w:rFonts w:ascii="Times New Roman" w:hAnsi="Times New Roman"/>
                <w:sz w:val="19"/>
                <w:szCs w:val="19"/>
              </w:rPr>
            </w:pPr>
            <w:r w:rsidRPr="00105D4D">
              <w:rPr>
                <w:rFonts w:ascii="Times New Roman" w:hAnsi="Times New Roman"/>
                <w:sz w:val="19"/>
                <w:szCs w:val="19"/>
              </w:rPr>
              <w:t>Dimension scores combined by Method M1 (weakest link)</w:t>
            </w:r>
          </w:p>
        </w:tc>
      </w:tr>
      <w:tr w:rsidR="007518E4" w:rsidRPr="00C76C53" w14:paraId="39D4E74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0E4BD563" w14:textId="77777777" w:rsidR="007518E4" w:rsidRPr="00C76C53" w:rsidRDefault="007518E4" w:rsidP="00E12685">
            <w:pPr>
              <w:spacing w:before="0"/>
              <w:ind w:left="0"/>
              <w:rPr>
                <w:rFonts w:ascii="Times New Roman" w:hAnsi="Times New Roman"/>
                <w:bCs/>
                <w:sz w:val="19"/>
                <w:szCs w:val="19"/>
              </w:rPr>
            </w:pPr>
            <w:r w:rsidRPr="00C76C53">
              <w:rPr>
                <w:rFonts w:ascii="Times New Roman" w:hAnsi="Times New Roman"/>
                <w:bCs/>
                <w:sz w:val="19"/>
                <w:szCs w:val="19"/>
              </w:rPr>
              <w:t xml:space="preserve">28.1 </w:t>
            </w:r>
            <w:r w:rsidRPr="00C76C53">
              <w:rPr>
                <w:rFonts w:ascii="Times New Roman" w:hAnsi="Times New Roman"/>
                <w:spacing w:val="-1"/>
                <w:sz w:val="19"/>
                <w:szCs w:val="19"/>
              </w:rPr>
              <w:t>Coverage</w:t>
            </w:r>
            <w:r w:rsidRPr="00C76C53">
              <w:rPr>
                <w:rFonts w:ascii="Times New Roman" w:hAnsi="Times New Roman"/>
                <w:spacing w:val="-8"/>
                <w:sz w:val="19"/>
                <w:szCs w:val="19"/>
              </w:rPr>
              <w:t xml:space="preserve"> </w:t>
            </w:r>
            <w:r w:rsidRPr="00C76C53">
              <w:rPr>
                <w:rFonts w:ascii="Times New Roman" w:hAnsi="Times New Roman"/>
                <w:sz w:val="19"/>
                <w:szCs w:val="19"/>
              </w:rPr>
              <w:t>and</w:t>
            </w:r>
            <w:r w:rsidRPr="00C76C53">
              <w:rPr>
                <w:rFonts w:ascii="Times New Roman" w:hAnsi="Times New Roman"/>
                <w:spacing w:val="-7"/>
                <w:sz w:val="19"/>
                <w:szCs w:val="19"/>
              </w:rPr>
              <w:t xml:space="preserve"> </w:t>
            </w:r>
            <w:r w:rsidRPr="00C76C53">
              <w:rPr>
                <w:rFonts w:ascii="Times New Roman" w:hAnsi="Times New Roman"/>
                <w:sz w:val="19"/>
                <w:szCs w:val="19"/>
              </w:rPr>
              <w:t>comparability</w:t>
            </w:r>
            <w:r w:rsidRPr="00C76C53">
              <w:rPr>
                <w:rFonts w:ascii="Times New Roman" w:hAnsi="Times New Roman"/>
                <w:spacing w:val="-11"/>
                <w:sz w:val="19"/>
                <w:szCs w:val="19"/>
              </w:rPr>
              <w:t xml:space="preserve"> </w:t>
            </w:r>
            <w:r w:rsidRPr="00C76C53">
              <w:rPr>
                <w:rFonts w:ascii="Times New Roman" w:hAnsi="Times New Roman"/>
                <w:spacing w:val="1"/>
                <w:sz w:val="19"/>
                <w:szCs w:val="19"/>
              </w:rPr>
              <w:t>of</w:t>
            </w:r>
            <w:r w:rsidRPr="00C76C53">
              <w:rPr>
                <w:rFonts w:ascii="Times New Roman" w:hAnsi="Times New Roman"/>
                <w:spacing w:val="-9"/>
                <w:sz w:val="19"/>
                <w:szCs w:val="19"/>
              </w:rPr>
              <w:t xml:space="preserve"> </w:t>
            </w:r>
            <w:r w:rsidRPr="00C76C53">
              <w:rPr>
                <w:rFonts w:ascii="Times New Roman" w:hAnsi="Times New Roman"/>
                <w:sz w:val="19"/>
                <w:szCs w:val="19"/>
              </w:rPr>
              <w:t>reports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E45FE86"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2E422011"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In-year budget execution reports are produced monthly for budgetary central government and data classification allows comparison to the original budget at aggregate economic classification level but no breakdown at the ad</w:t>
            </w:r>
            <w:r>
              <w:rPr>
                <w:rFonts w:ascii="Times New Roman" w:hAnsi="Times New Roman"/>
                <w:sz w:val="19"/>
                <w:szCs w:val="19"/>
                <w:lang w:eastAsia="en-IN"/>
              </w:rPr>
              <w:t>ministrative level is available</w:t>
            </w:r>
            <w:r w:rsidRPr="00105D4D">
              <w:rPr>
                <w:rFonts w:ascii="Times New Roman" w:hAnsi="Times New Roman"/>
                <w:sz w:val="19"/>
                <w:szCs w:val="19"/>
                <w:lang w:eastAsia="en-IN"/>
              </w:rPr>
              <w:t>.</w:t>
            </w:r>
          </w:p>
        </w:tc>
      </w:tr>
      <w:tr w:rsidR="007518E4" w:rsidRPr="00C76C53" w14:paraId="1190E6D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37BA0E26"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hAnsi="Times New Roman"/>
                <w:bCs/>
                <w:sz w:val="19"/>
                <w:szCs w:val="19"/>
              </w:rPr>
              <w:t xml:space="preserve">28.2 </w:t>
            </w:r>
            <w:r w:rsidRPr="00C76C53">
              <w:rPr>
                <w:rFonts w:ascii="Times New Roman" w:hAnsi="Times New Roman"/>
                <w:sz w:val="19"/>
                <w:szCs w:val="19"/>
              </w:rPr>
              <w:t>Timing of in-year budget reports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7BDA2D7" w14:textId="7B429A03" w:rsidR="007518E4" w:rsidRPr="00105D4D" w:rsidRDefault="008721BD" w:rsidP="00E12685">
            <w:pPr>
              <w:spacing w:before="0"/>
              <w:ind w:left="0"/>
              <w:jc w:val="center"/>
              <w:rPr>
                <w:rFonts w:ascii="Times New Roman" w:hAnsi="Times New Roman"/>
                <w:sz w:val="19"/>
                <w:szCs w:val="19"/>
              </w:rPr>
            </w:pPr>
            <w:r>
              <w:rPr>
                <w:rFonts w:ascii="Times New Roman" w:hAnsi="Times New Roman"/>
                <w:sz w:val="19"/>
                <w:szCs w:val="19"/>
              </w:rPr>
              <w:t>B</w:t>
            </w:r>
          </w:p>
        </w:tc>
        <w:tc>
          <w:tcPr>
            <w:tcW w:w="5369" w:type="dxa"/>
            <w:tcBorders>
              <w:top w:val="single" w:sz="4" w:space="0" w:color="auto"/>
              <w:left w:val="single" w:sz="4" w:space="0" w:color="auto"/>
              <w:bottom w:val="single" w:sz="4" w:space="0" w:color="auto"/>
              <w:right w:val="single" w:sz="4" w:space="0" w:color="auto"/>
            </w:tcBorders>
            <w:vAlign w:val="center"/>
          </w:tcPr>
          <w:p w14:paraId="411D068B"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In year-budget execution reports are produced monthly and issued internally within (in average) a period of one month after the end of the monthly reporting period.</w:t>
            </w:r>
            <w:r w:rsidRPr="00105D4D">
              <w:rPr>
                <w:rFonts w:ascii="Times New Roman" w:eastAsia="ヒラギノ角ゴ Pro W3" w:hAnsi="Times New Roman"/>
                <w:color w:val="000000"/>
                <w:sz w:val="19"/>
                <w:szCs w:val="19"/>
                <w:lang w:eastAsia="en-IN"/>
              </w:rPr>
              <w:t xml:space="preserve"> An overall narrative statement on budget execution at very aggregate levels is provided only for mid-year and annual state budget execution reports presented to the NA.</w:t>
            </w:r>
          </w:p>
        </w:tc>
      </w:tr>
      <w:tr w:rsidR="007518E4" w:rsidRPr="00C76C53" w14:paraId="25F77284"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EF40ECE"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hAnsi="Times New Roman"/>
                <w:bCs/>
                <w:sz w:val="19"/>
                <w:szCs w:val="19"/>
              </w:rPr>
              <w:t xml:space="preserve">28.3 </w:t>
            </w:r>
            <w:r w:rsidRPr="00C76C53">
              <w:rPr>
                <w:rFonts w:ascii="Times New Roman" w:hAnsi="Times New Roman"/>
                <w:sz w:val="19"/>
                <w:szCs w:val="19"/>
              </w:rPr>
              <w:t>Accuracy of in-year budget reports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3E8F316"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4AC295BE" w14:textId="77777777" w:rsidR="007518E4" w:rsidRPr="00105D4D" w:rsidRDefault="007518E4" w:rsidP="00E12685">
            <w:pPr>
              <w:spacing w:before="0"/>
              <w:ind w:left="0"/>
              <w:rPr>
                <w:rFonts w:ascii="Times New Roman" w:eastAsia="ヒラギノ角ゴ Pro W3" w:hAnsi="Times New Roman"/>
                <w:color w:val="000000"/>
                <w:sz w:val="19"/>
                <w:szCs w:val="19"/>
                <w:lang w:eastAsia="en-IN"/>
              </w:rPr>
            </w:pPr>
            <w:r w:rsidRPr="00105D4D">
              <w:rPr>
                <w:rFonts w:ascii="Times New Roman" w:eastAsia="ヒラギノ角ゴ Pro W3" w:hAnsi="Times New Roman"/>
                <w:color w:val="000000"/>
                <w:sz w:val="19"/>
                <w:szCs w:val="19"/>
                <w:lang w:eastAsia="en-IN"/>
              </w:rPr>
              <w:t>Monthly budget execution reports include expenditure at the payment stage with some concern regarding comprehensiveness due to the number of “system transactions” recorded manually at provincial level. The data provided is too aggregate to allow for a basic budget execution analysis.</w:t>
            </w:r>
          </w:p>
        </w:tc>
      </w:tr>
      <w:tr w:rsidR="007518E4" w:rsidRPr="00C76C53" w14:paraId="59C8AC7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20F0F949" w14:textId="77777777" w:rsidR="007518E4" w:rsidRPr="00C76C53" w:rsidRDefault="007518E4" w:rsidP="00E12685">
            <w:pPr>
              <w:spacing w:before="0"/>
              <w:ind w:left="0"/>
              <w:rPr>
                <w:rFonts w:ascii="Times New Roman" w:hAnsi="Times New Roman"/>
                <w:b/>
                <w:bCs/>
                <w:sz w:val="19"/>
                <w:szCs w:val="19"/>
              </w:rPr>
            </w:pPr>
            <w:r w:rsidRPr="00C76C53">
              <w:rPr>
                <w:rFonts w:ascii="Times New Roman" w:eastAsia="Arial" w:hAnsi="Times New Roman"/>
                <w:b/>
                <w:bCs/>
                <w:color w:val="000000"/>
                <w:sz w:val="19"/>
                <w:szCs w:val="19"/>
                <w:lang w:eastAsia="ar-SA"/>
              </w:rPr>
              <w:t>PI-29</w:t>
            </w:r>
            <w:r w:rsidRPr="00C76C53">
              <w:rPr>
                <w:rFonts w:ascii="Times New Roman" w:hAnsi="Times New Roman"/>
                <w:b/>
                <w:bCs/>
                <w:sz w:val="19"/>
                <w:szCs w:val="19"/>
              </w:rPr>
              <w:t xml:space="preserve"> </w:t>
            </w:r>
            <w:r w:rsidRPr="00C76C53">
              <w:rPr>
                <w:rFonts w:ascii="Times New Roman" w:eastAsiaTheme="minorEastAsia" w:hAnsi="Times New Roman"/>
                <w:b/>
                <w:sz w:val="19"/>
                <w:szCs w:val="19"/>
              </w:rPr>
              <w:t>Annual financial reports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7983C5C"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06508345" w14:textId="77777777" w:rsidR="007518E4" w:rsidRPr="00105D4D" w:rsidRDefault="007518E4" w:rsidP="00E12685">
            <w:pPr>
              <w:spacing w:before="0"/>
              <w:ind w:left="0"/>
              <w:rPr>
                <w:rFonts w:ascii="Times New Roman" w:hAnsi="Times New Roman"/>
                <w:sz w:val="19"/>
                <w:szCs w:val="19"/>
              </w:rPr>
            </w:pPr>
            <w:r w:rsidRPr="00105D4D">
              <w:rPr>
                <w:rFonts w:ascii="Times New Roman" w:hAnsi="Times New Roman"/>
                <w:sz w:val="19"/>
                <w:szCs w:val="19"/>
              </w:rPr>
              <w:t>Dimensions combined by Method M1 (weakest link)</w:t>
            </w:r>
          </w:p>
        </w:tc>
      </w:tr>
      <w:tr w:rsidR="007518E4" w:rsidRPr="00C76C53" w14:paraId="6CBA090D"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028DD04A" w14:textId="77777777" w:rsidR="007518E4" w:rsidRPr="00C76C53" w:rsidRDefault="007518E4" w:rsidP="00E12685">
            <w:pPr>
              <w:spacing w:before="0"/>
              <w:ind w:left="0"/>
              <w:rPr>
                <w:rFonts w:ascii="Times New Roman" w:hAnsi="Times New Roman"/>
                <w:bCs/>
                <w:sz w:val="19"/>
                <w:szCs w:val="19"/>
              </w:rPr>
            </w:pPr>
            <w:r w:rsidRPr="00C76C53">
              <w:rPr>
                <w:rFonts w:ascii="Times New Roman" w:hAnsi="Times New Roman"/>
                <w:bCs/>
                <w:sz w:val="19"/>
                <w:szCs w:val="19"/>
              </w:rPr>
              <w:t>29.1 Completeness of annual financial reports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57C660D"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6063B8EB"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Annual financial reports are prepared covering items of income, expenditure and cash balances with some and partial information on financial assets and liabilities. They are comparable to the approved budget.</w:t>
            </w:r>
          </w:p>
        </w:tc>
      </w:tr>
      <w:tr w:rsidR="007518E4" w:rsidRPr="00C76C53" w14:paraId="71FC637F"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37FA3754"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hAnsi="Times New Roman"/>
                <w:sz w:val="19"/>
                <w:szCs w:val="19"/>
              </w:rPr>
              <w:t>29.2 Submission of reports for external audit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52951E2"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6D36FFB3" w14:textId="77777777" w:rsidR="007518E4" w:rsidRPr="00105D4D" w:rsidRDefault="007518E4" w:rsidP="00E12685">
            <w:pPr>
              <w:spacing w:before="0"/>
              <w:ind w:left="0"/>
              <w:rPr>
                <w:rFonts w:ascii="Times New Roman" w:hAnsi="Times New Roman"/>
                <w:sz w:val="19"/>
                <w:szCs w:val="19"/>
                <w:lang w:eastAsia="en-IN"/>
              </w:rPr>
            </w:pPr>
            <w:r w:rsidRPr="00105D4D">
              <w:rPr>
                <w:rFonts w:ascii="Times New Roman" w:hAnsi="Times New Roman"/>
                <w:sz w:val="19"/>
                <w:szCs w:val="19"/>
                <w:lang w:eastAsia="en-IN"/>
              </w:rPr>
              <w:t xml:space="preserve">The financial reports for 2017 were submitted for external audit to SAO within nine months of the end of the fiscal year. </w:t>
            </w:r>
          </w:p>
        </w:tc>
      </w:tr>
      <w:tr w:rsidR="007518E4" w:rsidRPr="00C76C53" w14:paraId="2865D995"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A81E782" w14:textId="77777777" w:rsidR="007518E4" w:rsidRPr="00C76C53" w:rsidRDefault="007518E4" w:rsidP="00E12685">
            <w:pPr>
              <w:widowControl w:val="0"/>
              <w:tabs>
                <w:tab w:val="num" w:pos="720"/>
                <w:tab w:val="num" w:pos="1146"/>
              </w:tabs>
              <w:suppressAutoHyphens/>
              <w:autoSpaceDE w:val="0"/>
              <w:adjustRightInd w:val="0"/>
              <w:snapToGrid w:val="0"/>
              <w:spacing w:before="0"/>
              <w:ind w:left="0"/>
              <w:textAlignment w:val="baseline"/>
              <w:rPr>
                <w:rFonts w:ascii="Times New Roman" w:hAnsi="Times New Roman"/>
                <w:bCs/>
                <w:sz w:val="19"/>
                <w:szCs w:val="19"/>
              </w:rPr>
            </w:pPr>
            <w:r w:rsidRPr="00C76C53">
              <w:rPr>
                <w:rFonts w:ascii="Times New Roman" w:hAnsi="Times New Roman"/>
                <w:bCs/>
                <w:sz w:val="19"/>
                <w:szCs w:val="19"/>
              </w:rPr>
              <w:t xml:space="preserve">29.3 </w:t>
            </w:r>
            <w:r w:rsidRPr="00C76C53">
              <w:rPr>
                <w:rFonts w:ascii="Times New Roman" w:hAnsi="Times New Roman"/>
                <w:sz w:val="19"/>
                <w:szCs w:val="19"/>
              </w:rPr>
              <w:t>Accounting standards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49B677A"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38DD99E6" w14:textId="77777777" w:rsidR="007518E4" w:rsidRPr="00105D4D" w:rsidRDefault="007518E4" w:rsidP="00E12685">
            <w:pPr>
              <w:spacing w:before="0"/>
              <w:ind w:left="0"/>
              <w:rPr>
                <w:rFonts w:ascii="Times New Roman" w:eastAsia="ヒラギノ角ゴ Pro W3" w:hAnsi="Times New Roman"/>
                <w:color w:val="000000"/>
                <w:sz w:val="19"/>
                <w:szCs w:val="19"/>
                <w:lang w:eastAsia="en-IN"/>
              </w:rPr>
            </w:pPr>
            <w:r w:rsidRPr="00105D4D">
              <w:rPr>
                <w:rFonts w:ascii="Times New Roman" w:eastAsia="ヒラギノ角ゴ Pro W3" w:hAnsi="Times New Roman"/>
                <w:color w:val="000000"/>
                <w:sz w:val="19"/>
                <w:szCs w:val="19"/>
                <w:lang w:eastAsia="en-IN"/>
              </w:rPr>
              <w:t xml:space="preserve">The accounting standards used in preparing the financial reports are not fully consistent with the applicable legal framework and not disclosed. </w:t>
            </w:r>
          </w:p>
        </w:tc>
      </w:tr>
      <w:tr w:rsidR="007518E4" w:rsidRPr="00C76C53" w14:paraId="24E82E22"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658F87A" w14:textId="77777777" w:rsidR="007518E4" w:rsidRPr="00C76C53" w:rsidRDefault="007518E4" w:rsidP="00E12685">
            <w:pPr>
              <w:spacing w:before="0"/>
              <w:ind w:left="0"/>
              <w:rPr>
                <w:rFonts w:ascii="Times New Roman" w:hAnsi="Times New Roman"/>
                <w:b/>
                <w:color w:val="000000"/>
                <w:sz w:val="19"/>
                <w:szCs w:val="19"/>
              </w:rPr>
            </w:pPr>
            <w:r w:rsidRPr="00C76C53">
              <w:rPr>
                <w:rFonts w:ascii="Times New Roman" w:hAnsi="Times New Roman"/>
                <w:b/>
                <w:sz w:val="19"/>
                <w:szCs w:val="19"/>
              </w:rPr>
              <w:t xml:space="preserve">PI-30 </w:t>
            </w:r>
            <w:r w:rsidRPr="00C76C53">
              <w:rPr>
                <w:rFonts w:ascii="Times New Roman" w:eastAsiaTheme="majorEastAsia" w:hAnsi="Times New Roman"/>
                <w:b/>
                <w:sz w:val="19"/>
                <w:szCs w:val="19"/>
              </w:rPr>
              <w:t>External audit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E4147DE"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CCECFF"/>
            <w:vAlign w:val="center"/>
          </w:tcPr>
          <w:p w14:paraId="296F10E7" w14:textId="77777777" w:rsidR="007518E4" w:rsidRPr="00105D4D" w:rsidRDefault="007518E4" w:rsidP="00E12685">
            <w:pPr>
              <w:spacing w:before="0"/>
              <w:ind w:left="0"/>
              <w:rPr>
                <w:rFonts w:ascii="Times New Roman" w:hAnsi="Times New Roman"/>
                <w:sz w:val="19"/>
                <w:szCs w:val="19"/>
              </w:rPr>
            </w:pPr>
            <w:r w:rsidRPr="00105D4D">
              <w:rPr>
                <w:rFonts w:ascii="Times New Roman" w:eastAsia="Calibri" w:hAnsi="Times New Roman"/>
                <w:sz w:val="19"/>
                <w:szCs w:val="19"/>
              </w:rPr>
              <w:t>Dimension scores combined by Method M1 (weakest link)</w:t>
            </w:r>
          </w:p>
        </w:tc>
      </w:tr>
      <w:tr w:rsidR="007518E4" w:rsidRPr="00C76C53" w14:paraId="653919C1"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7A3E9B60" w14:textId="77777777" w:rsidR="007518E4" w:rsidRPr="00C76C53" w:rsidRDefault="007518E4" w:rsidP="00E12685">
            <w:pPr>
              <w:widowControl w:val="0"/>
              <w:tabs>
                <w:tab w:val="left" w:pos="828"/>
              </w:tabs>
              <w:spacing w:before="0"/>
              <w:ind w:left="0"/>
              <w:rPr>
                <w:rFonts w:ascii="Times New Roman" w:hAnsi="Times New Roman"/>
                <w:sz w:val="19"/>
                <w:szCs w:val="19"/>
              </w:rPr>
            </w:pPr>
            <w:r w:rsidRPr="00C76C53">
              <w:rPr>
                <w:rFonts w:ascii="Times New Roman" w:hAnsi="Times New Roman"/>
                <w:spacing w:val="-1"/>
                <w:sz w:val="19"/>
                <w:szCs w:val="19"/>
              </w:rPr>
              <w:t xml:space="preserve">30.1 </w:t>
            </w:r>
            <w:r w:rsidRPr="00C76C53">
              <w:rPr>
                <w:rFonts w:ascii="Times New Roman" w:hAnsi="Times New Roman"/>
                <w:sz w:val="19"/>
                <w:szCs w:val="19"/>
              </w:rPr>
              <w:t>Audit coverage and standards</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EDBA796"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5BB90D1E" w14:textId="77777777" w:rsidR="007518E4" w:rsidRPr="00105D4D" w:rsidRDefault="007518E4" w:rsidP="00E12685">
            <w:pPr>
              <w:spacing w:before="0"/>
              <w:ind w:left="0"/>
              <w:rPr>
                <w:rFonts w:ascii="Times New Roman" w:eastAsia="Calibri" w:hAnsi="Times New Roman"/>
                <w:color w:val="000000"/>
                <w:sz w:val="19"/>
                <w:szCs w:val="19"/>
              </w:rPr>
            </w:pPr>
            <w:r w:rsidRPr="00105D4D">
              <w:rPr>
                <w:rFonts w:ascii="Times New Roman" w:eastAsia="Calibri" w:hAnsi="Times New Roman"/>
                <w:sz w:val="19"/>
                <w:szCs w:val="19"/>
              </w:rPr>
              <w:t xml:space="preserve">Financial reports of central government are audited by the </w:t>
            </w:r>
            <w:proofErr w:type="gramStart"/>
            <w:r w:rsidRPr="00105D4D">
              <w:rPr>
                <w:rFonts w:ascii="Times New Roman" w:eastAsia="Calibri" w:hAnsi="Times New Roman"/>
                <w:sz w:val="19"/>
                <w:szCs w:val="19"/>
              </w:rPr>
              <w:t>SAO</w:t>
            </w:r>
            <w:proofErr w:type="gramEnd"/>
            <w:r w:rsidRPr="00105D4D">
              <w:rPr>
                <w:rFonts w:ascii="Times New Roman" w:eastAsia="Calibri" w:hAnsi="Times New Roman"/>
                <w:sz w:val="19"/>
                <w:szCs w:val="19"/>
              </w:rPr>
              <w:t xml:space="preserve"> but standards are still not aligned with ISSAIs; material risks and internal control issues are not taken into account and no opinion is delivered on FS.</w:t>
            </w:r>
          </w:p>
        </w:tc>
      </w:tr>
      <w:tr w:rsidR="007518E4" w:rsidRPr="00C76C53" w14:paraId="4D68D98E"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5A9DE37E" w14:textId="77777777" w:rsidR="007518E4" w:rsidRPr="00C76C53" w:rsidRDefault="007518E4" w:rsidP="00E12685">
            <w:pPr>
              <w:widowControl w:val="0"/>
              <w:tabs>
                <w:tab w:val="left" w:pos="828"/>
              </w:tabs>
              <w:spacing w:before="0"/>
              <w:ind w:left="0"/>
              <w:rPr>
                <w:rFonts w:ascii="Times New Roman" w:hAnsi="Times New Roman"/>
                <w:sz w:val="19"/>
                <w:szCs w:val="19"/>
              </w:rPr>
            </w:pPr>
            <w:r w:rsidRPr="00C76C53">
              <w:rPr>
                <w:rFonts w:ascii="Times New Roman" w:hAnsi="Times New Roman"/>
                <w:spacing w:val="-1"/>
                <w:sz w:val="19"/>
                <w:szCs w:val="19"/>
              </w:rPr>
              <w:t xml:space="preserve">30.2 </w:t>
            </w:r>
            <w:r w:rsidRPr="00C76C53">
              <w:rPr>
                <w:rFonts w:ascii="Times New Roman" w:hAnsi="Times New Roman"/>
                <w:sz w:val="19"/>
                <w:szCs w:val="19"/>
              </w:rPr>
              <w:t>Submission of audit reports to the legislature</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762D4591"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vAlign w:val="center"/>
          </w:tcPr>
          <w:p w14:paraId="41D2C1FD" w14:textId="77777777" w:rsidR="007518E4" w:rsidRPr="00105D4D" w:rsidRDefault="007518E4" w:rsidP="00E12685">
            <w:pPr>
              <w:spacing w:before="0"/>
              <w:ind w:left="0"/>
              <w:rPr>
                <w:rFonts w:ascii="Times New Roman" w:hAnsi="Times New Roman"/>
                <w:sz w:val="19"/>
                <w:szCs w:val="19"/>
              </w:rPr>
            </w:pPr>
            <w:r w:rsidRPr="00105D4D">
              <w:rPr>
                <w:rFonts w:ascii="Times New Roman" w:hAnsi="Times New Roman"/>
                <w:bCs/>
                <w:color w:val="000000"/>
                <w:sz w:val="19"/>
                <w:szCs w:val="19"/>
              </w:rPr>
              <w:t>SAO reports were submitted to the legislature with a delay in 2013/2014 and 2014/2015 and within 6 months from receipt of the financial reports for the last two completed fiscal years.</w:t>
            </w:r>
          </w:p>
        </w:tc>
      </w:tr>
      <w:tr w:rsidR="007518E4" w:rsidRPr="00C76C53" w14:paraId="01104807"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4A6F03D6" w14:textId="77777777" w:rsidR="007518E4" w:rsidRPr="00C76C53" w:rsidRDefault="007518E4" w:rsidP="00E12685">
            <w:pPr>
              <w:widowControl w:val="0"/>
              <w:tabs>
                <w:tab w:val="left" w:pos="827"/>
              </w:tabs>
              <w:spacing w:before="0"/>
              <w:ind w:left="0"/>
              <w:rPr>
                <w:rFonts w:ascii="Times New Roman" w:hAnsi="Times New Roman"/>
                <w:sz w:val="19"/>
                <w:szCs w:val="19"/>
              </w:rPr>
            </w:pPr>
            <w:r w:rsidRPr="00C76C53">
              <w:rPr>
                <w:rFonts w:ascii="Times New Roman" w:hAnsi="Times New Roman"/>
                <w:spacing w:val="-1"/>
                <w:sz w:val="19"/>
                <w:szCs w:val="19"/>
              </w:rPr>
              <w:t xml:space="preserve">30.3  </w:t>
            </w:r>
            <w:r w:rsidRPr="00C76C53">
              <w:rPr>
                <w:rFonts w:ascii="Times New Roman" w:hAnsi="Times New Roman"/>
                <w:sz w:val="19"/>
                <w:szCs w:val="19"/>
              </w:rPr>
              <w:t xml:space="preserve"> External audit follow-up</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FF30E1F"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4A718BE2" w14:textId="77777777" w:rsidR="007518E4" w:rsidRPr="00105D4D" w:rsidRDefault="007518E4" w:rsidP="00E12685">
            <w:pPr>
              <w:spacing w:before="0"/>
              <w:ind w:left="0"/>
              <w:rPr>
                <w:rFonts w:ascii="Times New Roman" w:eastAsia="Calibri" w:hAnsi="Times New Roman"/>
                <w:color w:val="000000"/>
                <w:sz w:val="19"/>
                <w:szCs w:val="19"/>
              </w:rPr>
            </w:pPr>
            <w:r w:rsidRPr="00105D4D">
              <w:rPr>
                <w:rFonts w:ascii="Times New Roman" w:eastAsia="Calibri" w:hAnsi="Times New Roman"/>
                <w:sz w:val="19"/>
                <w:szCs w:val="19"/>
              </w:rPr>
              <w:t>Formal responses were formulated by the audited entities to the SAO observations and findings in the last three years. MoUs are signed between SAO and line ministries on follow up, although responses are not always comprehensive and capacity to effectively implement follow up actions is weak</w:t>
            </w:r>
          </w:p>
        </w:tc>
      </w:tr>
      <w:tr w:rsidR="007518E4" w:rsidRPr="00C76C53" w14:paraId="5C43BCCB" w14:textId="77777777" w:rsidTr="00E502FD">
        <w:tblPrEx>
          <w:jc w:val="center"/>
          <w:tblLook w:val="0000" w:firstRow="0" w:lastRow="0" w:firstColumn="0" w:lastColumn="0" w:noHBand="0" w:noVBand="0"/>
        </w:tblPrEx>
        <w:trPr>
          <w:trHeight w:val="57"/>
          <w:jc w:val="center"/>
        </w:trPr>
        <w:tc>
          <w:tcPr>
            <w:tcW w:w="2925" w:type="dxa"/>
            <w:tcBorders>
              <w:top w:val="single" w:sz="4" w:space="0" w:color="auto"/>
              <w:left w:val="single" w:sz="4" w:space="0" w:color="auto"/>
              <w:bottom w:val="single" w:sz="4" w:space="0" w:color="auto"/>
              <w:right w:val="single" w:sz="4" w:space="0" w:color="auto"/>
            </w:tcBorders>
          </w:tcPr>
          <w:p w14:paraId="68A7EFBC" w14:textId="77777777" w:rsidR="007518E4" w:rsidRPr="00C76C53" w:rsidRDefault="007518E4" w:rsidP="00E12685">
            <w:pPr>
              <w:spacing w:before="0"/>
              <w:ind w:left="0"/>
              <w:rPr>
                <w:rFonts w:ascii="Times New Roman" w:hAnsi="Times New Roman"/>
                <w:sz w:val="19"/>
                <w:szCs w:val="19"/>
              </w:rPr>
            </w:pPr>
            <w:r w:rsidRPr="00C76C53">
              <w:rPr>
                <w:rFonts w:ascii="Times New Roman" w:hAnsi="Times New Roman"/>
                <w:spacing w:val="-1"/>
                <w:sz w:val="19"/>
                <w:szCs w:val="19"/>
              </w:rPr>
              <w:t xml:space="preserve">30.4 </w:t>
            </w:r>
            <w:r w:rsidRPr="00C76C53">
              <w:rPr>
                <w:rFonts w:ascii="Times New Roman" w:hAnsi="Times New Roman"/>
                <w:sz w:val="19"/>
                <w:szCs w:val="19"/>
              </w:rPr>
              <w:t>Supreme Audit Institution (SAI) independence</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DA4EC2C" w14:textId="77777777" w:rsidR="007518E4" w:rsidRPr="00105D4D" w:rsidRDefault="007518E4" w:rsidP="00E12685">
            <w:pPr>
              <w:spacing w:before="0"/>
              <w:ind w:left="0"/>
              <w:jc w:val="center"/>
              <w:rPr>
                <w:rFonts w:ascii="Times New Roman" w:hAnsi="Times New Roman"/>
                <w:sz w:val="19"/>
                <w:szCs w:val="19"/>
              </w:rPr>
            </w:pPr>
            <w:r w:rsidRPr="00105D4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vAlign w:val="center"/>
          </w:tcPr>
          <w:p w14:paraId="0B051001" w14:textId="77777777" w:rsidR="007518E4" w:rsidRPr="00105D4D" w:rsidRDefault="007518E4" w:rsidP="00E12685">
            <w:pPr>
              <w:spacing w:before="0"/>
              <w:ind w:left="0"/>
              <w:rPr>
                <w:rFonts w:ascii="Times New Roman" w:eastAsia="Calibri" w:hAnsi="Times New Roman"/>
                <w:sz w:val="19"/>
                <w:szCs w:val="19"/>
              </w:rPr>
            </w:pPr>
            <w:r w:rsidRPr="00105D4D">
              <w:rPr>
                <w:rFonts w:ascii="Times New Roman" w:eastAsia="Calibri" w:hAnsi="Times New Roman"/>
                <w:sz w:val="19"/>
                <w:szCs w:val="19"/>
              </w:rPr>
              <w:t xml:space="preserve">The SAO operates independently from the executive with respect to the procedures for appointment as well as execution of the SAO budget. The SAO has unrestricted and timely access to </w:t>
            </w:r>
            <w:proofErr w:type="gramStart"/>
            <w:r w:rsidRPr="00105D4D">
              <w:rPr>
                <w:rFonts w:ascii="Times New Roman" w:eastAsia="Calibri" w:hAnsi="Times New Roman"/>
                <w:sz w:val="19"/>
                <w:szCs w:val="19"/>
              </w:rPr>
              <w:t>the majority of</w:t>
            </w:r>
            <w:proofErr w:type="gramEnd"/>
            <w:r w:rsidRPr="00105D4D">
              <w:rPr>
                <w:rFonts w:ascii="Times New Roman" w:eastAsia="Calibri" w:hAnsi="Times New Roman"/>
                <w:sz w:val="19"/>
                <w:szCs w:val="19"/>
              </w:rPr>
              <w:t xml:space="preserve"> the requested records, documentation and information.</w:t>
            </w:r>
          </w:p>
        </w:tc>
      </w:tr>
      <w:tr w:rsidR="007518E4" w:rsidRPr="00C76C53" w14:paraId="083C5096" w14:textId="77777777" w:rsidTr="00E502FD">
        <w:tblPrEx>
          <w:jc w:val="center"/>
          <w:tblCellMar>
            <w:left w:w="0" w:type="dxa"/>
            <w:right w:w="0" w:type="dxa"/>
          </w:tblCellMar>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2DAEAE0F" w14:textId="77777777" w:rsidR="007518E4" w:rsidRPr="00105D4D" w:rsidRDefault="007518E4" w:rsidP="00E12685">
            <w:pPr>
              <w:spacing w:before="0"/>
              <w:ind w:left="90"/>
              <w:rPr>
                <w:rFonts w:ascii="Times New Roman" w:hAnsi="Times New Roman"/>
                <w:b/>
                <w:sz w:val="19"/>
                <w:szCs w:val="19"/>
              </w:rPr>
            </w:pPr>
            <w:r w:rsidRPr="00105D4D">
              <w:rPr>
                <w:rFonts w:ascii="Times New Roman" w:hAnsi="Times New Roman"/>
                <w:b/>
                <w:sz w:val="19"/>
                <w:szCs w:val="19"/>
              </w:rPr>
              <w:t xml:space="preserve">PI-31 Legislative scrutiny of audit reports </w:t>
            </w:r>
          </w:p>
        </w:tc>
        <w:tc>
          <w:tcPr>
            <w:tcW w:w="9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584806" w14:textId="77777777" w:rsidR="007518E4" w:rsidRPr="0046537D" w:rsidRDefault="007518E4" w:rsidP="00E12685">
            <w:pPr>
              <w:spacing w:before="0"/>
              <w:ind w:left="90"/>
              <w:jc w:val="center"/>
              <w:rPr>
                <w:rFonts w:ascii="Times New Roman" w:hAnsi="Times New Roman"/>
                <w:sz w:val="19"/>
                <w:szCs w:val="19"/>
              </w:rPr>
            </w:pPr>
            <w:r w:rsidRPr="0046537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vAlign w:val="center"/>
          </w:tcPr>
          <w:p w14:paraId="52CFC819" w14:textId="77777777" w:rsidR="007518E4" w:rsidRPr="0046537D" w:rsidRDefault="007518E4" w:rsidP="00E12685">
            <w:pPr>
              <w:spacing w:before="0"/>
              <w:ind w:left="90"/>
              <w:rPr>
                <w:rFonts w:ascii="Times New Roman" w:hAnsi="Times New Roman"/>
                <w:sz w:val="19"/>
                <w:szCs w:val="19"/>
              </w:rPr>
            </w:pPr>
            <w:r w:rsidRPr="0046537D">
              <w:rPr>
                <w:rFonts w:ascii="Times New Roman" w:eastAsia="Calibri" w:hAnsi="Times New Roman"/>
                <w:color w:val="000000"/>
                <w:sz w:val="19"/>
                <w:szCs w:val="19"/>
              </w:rPr>
              <w:t>Dimension scores combined by method M2 (Average)</w:t>
            </w:r>
          </w:p>
        </w:tc>
      </w:tr>
      <w:tr w:rsidR="007518E4" w:rsidRPr="00C76C53" w14:paraId="3474177E" w14:textId="77777777" w:rsidTr="00E502FD">
        <w:tblPrEx>
          <w:jc w:val="center"/>
          <w:tblCellMar>
            <w:left w:w="0" w:type="dxa"/>
            <w:right w:w="0" w:type="dxa"/>
          </w:tblCellMar>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0CEC3461" w14:textId="77777777" w:rsidR="007518E4" w:rsidRPr="0046537D" w:rsidRDefault="007518E4" w:rsidP="00E12685">
            <w:pPr>
              <w:spacing w:before="0"/>
              <w:ind w:left="90"/>
              <w:rPr>
                <w:rFonts w:ascii="Times New Roman" w:hAnsi="Times New Roman"/>
                <w:sz w:val="19"/>
                <w:szCs w:val="19"/>
              </w:rPr>
            </w:pPr>
            <w:r w:rsidRPr="0046537D">
              <w:rPr>
                <w:rFonts w:ascii="Times New Roman" w:hAnsi="Times New Roman"/>
                <w:sz w:val="19"/>
                <w:szCs w:val="19"/>
              </w:rPr>
              <w:t>31.1 Timing of audit report scrutiny</w:t>
            </w:r>
          </w:p>
        </w:tc>
        <w:tc>
          <w:tcPr>
            <w:tcW w:w="9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A23551" w14:textId="77777777" w:rsidR="007518E4" w:rsidRPr="0046537D" w:rsidRDefault="007518E4" w:rsidP="00E12685">
            <w:pPr>
              <w:spacing w:before="0"/>
              <w:ind w:left="90"/>
              <w:jc w:val="center"/>
              <w:rPr>
                <w:rFonts w:ascii="Times New Roman" w:hAnsi="Times New Roman"/>
                <w:sz w:val="19"/>
                <w:szCs w:val="19"/>
              </w:rPr>
            </w:pPr>
            <w:r w:rsidRPr="0046537D">
              <w:rPr>
                <w:rFonts w:ascii="Times New Roman" w:hAnsi="Times New Roman"/>
                <w:sz w:val="19"/>
                <w:szCs w:val="19"/>
              </w:rPr>
              <w:t>A</w:t>
            </w:r>
          </w:p>
        </w:tc>
        <w:tc>
          <w:tcPr>
            <w:tcW w:w="53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E45A96" w14:textId="77777777" w:rsidR="007518E4" w:rsidRPr="0046537D" w:rsidRDefault="007518E4" w:rsidP="00E12685">
            <w:pPr>
              <w:spacing w:before="0"/>
              <w:ind w:left="90"/>
              <w:rPr>
                <w:rFonts w:ascii="Times New Roman" w:eastAsia="Calibri" w:hAnsi="Times New Roman"/>
                <w:sz w:val="19"/>
                <w:szCs w:val="19"/>
              </w:rPr>
            </w:pPr>
            <w:r w:rsidRPr="0046537D">
              <w:rPr>
                <w:rFonts w:ascii="Times New Roman" w:eastAsia="Calibri" w:hAnsi="Times New Roman"/>
                <w:color w:val="000000"/>
                <w:sz w:val="19"/>
                <w:szCs w:val="19"/>
              </w:rPr>
              <w:t>Scrutiny of audit reports on annual financial reports is completed within three months from receipt of reports</w:t>
            </w:r>
            <w:r w:rsidRPr="0046537D">
              <w:rPr>
                <w:rFonts w:ascii="Times New Roman" w:eastAsia="Calibri" w:hAnsi="Times New Roman"/>
                <w:sz w:val="19"/>
                <w:szCs w:val="19"/>
              </w:rPr>
              <w:t xml:space="preserve">. </w:t>
            </w:r>
          </w:p>
        </w:tc>
      </w:tr>
      <w:tr w:rsidR="007518E4" w:rsidRPr="00C76C53" w14:paraId="7C9A5497" w14:textId="77777777" w:rsidTr="00E502FD">
        <w:tblPrEx>
          <w:jc w:val="center"/>
          <w:tblCellMar>
            <w:left w:w="0" w:type="dxa"/>
            <w:right w:w="0" w:type="dxa"/>
          </w:tblCellMar>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64B5FEEF" w14:textId="77777777" w:rsidR="007518E4" w:rsidRPr="0046537D" w:rsidRDefault="007518E4" w:rsidP="00E12685">
            <w:pPr>
              <w:spacing w:before="0"/>
              <w:ind w:left="90"/>
              <w:rPr>
                <w:rFonts w:ascii="Times New Roman" w:hAnsi="Times New Roman"/>
                <w:sz w:val="19"/>
                <w:szCs w:val="19"/>
              </w:rPr>
            </w:pPr>
            <w:r w:rsidRPr="0046537D">
              <w:rPr>
                <w:rFonts w:ascii="Times New Roman" w:hAnsi="Times New Roman"/>
                <w:sz w:val="19"/>
                <w:szCs w:val="19"/>
              </w:rPr>
              <w:lastRenderedPageBreak/>
              <w:t xml:space="preserve">31.2 </w:t>
            </w:r>
            <w:r w:rsidRPr="0046537D">
              <w:rPr>
                <w:rFonts w:ascii="Times New Roman" w:hAnsi="Times New Roman"/>
                <w:color w:val="000000"/>
                <w:sz w:val="19"/>
                <w:szCs w:val="19"/>
              </w:rPr>
              <w:t>Hearings on audit findings</w:t>
            </w:r>
          </w:p>
        </w:tc>
        <w:tc>
          <w:tcPr>
            <w:tcW w:w="9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01FF93" w14:textId="77777777" w:rsidR="007518E4" w:rsidRPr="0046537D" w:rsidRDefault="00F527C0" w:rsidP="00E12685">
            <w:pPr>
              <w:spacing w:before="0"/>
              <w:ind w:left="90"/>
              <w:jc w:val="center"/>
              <w:rPr>
                <w:rFonts w:ascii="Times New Roman" w:hAnsi="Times New Roman"/>
                <w:sz w:val="19"/>
                <w:szCs w:val="19"/>
              </w:rPr>
            </w:pPr>
            <w:r>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B681B2" w14:textId="77777777" w:rsidR="007518E4" w:rsidRPr="0046537D" w:rsidRDefault="007518E4" w:rsidP="00E12685">
            <w:pPr>
              <w:spacing w:before="0"/>
              <w:ind w:left="90"/>
              <w:rPr>
                <w:rFonts w:ascii="Times New Roman" w:hAnsi="Times New Roman"/>
                <w:sz w:val="19"/>
                <w:szCs w:val="19"/>
              </w:rPr>
            </w:pPr>
            <w:r w:rsidRPr="0046537D">
              <w:rPr>
                <w:rFonts w:ascii="Times New Roman" w:eastAsia="Calibri" w:hAnsi="Times New Roman"/>
                <w:color w:val="000000"/>
                <w:sz w:val="19"/>
                <w:szCs w:val="19"/>
              </w:rPr>
              <w:t>The NA Committee on Planning Finance and Audit analyzes the findings of the SAO prior to issuing its final resolution on the annual state budget implementation. However, the information scrutinized by the NA is based on the summary of findings reports by the SAO and there is no systematic process to summon the audited agencies to clarify or discuss the remedy actions to the SAO findings.</w:t>
            </w:r>
          </w:p>
        </w:tc>
      </w:tr>
      <w:tr w:rsidR="007518E4" w:rsidRPr="00C76C53" w14:paraId="0847717A" w14:textId="77777777" w:rsidTr="00E502FD">
        <w:tblPrEx>
          <w:jc w:val="center"/>
          <w:tblCellMar>
            <w:left w:w="0" w:type="dxa"/>
            <w:right w:w="0" w:type="dxa"/>
          </w:tblCellMar>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47AC1745" w14:textId="77777777" w:rsidR="007518E4" w:rsidRPr="0046537D" w:rsidRDefault="007518E4" w:rsidP="00E12685">
            <w:pPr>
              <w:spacing w:before="0"/>
              <w:ind w:left="90"/>
              <w:rPr>
                <w:rFonts w:ascii="Times New Roman" w:hAnsi="Times New Roman"/>
                <w:sz w:val="19"/>
                <w:szCs w:val="19"/>
              </w:rPr>
            </w:pPr>
            <w:r w:rsidRPr="0046537D">
              <w:rPr>
                <w:rFonts w:ascii="Times New Roman" w:hAnsi="Times New Roman"/>
                <w:sz w:val="19"/>
                <w:szCs w:val="19"/>
              </w:rPr>
              <w:t xml:space="preserve">31.3 Recommendations on audit by the legislature </w:t>
            </w:r>
          </w:p>
        </w:tc>
        <w:tc>
          <w:tcPr>
            <w:tcW w:w="9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599FE" w14:textId="77777777" w:rsidR="007518E4" w:rsidRPr="0046537D" w:rsidRDefault="007518E4" w:rsidP="00E12685">
            <w:pPr>
              <w:spacing w:before="0"/>
              <w:ind w:left="0"/>
              <w:jc w:val="center"/>
              <w:rPr>
                <w:rFonts w:ascii="Times New Roman" w:hAnsi="Times New Roman"/>
                <w:sz w:val="19"/>
                <w:szCs w:val="19"/>
              </w:rPr>
            </w:pPr>
            <w:r w:rsidRPr="0046537D">
              <w:rPr>
                <w:rFonts w:ascii="Times New Roman" w:hAnsi="Times New Roman"/>
                <w:sz w:val="19"/>
                <w:szCs w:val="19"/>
              </w:rPr>
              <w:t>C</w:t>
            </w:r>
          </w:p>
        </w:tc>
        <w:tc>
          <w:tcPr>
            <w:tcW w:w="53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F17CA3" w14:textId="77777777" w:rsidR="007518E4" w:rsidRPr="0046537D" w:rsidRDefault="007518E4" w:rsidP="00E12685">
            <w:pPr>
              <w:spacing w:before="0"/>
              <w:ind w:left="0"/>
              <w:rPr>
                <w:rFonts w:ascii="Times New Roman" w:eastAsia="Calibri" w:hAnsi="Times New Roman"/>
                <w:color w:val="000000"/>
                <w:sz w:val="19"/>
                <w:szCs w:val="19"/>
              </w:rPr>
            </w:pPr>
            <w:r w:rsidRPr="0046537D">
              <w:rPr>
                <w:rFonts w:ascii="Times New Roman" w:eastAsia="Calibri" w:hAnsi="Times New Roman"/>
                <w:color w:val="000000"/>
                <w:sz w:val="19"/>
                <w:szCs w:val="19"/>
              </w:rPr>
              <w:t>The legislature issues recommendations on actions to be implemented by the executive but there is no systematic or only limited follow up on the implementation of actions by the MoF and audited agencies</w:t>
            </w:r>
          </w:p>
        </w:tc>
      </w:tr>
      <w:tr w:rsidR="007518E4" w:rsidRPr="00C76C53" w14:paraId="50CF4EF0" w14:textId="77777777" w:rsidTr="00E502FD">
        <w:tblPrEx>
          <w:jc w:val="center"/>
          <w:tblCellMar>
            <w:left w:w="0" w:type="dxa"/>
            <w:right w:w="0" w:type="dxa"/>
          </w:tblCellMar>
        </w:tblPrEx>
        <w:trPr>
          <w:trHeight w:val="57"/>
          <w:jc w:val="center"/>
        </w:trPr>
        <w:tc>
          <w:tcPr>
            <w:tcW w:w="2925" w:type="dxa"/>
            <w:tcBorders>
              <w:top w:val="single" w:sz="4" w:space="0" w:color="auto"/>
              <w:left w:val="single" w:sz="4" w:space="0" w:color="auto"/>
              <w:bottom w:val="single" w:sz="4" w:space="0" w:color="auto"/>
              <w:right w:val="single" w:sz="4" w:space="0" w:color="auto"/>
            </w:tcBorders>
            <w:vAlign w:val="center"/>
          </w:tcPr>
          <w:p w14:paraId="37D91D41" w14:textId="77777777" w:rsidR="007518E4" w:rsidRPr="0046537D" w:rsidRDefault="007518E4" w:rsidP="00E12685">
            <w:pPr>
              <w:spacing w:before="0"/>
              <w:ind w:left="90"/>
              <w:rPr>
                <w:rFonts w:ascii="Times New Roman" w:hAnsi="Times New Roman"/>
                <w:sz w:val="19"/>
                <w:szCs w:val="19"/>
              </w:rPr>
            </w:pPr>
            <w:r w:rsidRPr="0046537D">
              <w:rPr>
                <w:rFonts w:ascii="Times New Roman" w:hAnsi="Times New Roman"/>
                <w:sz w:val="19"/>
                <w:szCs w:val="19"/>
              </w:rPr>
              <w:t>31.4 Transparency on legislative scrutiny of audit reports</w:t>
            </w:r>
          </w:p>
        </w:tc>
        <w:tc>
          <w:tcPr>
            <w:tcW w:w="9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44087A" w14:textId="77777777" w:rsidR="007518E4" w:rsidRPr="0046537D" w:rsidRDefault="007518E4" w:rsidP="00E12685">
            <w:pPr>
              <w:spacing w:before="0"/>
              <w:ind w:left="0"/>
              <w:jc w:val="center"/>
              <w:rPr>
                <w:rFonts w:ascii="Times New Roman" w:hAnsi="Times New Roman"/>
                <w:sz w:val="19"/>
                <w:szCs w:val="19"/>
              </w:rPr>
            </w:pPr>
            <w:r w:rsidRPr="0046537D">
              <w:rPr>
                <w:rFonts w:ascii="Times New Roman" w:hAnsi="Times New Roman"/>
                <w:sz w:val="19"/>
                <w:szCs w:val="19"/>
              </w:rPr>
              <w:t>D</w:t>
            </w:r>
          </w:p>
        </w:tc>
        <w:tc>
          <w:tcPr>
            <w:tcW w:w="5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05FD33" w14:textId="77777777" w:rsidR="007518E4" w:rsidRPr="0046537D" w:rsidRDefault="007518E4" w:rsidP="00E12685">
            <w:pPr>
              <w:spacing w:before="0"/>
              <w:ind w:left="0"/>
              <w:rPr>
                <w:rFonts w:ascii="Times New Roman" w:eastAsia="Calibri" w:hAnsi="Times New Roman"/>
                <w:sz w:val="19"/>
                <w:szCs w:val="19"/>
              </w:rPr>
            </w:pPr>
            <w:r w:rsidRPr="0046537D">
              <w:rPr>
                <w:rFonts w:ascii="Times New Roman" w:eastAsia="Calibri" w:hAnsi="Times New Roman"/>
                <w:color w:val="000000"/>
                <w:sz w:val="19"/>
                <w:szCs w:val="19"/>
              </w:rPr>
              <w:t>The annual SAO reporting on the State Budget implementation is conducted in public through live TV broadcasts. Committee reports are debated in the full chamber of the NA but are not published on its official website and not available for public access</w:t>
            </w:r>
          </w:p>
        </w:tc>
      </w:tr>
    </w:tbl>
    <w:p w14:paraId="3C143CFB" w14:textId="77777777" w:rsidR="00E12685" w:rsidRDefault="00E12685" w:rsidP="007518E4">
      <w:pPr>
        <w:pStyle w:val="ListParagraph"/>
        <w:spacing w:line="259" w:lineRule="auto"/>
        <w:ind w:left="0"/>
        <w:contextualSpacing w:val="0"/>
        <w:rPr>
          <w:rFonts w:ascii="Times New Roman" w:eastAsia="ヒラギノ角ゴ Pro W3" w:hAnsi="Times New Roman"/>
          <w:b/>
          <w:color w:val="000000"/>
          <w:sz w:val="24"/>
          <w:lang w:eastAsia="en-IN"/>
        </w:rPr>
      </w:pPr>
    </w:p>
    <w:p w14:paraId="6F744352" w14:textId="77777777" w:rsidR="00E12685" w:rsidRDefault="00E12685">
      <w:pPr>
        <w:spacing w:after="240" w:line="276" w:lineRule="auto"/>
        <w:rPr>
          <w:rFonts w:ascii="Times New Roman" w:eastAsia="ヒラギノ角ゴ Pro W3" w:hAnsi="Times New Roman"/>
          <w:b/>
          <w:color w:val="000000"/>
          <w:sz w:val="24"/>
          <w:lang w:eastAsia="en-IN"/>
        </w:rPr>
      </w:pPr>
      <w:r>
        <w:rPr>
          <w:rFonts w:ascii="Times New Roman" w:eastAsia="ヒラギノ角ゴ Pro W3" w:hAnsi="Times New Roman"/>
          <w:b/>
          <w:color w:val="000000"/>
          <w:sz w:val="24"/>
          <w:lang w:eastAsia="en-IN"/>
        </w:rPr>
        <w:br w:type="page"/>
      </w:r>
    </w:p>
    <w:p w14:paraId="5A478E55" w14:textId="77777777" w:rsidR="00E12685" w:rsidRPr="00EB5A05" w:rsidRDefault="00E12685" w:rsidP="00EB5A05">
      <w:pPr>
        <w:pStyle w:val="Heading1"/>
        <w:spacing w:before="0" w:after="0"/>
        <w:ind w:left="0"/>
        <w:jc w:val="left"/>
        <w:rPr>
          <w:rFonts w:ascii="Times New Roman" w:hAnsi="Times New Roman"/>
        </w:rPr>
      </w:pPr>
      <w:bookmarkStart w:id="134" w:name="_Toc518901827"/>
      <w:bookmarkStart w:id="135" w:name="_Toc4149023"/>
      <w:r w:rsidRPr="00EB5A05">
        <w:rPr>
          <w:rFonts w:ascii="Times New Roman" w:hAnsi="Times New Roman"/>
        </w:rPr>
        <w:lastRenderedPageBreak/>
        <w:t>Annex 2: Summary of observations on the internal control framework</w:t>
      </w:r>
      <w:bookmarkEnd w:id="134"/>
      <w:bookmarkEnd w:id="135"/>
      <w:r w:rsidRPr="00EB5A05">
        <w:rPr>
          <w:rFonts w:ascii="Times New Roman" w:hAnsi="Times New Roman"/>
        </w:rPr>
        <w:t xml:space="preserve"> </w:t>
      </w:r>
    </w:p>
    <w:tbl>
      <w:tblPr>
        <w:tblStyle w:val="TableGrid"/>
        <w:tblW w:w="5000" w:type="pct"/>
        <w:jc w:val="center"/>
        <w:tblCellMar>
          <w:left w:w="115" w:type="dxa"/>
          <w:right w:w="115" w:type="dxa"/>
        </w:tblCellMar>
        <w:tblLook w:val="04A0" w:firstRow="1" w:lastRow="0" w:firstColumn="1" w:lastColumn="0" w:noHBand="0" w:noVBand="1"/>
      </w:tblPr>
      <w:tblGrid>
        <w:gridCol w:w="4582"/>
        <w:gridCol w:w="4434"/>
      </w:tblGrid>
      <w:tr w:rsidR="00E12685" w:rsidRPr="00FE6ED4" w14:paraId="5006A1DA" w14:textId="77777777" w:rsidTr="00E12685">
        <w:trPr>
          <w:trHeight w:val="273"/>
          <w:tblHeader/>
          <w:jc w:val="center"/>
        </w:trPr>
        <w:tc>
          <w:tcPr>
            <w:tcW w:w="2541" w:type="pct"/>
            <w:shd w:val="clear" w:color="auto" w:fill="D2EFFF"/>
          </w:tcPr>
          <w:p w14:paraId="062C424D" w14:textId="77777777" w:rsidR="00E12685" w:rsidRPr="006B1E75" w:rsidRDefault="00E12685" w:rsidP="00E12685">
            <w:pPr>
              <w:widowControl w:val="0"/>
              <w:autoSpaceDE w:val="0"/>
              <w:autoSpaceDN w:val="0"/>
              <w:adjustRightInd w:val="0"/>
              <w:spacing w:before="0"/>
              <w:ind w:left="0"/>
              <w:rPr>
                <w:rFonts w:eastAsia="SimSun"/>
                <w:b/>
                <w:bCs/>
                <w:sz w:val="20"/>
                <w:szCs w:val="20"/>
                <w:lang w:val="en-GB" w:eastAsia="zh-CN"/>
              </w:rPr>
            </w:pPr>
            <w:r w:rsidRPr="006B1E75">
              <w:rPr>
                <w:b/>
                <w:sz w:val="20"/>
                <w:szCs w:val="20"/>
              </w:rPr>
              <w:t xml:space="preserve">Internal control components and elements </w:t>
            </w:r>
          </w:p>
        </w:tc>
        <w:tc>
          <w:tcPr>
            <w:tcW w:w="2459" w:type="pct"/>
            <w:shd w:val="clear" w:color="auto" w:fill="D2EFFF"/>
          </w:tcPr>
          <w:p w14:paraId="6AF83B44" w14:textId="77777777" w:rsidR="00E12685" w:rsidRPr="006B1E75" w:rsidRDefault="00E12685" w:rsidP="00E12685">
            <w:pPr>
              <w:widowControl w:val="0"/>
              <w:autoSpaceDE w:val="0"/>
              <w:autoSpaceDN w:val="0"/>
              <w:adjustRightInd w:val="0"/>
              <w:spacing w:before="0"/>
              <w:ind w:left="0"/>
              <w:rPr>
                <w:rFonts w:eastAsia="SimSun"/>
                <w:b/>
                <w:bCs/>
                <w:sz w:val="20"/>
                <w:szCs w:val="20"/>
                <w:lang w:val="en-GB" w:eastAsia="zh-CN"/>
              </w:rPr>
            </w:pPr>
            <w:r w:rsidRPr="006B1E75">
              <w:rPr>
                <w:b/>
                <w:sz w:val="20"/>
                <w:szCs w:val="20"/>
              </w:rPr>
              <w:t xml:space="preserve">Summary of observations </w:t>
            </w:r>
          </w:p>
        </w:tc>
      </w:tr>
      <w:tr w:rsidR="00E12685" w:rsidRPr="00FE6ED4" w14:paraId="18580310" w14:textId="77777777" w:rsidTr="00E12685">
        <w:trPr>
          <w:jc w:val="center"/>
        </w:trPr>
        <w:tc>
          <w:tcPr>
            <w:tcW w:w="5000" w:type="pct"/>
            <w:gridSpan w:val="2"/>
          </w:tcPr>
          <w:p w14:paraId="297C15AB" w14:textId="77777777" w:rsidR="00E12685" w:rsidRPr="006B1E75" w:rsidRDefault="00E12685" w:rsidP="008037D9">
            <w:pPr>
              <w:pStyle w:val="ListParagraph"/>
              <w:numPr>
                <w:ilvl w:val="0"/>
                <w:numId w:val="104"/>
              </w:numPr>
              <w:spacing w:before="0"/>
              <w:ind w:left="0" w:firstLine="0"/>
              <w:contextualSpacing w:val="0"/>
              <w:rPr>
                <w:sz w:val="20"/>
                <w:szCs w:val="20"/>
              </w:rPr>
            </w:pPr>
            <w:r w:rsidRPr="006B1E75">
              <w:rPr>
                <w:b/>
                <w:sz w:val="20"/>
                <w:szCs w:val="20"/>
              </w:rPr>
              <w:t xml:space="preserve">Control Environment </w:t>
            </w:r>
          </w:p>
        </w:tc>
      </w:tr>
      <w:tr w:rsidR="00E12685" w:rsidRPr="00FE6ED4" w14:paraId="49A001B9" w14:textId="77777777" w:rsidTr="00E12685">
        <w:trPr>
          <w:jc w:val="center"/>
        </w:trPr>
        <w:tc>
          <w:tcPr>
            <w:tcW w:w="2541" w:type="pct"/>
          </w:tcPr>
          <w:p w14:paraId="037A2A4C"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1.1 The personal and professional integrity and ethical values of management and staff, including a supportive attitude toward internal control constantly throughout the organization </w:t>
            </w:r>
          </w:p>
        </w:tc>
        <w:tc>
          <w:tcPr>
            <w:tcW w:w="2459" w:type="pct"/>
          </w:tcPr>
          <w:p w14:paraId="00B562E8" w14:textId="77777777" w:rsidR="00E12685" w:rsidRPr="006B1E75" w:rsidRDefault="00E12685" w:rsidP="00E12685">
            <w:pPr>
              <w:keepLines/>
              <w:spacing w:before="0"/>
              <w:ind w:left="0"/>
              <w:rPr>
                <w:rFonts w:eastAsia="SimSun"/>
                <w:sz w:val="20"/>
                <w:szCs w:val="20"/>
                <w:lang w:val="en-GB" w:eastAsia="zh-CN"/>
              </w:rPr>
            </w:pPr>
            <w:r>
              <w:rPr>
                <w:rFonts w:eastAsia="SimSun"/>
                <w:sz w:val="20"/>
                <w:szCs w:val="20"/>
                <w:lang w:val="en-GB" w:eastAsia="zh-CN"/>
              </w:rPr>
              <w:t xml:space="preserve">The legal basis for the control environment is the Anti-Corruption Law and the </w:t>
            </w:r>
            <w:proofErr w:type="spellStart"/>
            <w:r>
              <w:rPr>
                <w:rFonts w:eastAsia="SimSun"/>
                <w:sz w:val="20"/>
                <w:szCs w:val="20"/>
                <w:lang w:val="en-GB" w:eastAsia="zh-CN"/>
              </w:rPr>
              <w:t>ToRs</w:t>
            </w:r>
            <w:proofErr w:type="spellEnd"/>
            <w:r>
              <w:rPr>
                <w:rFonts w:eastAsia="SimSun"/>
                <w:sz w:val="20"/>
                <w:szCs w:val="20"/>
                <w:lang w:val="en-GB" w:eastAsia="zh-CN"/>
              </w:rPr>
              <w:t xml:space="preserve"> for the Inspection Units within Ministries.  </w:t>
            </w:r>
            <w:r w:rsidRPr="003F55D9">
              <w:rPr>
                <w:bCs/>
                <w:color w:val="000000" w:themeColor="text1"/>
                <w:sz w:val="20"/>
                <w:szCs w:val="20"/>
              </w:rPr>
              <w:t xml:space="preserve">There is no reference to a specific internal control environment or framework in the State Budget Law. </w:t>
            </w:r>
          </w:p>
        </w:tc>
      </w:tr>
      <w:tr w:rsidR="00E12685" w:rsidRPr="00FE6ED4" w14:paraId="4EFFE536" w14:textId="77777777" w:rsidTr="00E12685">
        <w:trPr>
          <w:trHeight w:val="323"/>
          <w:jc w:val="center"/>
        </w:trPr>
        <w:tc>
          <w:tcPr>
            <w:tcW w:w="2541" w:type="pct"/>
          </w:tcPr>
          <w:p w14:paraId="1A6EECD4" w14:textId="77777777" w:rsidR="00E12685" w:rsidRPr="006B1E75" w:rsidRDefault="00E12685" w:rsidP="00E12685">
            <w:pPr>
              <w:spacing w:before="0"/>
              <w:ind w:left="0"/>
              <w:rPr>
                <w:rFonts w:eastAsia="SimSun"/>
                <w:sz w:val="20"/>
                <w:szCs w:val="20"/>
                <w:lang w:val="en-GB" w:eastAsia="zh-CN"/>
              </w:rPr>
            </w:pPr>
            <w:r w:rsidRPr="006B1E75">
              <w:rPr>
                <w:sz w:val="20"/>
                <w:szCs w:val="20"/>
              </w:rPr>
              <w:t>1.2 Commitment to competence</w:t>
            </w:r>
          </w:p>
        </w:tc>
        <w:tc>
          <w:tcPr>
            <w:tcW w:w="2459" w:type="pct"/>
          </w:tcPr>
          <w:p w14:paraId="2C803F0F" w14:textId="77777777" w:rsidR="00E12685" w:rsidRPr="006B1E75" w:rsidRDefault="00E12685" w:rsidP="00E12685">
            <w:pPr>
              <w:keepLines/>
              <w:spacing w:before="0"/>
              <w:ind w:left="0"/>
              <w:rPr>
                <w:rFonts w:eastAsia="SimSun"/>
                <w:sz w:val="20"/>
                <w:szCs w:val="20"/>
                <w:lang w:val="en-GB" w:eastAsia="zh-CN"/>
              </w:rPr>
            </w:pPr>
            <w:r w:rsidRPr="003F55D9">
              <w:rPr>
                <w:bCs/>
                <w:color w:val="000000" w:themeColor="text1"/>
                <w:sz w:val="20"/>
                <w:szCs w:val="20"/>
              </w:rPr>
              <w:t>There is no reference to a risk-based approach or risk assessment methodology in the Inspection departments’ description of scope of work.</w:t>
            </w:r>
          </w:p>
        </w:tc>
      </w:tr>
      <w:tr w:rsidR="00E12685" w:rsidRPr="00FE6ED4" w14:paraId="4F747A98" w14:textId="77777777" w:rsidTr="00E12685">
        <w:trPr>
          <w:jc w:val="center"/>
        </w:trPr>
        <w:tc>
          <w:tcPr>
            <w:tcW w:w="2541" w:type="pct"/>
          </w:tcPr>
          <w:p w14:paraId="4A091C63" w14:textId="77777777" w:rsidR="00E12685" w:rsidRPr="006B1E75" w:rsidRDefault="00E12685" w:rsidP="00E12685">
            <w:pPr>
              <w:spacing w:before="0"/>
              <w:ind w:left="0"/>
              <w:rPr>
                <w:rFonts w:eastAsia="SimSun"/>
                <w:sz w:val="20"/>
                <w:szCs w:val="20"/>
                <w:lang w:val="en-GB" w:eastAsia="zh-CN"/>
              </w:rPr>
            </w:pPr>
            <w:r w:rsidRPr="006B1E75">
              <w:rPr>
                <w:sz w:val="20"/>
                <w:szCs w:val="20"/>
              </w:rPr>
              <w:t>1.3 The ‘tone at the top’ (i.e. management’s philosophy and operating style)</w:t>
            </w:r>
          </w:p>
        </w:tc>
        <w:tc>
          <w:tcPr>
            <w:tcW w:w="2459" w:type="pct"/>
          </w:tcPr>
          <w:p w14:paraId="5A92DEA6" w14:textId="77777777" w:rsidR="00E12685" w:rsidRPr="00FA5884" w:rsidRDefault="00E12685" w:rsidP="00E12685">
            <w:pPr>
              <w:widowControl w:val="0"/>
              <w:autoSpaceDE w:val="0"/>
              <w:autoSpaceDN w:val="0"/>
              <w:adjustRightInd w:val="0"/>
              <w:spacing w:before="0"/>
              <w:ind w:left="0"/>
              <w:rPr>
                <w:rFonts w:eastAsia="SimSun"/>
                <w:sz w:val="20"/>
                <w:szCs w:val="20"/>
                <w:lang w:val="en-GB" w:eastAsia="zh-CN"/>
              </w:rPr>
            </w:pPr>
            <w:r>
              <w:rPr>
                <w:bCs/>
                <w:color w:val="000000" w:themeColor="text1"/>
                <w:sz w:val="20"/>
                <w:szCs w:val="20"/>
              </w:rPr>
              <w:t>Control</w:t>
            </w:r>
            <w:r w:rsidRPr="00FA5884">
              <w:rPr>
                <w:bCs/>
                <w:color w:val="000000" w:themeColor="text1"/>
                <w:sz w:val="20"/>
                <w:szCs w:val="20"/>
              </w:rPr>
              <w:t xml:space="preserve"> activities largely focus on compliance.</w:t>
            </w:r>
            <w:r w:rsidRPr="00FA5884">
              <w:rPr>
                <w:b/>
                <w:bCs/>
                <w:color w:val="000000" w:themeColor="text1"/>
                <w:sz w:val="20"/>
                <w:szCs w:val="20"/>
              </w:rPr>
              <w:t xml:space="preserve">  </w:t>
            </w:r>
            <w:r w:rsidRPr="00FA5884">
              <w:rPr>
                <w:bCs/>
                <w:color w:val="000000" w:themeColor="text1"/>
                <w:sz w:val="20"/>
                <w:szCs w:val="20"/>
              </w:rPr>
              <w:t>There is no quality assurance system in place as the Inspection departments to not operate on defined audit standards and report exclusively to the Head of their respective entity</w:t>
            </w:r>
          </w:p>
        </w:tc>
      </w:tr>
      <w:tr w:rsidR="00E12685" w:rsidRPr="00FE6ED4" w14:paraId="55499BE6" w14:textId="77777777" w:rsidTr="00E12685">
        <w:trPr>
          <w:trHeight w:val="314"/>
          <w:jc w:val="center"/>
        </w:trPr>
        <w:tc>
          <w:tcPr>
            <w:tcW w:w="2541" w:type="pct"/>
          </w:tcPr>
          <w:p w14:paraId="428FEF76"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1.4 Organizational structure </w:t>
            </w:r>
          </w:p>
        </w:tc>
        <w:tc>
          <w:tcPr>
            <w:tcW w:w="2459" w:type="pct"/>
          </w:tcPr>
          <w:p w14:paraId="26E25E55" w14:textId="77777777" w:rsidR="00E12685" w:rsidRPr="006B1E75" w:rsidRDefault="00E12685" w:rsidP="00E12685">
            <w:pPr>
              <w:spacing w:before="0"/>
              <w:ind w:left="0"/>
              <w:rPr>
                <w:rFonts w:eastAsia="SimSun"/>
                <w:sz w:val="20"/>
                <w:szCs w:val="20"/>
                <w:lang w:val="en-GB" w:eastAsia="zh-CN"/>
              </w:rPr>
            </w:pPr>
            <w:r w:rsidRPr="00FA5884">
              <w:rPr>
                <w:rFonts w:eastAsia="Calibri"/>
                <w:sz w:val="20"/>
                <w:szCs w:val="20"/>
              </w:rPr>
              <w:t xml:space="preserve">Each Inspection department in line ministry prepares an annual work plan approved by the Minister or Head of agency which guides its work during the financial year. There are no internal audit committees or equivalent.  The inspection reports produced for each case or activity are submitted to the Minister or Head of the agency for review and decision.  Additional activities are directly assigned by the Minister or Head of Agency during the financial year. </w:t>
            </w:r>
          </w:p>
        </w:tc>
      </w:tr>
      <w:tr w:rsidR="00E12685" w:rsidRPr="00FE6ED4" w14:paraId="23247262" w14:textId="77777777" w:rsidTr="00E12685">
        <w:trPr>
          <w:trHeight w:val="444"/>
          <w:jc w:val="center"/>
        </w:trPr>
        <w:tc>
          <w:tcPr>
            <w:tcW w:w="2541" w:type="pct"/>
          </w:tcPr>
          <w:p w14:paraId="03EEA92A" w14:textId="77777777" w:rsidR="00E12685" w:rsidRPr="006B1E75" w:rsidRDefault="00E12685" w:rsidP="008037D9">
            <w:pPr>
              <w:pStyle w:val="ListParagraph"/>
              <w:numPr>
                <w:ilvl w:val="1"/>
                <w:numId w:val="105"/>
              </w:numPr>
              <w:spacing w:before="0"/>
              <w:ind w:left="0" w:firstLine="0"/>
              <w:contextualSpacing w:val="0"/>
              <w:rPr>
                <w:rFonts w:eastAsia="SimSun"/>
                <w:sz w:val="20"/>
                <w:szCs w:val="20"/>
                <w:lang w:val="en-GB" w:eastAsia="zh-CN"/>
              </w:rPr>
            </w:pPr>
            <w:r w:rsidRPr="006B1E75">
              <w:rPr>
                <w:sz w:val="20"/>
                <w:szCs w:val="20"/>
              </w:rPr>
              <w:t xml:space="preserve">Human resource policies and practices </w:t>
            </w:r>
          </w:p>
        </w:tc>
        <w:tc>
          <w:tcPr>
            <w:tcW w:w="2459" w:type="pct"/>
          </w:tcPr>
          <w:p w14:paraId="75DC653B"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FA5884">
              <w:rPr>
                <w:rFonts w:eastAsia="Calibri"/>
                <w:sz w:val="20"/>
                <w:szCs w:val="20"/>
              </w:rPr>
              <w:t>The MoF Inspection department mentioned that actual implementation of the approved annual work plan is limited by the lack of</w:t>
            </w:r>
            <w:r w:rsidRPr="00FA5884">
              <w:rPr>
                <w:color w:val="000000"/>
                <w:sz w:val="20"/>
                <w:szCs w:val="20"/>
              </w:rPr>
              <w:t xml:space="preserve"> availability of resources and the insufficient staffing levels</w:t>
            </w:r>
            <w:r>
              <w:rPr>
                <w:color w:val="000000"/>
              </w:rPr>
              <w:t>.</w:t>
            </w:r>
          </w:p>
        </w:tc>
      </w:tr>
      <w:tr w:rsidR="00E12685" w:rsidRPr="00FE6ED4" w14:paraId="17561212" w14:textId="77777777" w:rsidTr="00E12685">
        <w:trPr>
          <w:jc w:val="center"/>
        </w:trPr>
        <w:tc>
          <w:tcPr>
            <w:tcW w:w="5000" w:type="pct"/>
            <w:gridSpan w:val="2"/>
            <w:shd w:val="clear" w:color="auto" w:fill="D2EFFF"/>
          </w:tcPr>
          <w:p w14:paraId="4844ED72" w14:textId="77777777" w:rsidR="00E12685" w:rsidRPr="006B1E75" w:rsidRDefault="00E12685" w:rsidP="008037D9">
            <w:pPr>
              <w:pStyle w:val="ListParagraph"/>
              <w:numPr>
                <w:ilvl w:val="0"/>
                <w:numId w:val="105"/>
              </w:numPr>
              <w:spacing w:before="0"/>
              <w:ind w:left="0" w:firstLine="0"/>
              <w:contextualSpacing w:val="0"/>
              <w:rPr>
                <w:rFonts w:eastAsia="SimSun"/>
                <w:sz w:val="20"/>
                <w:szCs w:val="20"/>
                <w:lang w:val="en-GB" w:eastAsia="zh-CN"/>
              </w:rPr>
            </w:pPr>
            <w:r w:rsidRPr="006B1E75">
              <w:rPr>
                <w:b/>
                <w:sz w:val="20"/>
                <w:szCs w:val="20"/>
              </w:rPr>
              <w:t xml:space="preserve">Risk assessment </w:t>
            </w:r>
          </w:p>
        </w:tc>
      </w:tr>
      <w:tr w:rsidR="00E12685" w:rsidRPr="00FE6ED4" w14:paraId="5585CEB5" w14:textId="77777777" w:rsidTr="00E12685">
        <w:trPr>
          <w:jc w:val="center"/>
        </w:trPr>
        <w:tc>
          <w:tcPr>
            <w:tcW w:w="2541" w:type="pct"/>
          </w:tcPr>
          <w:p w14:paraId="5C000658"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2.1 Risk identification </w:t>
            </w:r>
          </w:p>
        </w:tc>
        <w:tc>
          <w:tcPr>
            <w:tcW w:w="2459" w:type="pct"/>
          </w:tcPr>
          <w:p w14:paraId="08003497" w14:textId="77777777" w:rsidR="00E12685" w:rsidRPr="006B1E75" w:rsidRDefault="00E12685" w:rsidP="00E12685">
            <w:pPr>
              <w:spacing w:before="0"/>
              <w:ind w:left="0"/>
              <w:rPr>
                <w:sz w:val="20"/>
                <w:szCs w:val="20"/>
              </w:rPr>
            </w:pPr>
            <w:r w:rsidRPr="006B1E75">
              <w:rPr>
                <w:sz w:val="20"/>
                <w:szCs w:val="20"/>
              </w:rPr>
              <w:t xml:space="preserve">Several PIs are related to the extent to which risks are identified, notably:  </w:t>
            </w:r>
          </w:p>
          <w:p w14:paraId="0AEE3770" w14:textId="77777777" w:rsidR="00E12685" w:rsidRPr="006B1E75" w:rsidRDefault="00E12685" w:rsidP="00E12685">
            <w:pPr>
              <w:spacing w:before="0"/>
              <w:ind w:left="0"/>
              <w:rPr>
                <w:sz w:val="20"/>
                <w:szCs w:val="20"/>
              </w:rPr>
            </w:pPr>
            <w:r w:rsidRPr="006B1E75">
              <w:rPr>
                <w:b/>
                <w:sz w:val="20"/>
                <w:szCs w:val="20"/>
              </w:rPr>
              <w:t>Economic Analysis of Investment Proposals is rated ‘C’</w:t>
            </w:r>
            <w:r w:rsidRPr="006B1E75">
              <w:rPr>
                <w:sz w:val="20"/>
                <w:szCs w:val="20"/>
              </w:rPr>
              <w:t xml:space="preserve"> </w:t>
            </w:r>
            <w:r w:rsidRPr="006B1E75">
              <w:rPr>
                <w:b/>
                <w:sz w:val="20"/>
                <w:szCs w:val="20"/>
              </w:rPr>
              <w:t>in 11.1</w:t>
            </w:r>
            <w:r w:rsidRPr="006B1E75">
              <w:rPr>
                <w:sz w:val="20"/>
                <w:szCs w:val="20"/>
              </w:rPr>
              <w:t xml:space="preserve"> – Economic analyses are conducted to assess some major investment projects.  </w:t>
            </w:r>
          </w:p>
          <w:p w14:paraId="6FD1681A" w14:textId="77777777" w:rsidR="00E12685" w:rsidRPr="006B1E75" w:rsidRDefault="00E12685" w:rsidP="00E12685">
            <w:pPr>
              <w:spacing w:before="0"/>
              <w:ind w:left="0"/>
              <w:rPr>
                <w:sz w:val="20"/>
                <w:szCs w:val="20"/>
              </w:rPr>
            </w:pPr>
            <w:r w:rsidRPr="006B1E75">
              <w:rPr>
                <w:b/>
                <w:sz w:val="20"/>
                <w:szCs w:val="20"/>
              </w:rPr>
              <w:t>Debt Management Strategy is rated ‘D’ in 13.3</w:t>
            </w:r>
            <w:r w:rsidRPr="006B1E75">
              <w:rPr>
                <w:sz w:val="20"/>
                <w:szCs w:val="20"/>
              </w:rPr>
              <w:t xml:space="preserve"> – </w:t>
            </w:r>
          </w:p>
          <w:p w14:paraId="4F9391EC" w14:textId="77777777" w:rsidR="00E12685" w:rsidRPr="006B1E75" w:rsidRDefault="00E12685" w:rsidP="00E12685">
            <w:pPr>
              <w:spacing w:before="0"/>
              <w:ind w:left="0"/>
              <w:rPr>
                <w:sz w:val="20"/>
                <w:szCs w:val="20"/>
              </w:rPr>
            </w:pPr>
            <w:r w:rsidRPr="006B1E75">
              <w:rPr>
                <w:b/>
                <w:sz w:val="20"/>
                <w:szCs w:val="20"/>
              </w:rPr>
              <w:t>Macro</w:t>
            </w:r>
            <w:r>
              <w:rPr>
                <w:b/>
                <w:sz w:val="20"/>
                <w:szCs w:val="20"/>
              </w:rPr>
              <w:t>-</w:t>
            </w:r>
            <w:r w:rsidRPr="006B1E75">
              <w:rPr>
                <w:b/>
                <w:sz w:val="20"/>
                <w:szCs w:val="20"/>
              </w:rPr>
              <w:t xml:space="preserve">fiscal </w:t>
            </w:r>
            <w:r>
              <w:rPr>
                <w:b/>
                <w:sz w:val="20"/>
                <w:szCs w:val="20"/>
              </w:rPr>
              <w:t>sensitivity analysis is rated ‘D</w:t>
            </w:r>
            <w:r w:rsidRPr="006B1E75">
              <w:rPr>
                <w:b/>
                <w:sz w:val="20"/>
                <w:szCs w:val="20"/>
              </w:rPr>
              <w:t xml:space="preserve">’ in 14.3 </w:t>
            </w:r>
          </w:p>
          <w:p w14:paraId="6B51FAE6" w14:textId="77777777" w:rsidR="00E12685" w:rsidRPr="006B1E75" w:rsidRDefault="00E12685" w:rsidP="00E12685">
            <w:pPr>
              <w:spacing w:before="0"/>
              <w:ind w:left="0"/>
              <w:rPr>
                <w:sz w:val="20"/>
                <w:szCs w:val="20"/>
              </w:rPr>
            </w:pPr>
            <w:r w:rsidRPr="006B1E75">
              <w:rPr>
                <w:b/>
                <w:sz w:val="20"/>
                <w:szCs w:val="20"/>
              </w:rPr>
              <w:t>Rev</w:t>
            </w:r>
            <w:r>
              <w:rPr>
                <w:b/>
                <w:sz w:val="20"/>
                <w:szCs w:val="20"/>
              </w:rPr>
              <w:t xml:space="preserve">enue Risk Management is rated </w:t>
            </w:r>
            <w:r w:rsidRPr="00E12685">
              <w:rPr>
                <w:b/>
                <w:sz w:val="20"/>
                <w:szCs w:val="20"/>
              </w:rPr>
              <w:t>‘</w:t>
            </w:r>
            <w:r w:rsidR="00645450">
              <w:rPr>
                <w:b/>
                <w:sz w:val="20"/>
                <w:szCs w:val="20"/>
              </w:rPr>
              <w:t>C</w:t>
            </w:r>
            <w:r w:rsidRPr="00E12685">
              <w:rPr>
                <w:b/>
                <w:sz w:val="20"/>
                <w:szCs w:val="20"/>
              </w:rPr>
              <w:t>’</w:t>
            </w:r>
            <w:r w:rsidRPr="006B1E75">
              <w:rPr>
                <w:b/>
                <w:sz w:val="20"/>
                <w:szCs w:val="20"/>
              </w:rPr>
              <w:t xml:space="preserve"> in 19.2</w:t>
            </w:r>
            <w:r w:rsidRPr="006B1E75">
              <w:rPr>
                <w:sz w:val="20"/>
                <w:szCs w:val="20"/>
              </w:rPr>
              <w:t xml:space="preserve"> – </w:t>
            </w:r>
          </w:p>
          <w:p w14:paraId="43134689"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Cash Flow Foreca</w:t>
            </w:r>
            <w:r>
              <w:rPr>
                <w:b/>
                <w:sz w:val="20"/>
                <w:szCs w:val="20"/>
              </w:rPr>
              <w:t>sting and Monitoring is rated ‘C</w:t>
            </w:r>
            <w:r w:rsidRPr="006B1E75">
              <w:rPr>
                <w:b/>
                <w:sz w:val="20"/>
                <w:szCs w:val="20"/>
              </w:rPr>
              <w:t>’</w:t>
            </w:r>
            <w:r w:rsidRPr="006B1E75">
              <w:rPr>
                <w:sz w:val="20"/>
                <w:szCs w:val="20"/>
              </w:rPr>
              <w:t xml:space="preserve"> </w:t>
            </w:r>
            <w:r w:rsidRPr="006B1E75">
              <w:rPr>
                <w:b/>
                <w:sz w:val="20"/>
                <w:szCs w:val="20"/>
              </w:rPr>
              <w:t>in</w:t>
            </w:r>
            <w:r w:rsidRPr="006B1E75">
              <w:rPr>
                <w:sz w:val="20"/>
                <w:szCs w:val="20"/>
              </w:rPr>
              <w:t xml:space="preserve"> </w:t>
            </w:r>
            <w:r w:rsidRPr="006B1E75">
              <w:rPr>
                <w:b/>
                <w:sz w:val="20"/>
                <w:szCs w:val="20"/>
              </w:rPr>
              <w:t>21.2</w:t>
            </w:r>
            <w:r w:rsidRPr="006B1E75">
              <w:rPr>
                <w:sz w:val="20"/>
                <w:szCs w:val="20"/>
              </w:rPr>
              <w:t xml:space="preserve"> - </w:t>
            </w:r>
          </w:p>
        </w:tc>
      </w:tr>
      <w:tr w:rsidR="00E12685" w:rsidRPr="00FE6ED4" w14:paraId="51FC6737" w14:textId="77777777" w:rsidTr="00E12685">
        <w:trPr>
          <w:jc w:val="center"/>
        </w:trPr>
        <w:tc>
          <w:tcPr>
            <w:tcW w:w="2541" w:type="pct"/>
          </w:tcPr>
          <w:p w14:paraId="0957E6E6" w14:textId="77777777" w:rsidR="00E12685" w:rsidRPr="006B1E75" w:rsidRDefault="00E12685" w:rsidP="008037D9">
            <w:pPr>
              <w:pStyle w:val="ListParagraph"/>
              <w:numPr>
                <w:ilvl w:val="1"/>
                <w:numId w:val="106"/>
              </w:numPr>
              <w:spacing w:before="0"/>
              <w:ind w:left="0" w:firstLine="0"/>
              <w:contextualSpacing w:val="0"/>
              <w:rPr>
                <w:rFonts w:eastAsia="SimSun"/>
                <w:sz w:val="20"/>
                <w:szCs w:val="20"/>
                <w:lang w:val="en-GB" w:eastAsia="zh-CN"/>
              </w:rPr>
            </w:pPr>
            <w:r w:rsidRPr="006B1E75">
              <w:rPr>
                <w:sz w:val="20"/>
                <w:szCs w:val="20"/>
              </w:rPr>
              <w:t xml:space="preserve">Risk assessment (significance and likelihood)  </w:t>
            </w:r>
          </w:p>
        </w:tc>
        <w:tc>
          <w:tcPr>
            <w:tcW w:w="2459" w:type="pct"/>
          </w:tcPr>
          <w:p w14:paraId="0C41C3AC"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See risk identification (2.1 above)</w:t>
            </w:r>
            <w:r w:rsidRPr="006B1E75">
              <w:rPr>
                <w:i/>
                <w:sz w:val="20"/>
                <w:szCs w:val="20"/>
              </w:rPr>
              <w:t xml:space="preserve"> </w:t>
            </w:r>
          </w:p>
        </w:tc>
      </w:tr>
      <w:tr w:rsidR="00E12685" w:rsidRPr="00FE6ED4" w14:paraId="25A60CA1" w14:textId="77777777" w:rsidTr="00E12685">
        <w:trPr>
          <w:jc w:val="center"/>
        </w:trPr>
        <w:tc>
          <w:tcPr>
            <w:tcW w:w="2541" w:type="pct"/>
          </w:tcPr>
          <w:p w14:paraId="5B1078A1" w14:textId="77777777" w:rsidR="00E12685" w:rsidRPr="006B1E75" w:rsidRDefault="00E12685" w:rsidP="008037D9">
            <w:pPr>
              <w:pStyle w:val="ListParagraph"/>
              <w:numPr>
                <w:ilvl w:val="1"/>
                <w:numId w:val="106"/>
              </w:numPr>
              <w:spacing w:before="0"/>
              <w:ind w:left="0" w:firstLine="0"/>
              <w:contextualSpacing w:val="0"/>
              <w:rPr>
                <w:rFonts w:eastAsia="SimSun"/>
                <w:sz w:val="20"/>
                <w:szCs w:val="20"/>
                <w:lang w:val="en-GB" w:eastAsia="zh-CN"/>
              </w:rPr>
            </w:pPr>
            <w:r w:rsidRPr="006B1E75">
              <w:rPr>
                <w:sz w:val="20"/>
                <w:szCs w:val="20"/>
              </w:rPr>
              <w:t xml:space="preserve">Risk evaluation </w:t>
            </w:r>
          </w:p>
        </w:tc>
        <w:tc>
          <w:tcPr>
            <w:tcW w:w="2459" w:type="pct"/>
          </w:tcPr>
          <w:p w14:paraId="21F0958D"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Pr>
                <w:rFonts w:eastAsia="SimSun"/>
                <w:sz w:val="20"/>
                <w:szCs w:val="20"/>
                <w:lang w:val="en-GB" w:eastAsia="zh-CN"/>
              </w:rPr>
              <w:t>The approach to risk is more ex-post than ex ante.</w:t>
            </w:r>
          </w:p>
        </w:tc>
      </w:tr>
      <w:tr w:rsidR="00E12685" w:rsidRPr="00FE6ED4" w14:paraId="121FBE39" w14:textId="77777777" w:rsidTr="00E12685">
        <w:trPr>
          <w:jc w:val="center"/>
        </w:trPr>
        <w:tc>
          <w:tcPr>
            <w:tcW w:w="2541" w:type="pct"/>
          </w:tcPr>
          <w:p w14:paraId="6E3F3E1F"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2.4 Risk appetite assessment </w:t>
            </w:r>
          </w:p>
        </w:tc>
        <w:tc>
          <w:tcPr>
            <w:tcW w:w="2459" w:type="pct"/>
          </w:tcPr>
          <w:p w14:paraId="0B3F2FF7"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Pr>
                <w:rFonts w:eastAsia="SimSun"/>
                <w:sz w:val="20"/>
                <w:szCs w:val="20"/>
                <w:lang w:val="en-GB" w:eastAsia="zh-CN"/>
              </w:rPr>
              <w:t>The development and implementation of identification and assessment of risk is currently being assessed with consideration of developing internal audit.</w:t>
            </w:r>
          </w:p>
        </w:tc>
      </w:tr>
      <w:tr w:rsidR="00E12685" w:rsidRPr="00FE6ED4" w14:paraId="1CC27632" w14:textId="77777777" w:rsidTr="00E12685">
        <w:trPr>
          <w:jc w:val="center"/>
        </w:trPr>
        <w:tc>
          <w:tcPr>
            <w:tcW w:w="2541" w:type="pct"/>
          </w:tcPr>
          <w:p w14:paraId="66D1399E"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2.5 Responses to risk (transfer, tolerance, treatment, or termination) </w:t>
            </w:r>
          </w:p>
        </w:tc>
        <w:tc>
          <w:tcPr>
            <w:tcW w:w="2459" w:type="pct"/>
          </w:tcPr>
          <w:p w14:paraId="039C42FC"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Pr>
                <w:rFonts w:eastAsia="SimSun"/>
                <w:sz w:val="20"/>
                <w:szCs w:val="20"/>
                <w:lang w:val="en-GB" w:eastAsia="zh-CN"/>
              </w:rPr>
              <w:t>The emphasis is on disciplinary procedures for those caught by-passing the system.</w:t>
            </w:r>
          </w:p>
        </w:tc>
      </w:tr>
      <w:tr w:rsidR="00E12685" w:rsidRPr="00FE6ED4" w14:paraId="2265430B" w14:textId="77777777" w:rsidTr="00E12685">
        <w:trPr>
          <w:jc w:val="center"/>
        </w:trPr>
        <w:tc>
          <w:tcPr>
            <w:tcW w:w="5000" w:type="pct"/>
            <w:gridSpan w:val="2"/>
          </w:tcPr>
          <w:p w14:paraId="6B3D1BED" w14:textId="77777777" w:rsidR="00E12685" w:rsidRPr="006B1E75" w:rsidRDefault="00E12685" w:rsidP="008037D9">
            <w:pPr>
              <w:pStyle w:val="ListParagraph"/>
              <w:widowControl w:val="0"/>
              <w:numPr>
                <w:ilvl w:val="0"/>
                <w:numId w:val="106"/>
              </w:numPr>
              <w:autoSpaceDE w:val="0"/>
              <w:autoSpaceDN w:val="0"/>
              <w:adjustRightInd w:val="0"/>
              <w:spacing w:before="0"/>
              <w:ind w:left="0" w:firstLine="0"/>
              <w:contextualSpacing w:val="0"/>
              <w:rPr>
                <w:rFonts w:eastAsia="SimSun"/>
                <w:b/>
                <w:sz w:val="20"/>
                <w:szCs w:val="20"/>
                <w:lang w:val="en-GB" w:eastAsia="zh-CN"/>
              </w:rPr>
            </w:pPr>
            <w:r w:rsidRPr="006B1E75">
              <w:rPr>
                <w:b/>
                <w:sz w:val="20"/>
                <w:szCs w:val="20"/>
              </w:rPr>
              <w:t xml:space="preserve">Control activities </w:t>
            </w:r>
          </w:p>
        </w:tc>
      </w:tr>
      <w:tr w:rsidR="00E12685" w:rsidRPr="00FE6ED4" w14:paraId="6F44FE47" w14:textId="77777777" w:rsidTr="00CC2B5D">
        <w:trPr>
          <w:jc w:val="center"/>
        </w:trPr>
        <w:tc>
          <w:tcPr>
            <w:tcW w:w="2541" w:type="pct"/>
          </w:tcPr>
          <w:p w14:paraId="21C9BEDC"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3.1 Authorization and approval procedures </w:t>
            </w:r>
          </w:p>
        </w:tc>
        <w:tc>
          <w:tcPr>
            <w:tcW w:w="2459" w:type="pct"/>
          </w:tcPr>
          <w:p w14:paraId="53ABCACC" w14:textId="77777777" w:rsidR="00E12685" w:rsidRPr="006B1E75" w:rsidRDefault="00E12685" w:rsidP="00E12685">
            <w:pPr>
              <w:spacing w:before="0"/>
              <w:ind w:left="0"/>
              <w:rPr>
                <w:sz w:val="20"/>
                <w:szCs w:val="20"/>
              </w:rPr>
            </w:pPr>
            <w:r w:rsidRPr="006B1E75">
              <w:rPr>
                <w:b/>
                <w:sz w:val="20"/>
                <w:szCs w:val="20"/>
              </w:rPr>
              <w:t>Financial data integrity processes are rated ‘</w:t>
            </w:r>
            <w:r>
              <w:rPr>
                <w:b/>
                <w:sz w:val="20"/>
                <w:szCs w:val="20"/>
              </w:rPr>
              <w:t>C</w:t>
            </w:r>
            <w:r w:rsidRPr="006B1E75">
              <w:rPr>
                <w:b/>
                <w:sz w:val="20"/>
                <w:szCs w:val="20"/>
              </w:rPr>
              <w:t>’ in 27.4.</w:t>
            </w:r>
            <w:r w:rsidRPr="006B1E75">
              <w:rPr>
                <w:sz w:val="20"/>
                <w:szCs w:val="20"/>
              </w:rPr>
              <w:t xml:space="preserve"> Access and changes to records is restricted and recorded, and results in audit trail</w:t>
            </w:r>
            <w:r>
              <w:rPr>
                <w:sz w:val="20"/>
                <w:szCs w:val="20"/>
              </w:rPr>
              <w:t xml:space="preserve"> but there are issues with system security</w:t>
            </w:r>
            <w:r w:rsidRPr="006B1E75">
              <w:rPr>
                <w:sz w:val="20"/>
                <w:szCs w:val="20"/>
              </w:rPr>
              <w:t xml:space="preserve">. </w:t>
            </w:r>
          </w:p>
          <w:p w14:paraId="008FDBE4" w14:textId="77777777" w:rsidR="00E12685" w:rsidRPr="00D16404" w:rsidRDefault="00E12685" w:rsidP="00E12685">
            <w:pPr>
              <w:spacing w:before="0"/>
              <w:ind w:left="0"/>
              <w:rPr>
                <w:sz w:val="20"/>
                <w:szCs w:val="20"/>
              </w:rPr>
            </w:pPr>
            <w:r w:rsidRPr="006B1E75">
              <w:rPr>
                <w:b/>
                <w:sz w:val="20"/>
                <w:szCs w:val="20"/>
              </w:rPr>
              <w:lastRenderedPageBreak/>
              <w:t xml:space="preserve">Recording and reporting of </w:t>
            </w:r>
            <w:r>
              <w:rPr>
                <w:b/>
                <w:sz w:val="20"/>
                <w:szCs w:val="20"/>
              </w:rPr>
              <w:t>debt and guarantees are rated ‘C</w:t>
            </w:r>
            <w:r w:rsidRPr="006B1E75">
              <w:rPr>
                <w:b/>
                <w:sz w:val="20"/>
                <w:szCs w:val="20"/>
              </w:rPr>
              <w:t>’ in 13.1.</w:t>
            </w:r>
            <w:r w:rsidRPr="006B1E75">
              <w:rPr>
                <w:sz w:val="20"/>
                <w:szCs w:val="20"/>
              </w:rPr>
              <w:t xml:space="preserve"> </w:t>
            </w:r>
            <w:r w:rsidRPr="00D16404">
              <w:rPr>
                <w:sz w:val="20"/>
                <w:szCs w:val="20"/>
              </w:rPr>
              <w:t>Domestic debt records and guarantees have been maintained and the information on obligations and repayments is only partial</w:t>
            </w:r>
            <w:r>
              <w:rPr>
                <w:sz w:val="20"/>
                <w:szCs w:val="20"/>
              </w:rPr>
              <w:t>.  Reporting is monthly.</w:t>
            </w:r>
          </w:p>
          <w:p w14:paraId="29F35CE5" w14:textId="77777777" w:rsidR="00E12685" w:rsidRPr="006B1E75" w:rsidRDefault="00E12685" w:rsidP="00E12685">
            <w:pPr>
              <w:spacing w:before="0"/>
              <w:ind w:left="0"/>
              <w:rPr>
                <w:sz w:val="20"/>
                <w:szCs w:val="20"/>
              </w:rPr>
            </w:pPr>
            <w:r w:rsidRPr="006B1E75">
              <w:rPr>
                <w:b/>
                <w:sz w:val="20"/>
                <w:szCs w:val="20"/>
              </w:rPr>
              <w:t>Approval of debt and guaran</w:t>
            </w:r>
            <w:r>
              <w:rPr>
                <w:b/>
                <w:sz w:val="20"/>
                <w:szCs w:val="20"/>
              </w:rPr>
              <w:t>tees are rated ‘D</w:t>
            </w:r>
            <w:r w:rsidRPr="006B1E75">
              <w:rPr>
                <w:b/>
                <w:sz w:val="20"/>
                <w:szCs w:val="20"/>
              </w:rPr>
              <w:t>’ in 13.2.</w:t>
            </w:r>
            <w:r w:rsidRPr="006B1E75">
              <w:rPr>
                <w:sz w:val="20"/>
                <w:szCs w:val="20"/>
              </w:rPr>
              <w:t xml:space="preserve"> </w:t>
            </w:r>
          </w:p>
          <w:p w14:paraId="783F9754" w14:textId="77777777" w:rsidR="00E12685" w:rsidRPr="00D16404" w:rsidRDefault="00E12685" w:rsidP="00E12685">
            <w:pPr>
              <w:spacing w:before="0"/>
              <w:ind w:left="0"/>
              <w:rPr>
                <w:sz w:val="20"/>
                <w:szCs w:val="20"/>
              </w:rPr>
            </w:pPr>
            <w:r w:rsidRPr="006B1E75">
              <w:rPr>
                <w:b/>
                <w:sz w:val="20"/>
                <w:szCs w:val="20"/>
              </w:rPr>
              <w:t>Effectiveness of expenditure</w:t>
            </w:r>
            <w:r>
              <w:rPr>
                <w:b/>
                <w:sz w:val="20"/>
                <w:szCs w:val="20"/>
              </w:rPr>
              <w:t xml:space="preserve"> commitment controls is rated ‘C</w:t>
            </w:r>
            <w:r w:rsidRPr="006B1E75">
              <w:rPr>
                <w:b/>
                <w:sz w:val="20"/>
                <w:szCs w:val="20"/>
              </w:rPr>
              <w:t>’ in 25.2.</w:t>
            </w:r>
            <w:r w:rsidRPr="006B1E75">
              <w:rPr>
                <w:sz w:val="20"/>
                <w:szCs w:val="20"/>
              </w:rPr>
              <w:t xml:space="preserve"> </w:t>
            </w:r>
            <w:r w:rsidRPr="00D16404">
              <w:rPr>
                <w:bCs/>
                <w:color w:val="000000"/>
                <w:sz w:val="20"/>
                <w:szCs w:val="20"/>
              </w:rPr>
              <w:t>Expenditure commitment control procedures exist as part of GFIS for recurrent expenditures. However, the effectiveness of the control system is undermined by the uncertainty and lack of information on cash availability for payments and contracting obligations that can incur outside the GFIS system.</w:t>
            </w:r>
          </w:p>
          <w:p w14:paraId="3A9D6A90" w14:textId="77777777" w:rsidR="00E12685" w:rsidRPr="006B1E75" w:rsidRDefault="00E12685" w:rsidP="00E12685">
            <w:pPr>
              <w:spacing w:before="0"/>
              <w:ind w:left="0"/>
              <w:rPr>
                <w:sz w:val="20"/>
                <w:szCs w:val="20"/>
              </w:rPr>
            </w:pPr>
            <w:r w:rsidRPr="006B1E75">
              <w:rPr>
                <w:b/>
                <w:sz w:val="20"/>
                <w:szCs w:val="20"/>
              </w:rPr>
              <w:t xml:space="preserve">Integration of payroll </w:t>
            </w:r>
            <w:r>
              <w:rPr>
                <w:b/>
                <w:sz w:val="20"/>
                <w:szCs w:val="20"/>
              </w:rPr>
              <w:t>and personal records is rated ‘C</w:t>
            </w:r>
            <w:r w:rsidRPr="006B1E75">
              <w:rPr>
                <w:b/>
                <w:sz w:val="20"/>
                <w:szCs w:val="20"/>
              </w:rPr>
              <w:t>’ in 23.1.</w:t>
            </w:r>
            <w:r>
              <w:rPr>
                <w:b/>
                <w:sz w:val="20"/>
                <w:szCs w:val="20"/>
              </w:rPr>
              <w:t xml:space="preserve">  </w:t>
            </w:r>
            <w:r w:rsidRPr="00FF1A46">
              <w:rPr>
                <w:rFonts w:eastAsia="Calibri"/>
                <w:bCs/>
                <w:color w:val="000000"/>
                <w:sz w:val="20"/>
                <w:szCs w:val="20"/>
              </w:rPr>
              <w:t>Approved staff list, personnel database, and payroll are not directly linked.  Delays up to 3 months (from one to the following quarterly payroll the payroll) can occur for budget control, data consistency, and personnel records reconciliation to take place. Appointments and promotions are controlled against approved staff quotas</w:t>
            </w:r>
            <w:r>
              <w:rPr>
                <w:sz w:val="20"/>
                <w:szCs w:val="20"/>
              </w:rPr>
              <w:t>.</w:t>
            </w:r>
          </w:p>
          <w:p w14:paraId="440DEDE7" w14:textId="451B6405" w:rsidR="00E12685" w:rsidRPr="006B1E75" w:rsidRDefault="00E12685" w:rsidP="00E12685">
            <w:pPr>
              <w:spacing w:before="0"/>
              <w:ind w:left="0"/>
              <w:rPr>
                <w:sz w:val="20"/>
                <w:szCs w:val="20"/>
              </w:rPr>
            </w:pPr>
            <w:r w:rsidRPr="006B1E75">
              <w:rPr>
                <w:b/>
                <w:sz w:val="20"/>
                <w:szCs w:val="20"/>
              </w:rPr>
              <w:t>Management of payroll changes is rated ‘</w:t>
            </w:r>
            <w:r w:rsidR="00895866">
              <w:rPr>
                <w:b/>
                <w:sz w:val="20"/>
                <w:szCs w:val="20"/>
              </w:rPr>
              <w:t>C</w:t>
            </w:r>
            <w:r w:rsidRPr="006B1E75">
              <w:rPr>
                <w:b/>
                <w:sz w:val="20"/>
                <w:szCs w:val="20"/>
              </w:rPr>
              <w:t>’ in 23.2</w:t>
            </w:r>
            <w:r w:rsidRPr="006B1E75">
              <w:rPr>
                <w:sz w:val="20"/>
                <w:szCs w:val="20"/>
              </w:rPr>
              <w:t xml:space="preserve">. </w:t>
            </w:r>
          </w:p>
          <w:p w14:paraId="656C9DB8" w14:textId="77777777" w:rsidR="00E12685" w:rsidRPr="006B1E75" w:rsidRDefault="00E12685" w:rsidP="00E12685">
            <w:pPr>
              <w:spacing w:before="0"/>
              <w:ind w:left="0"/>
              <w:rPr>
                <w:sz w:val="20"/>
                <w:szCs w:val="20"/>
              </w:rPr>
            </w:pPr>
            <w:r w:rsidRPr="006B1E75">
              <w:rPr>
                <w:sz w:val="20"/>
                <w:szCs w:val="20"/>
              </w:rPr>
              <w:t xml:space="preserve"> </w:t>
            </w:r>
          </w:p>
          <w:p w14:paraId="12EB7DC7"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 xml:space="preserve">Compliance with payroll payment </w:t>
            </w:r>
            <w:r>
              <w:rPr>
                <w:b/>
                <w:sz w:val="20"/>
                <w:szCs w:val="20"/>
              </w:rPr>
              <w:t>rules and procedures is rated ‘</w:t>
            </w:r>
            <w:r w:rsidR="00334B88">
              <w:rPr>
                <w:b/>
                <w:sz w:val="20"/>
                <w:szCs w:val="20"/>
              </w:rPr>
              <w:t>D</w:t>
            </w:r>
            <w:r w:rsidRPr="006B1E75">
              <w:rPr>
                <w:b/>
                <w:sz w:val="20"/>
                <w:szCs w:val="20"/>
              </w:rPr>
              <w:t xml:space="preserve">’ in 23.3.  </w:t>
            </w:r>
            <w:r w:rsidRPr="00FF1A46">
              <w:rPr>
                <w:rFonts w:eastAsia="Calibri"/>
                <w:sz w:val="20"/>
                <w:szCs w:val="20"/>
              </w:rPr>
              <w:t xml:space="preserve">Segregation of roles and responsibilities and payroll controls are well defined and restricted to user defined access levels ensuring data integrity in the PIMS database and MoF payroll system. Changes to the payroll and PIMS database are well documented with readily available audit trail.  </w:t>
            </w:r>
            <w:proofErr w:type="gramStart"/>
            <w:r w:rsidRPr="00FF1A46">
              <w:rPr>
                <w:rFonts w:eastAsia="Calibri"/>
                <w:sz w:val="20"/>
                <w:szCs w:val="20"/>
              </w:rPr>
              <w:t>However</w:t>
            </w:r>
            <w:proofErr w:type="gramEnd"/>
            <w:r w:rsidRPr="00FF1A46">
              <w:rPr>
                <w:rFonts w:eastAsia="Calibri"/>
                <w:sz w:val="20"/>
                <w:szCs w:val="20"/>
              </w:rPr>
              <w:t xml:space="preserve"> the coverage does not include the significant part represented by the police and armed forces managed separately.</w:t>
            </w:r>
            <w:r w:rsidRPr="00FF1A46">
              <w:rPr>
                <w:sz w:val="20"/>
                <w:szCs w:val="20"/>
              </w:rPr>
              <w:t xml:space="preserve"> </w:t>
            </w:r>
          </w:p>
        </w:tc>
      </w:tr>
      <w:tr w:rsidR="00E12685" w:rsidRPr="00FE6ED4" w14:paraId="1026874B" w14:textId="77777777" w:rsidTr="00CC2B5D">
        <w:trPr>
          <w:jc w:val="center"/>
        </w:trPr>
        <w:tc>
          <w:tcPr>
            <w:tcW w:w="2541" w:type="pct"/>
          </w:tcPr>
          <w:p w14:paraId="44DBD278" w14:textId="77777777" w:rsidR="00E12685" w:rsidRPr="006B1E75" w:rsidRDefault="00E12685" w:rsidP="00E12685">
            <w:pPr>
              <w:spacing w:before="0"/>
              <w:ind w:left="0"/>
              <w:rPr>
                <w:rFonts w:eastAsia="SimSun"/>
                <w:sz w:val="20"/>
                <w:szCs w:val="20"/>
                <w:lang w:val="en-GB" w:eastAsia="zh-CN"/>
              </w:rPr>
            </w:pPr>
            <w:r w:rsidRPr="006B1E75">
              <w:rPr>
                <w:sz w:val="20"/>
                <w:szCs w:val="20"/>
              </w:rPr>
              <w:lastRenderedPageBreak/>
              <w:t xml:space="preserve">3.2 Segregation of duties (authorizing, processing, recording, reviewing) </w:t>
            </w:r>
          </w:p>
        </w:tc>
        <w:tc>
          <w:tcPr>
            <w:tcW w:w="2459" w:type="pct"/>
          </w:tcPr>
          <w:p w14:paraId="402615FE"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S</w:t>
            </w:r>
            <w:r>
              <w:rPr>
                <w:b/>
                <w:sz w:val="20"/>
                <w:szCs w:val="20"/>
              </w:rPr>
              <w:t>egregation of duties is rated ‘C</w:t>
            </w:r>
            <w:r w:rsidRPr="006B1E75">
              <w:rPr>
                <w:b/>
                <w:sz w:val="20"/>
                <w:szCs w:val="20"/>
              </w:rPr>
              <w:t>’ in 25.1.</w:t>
            </w:r>
            <w:r w:rsidRPr="00AC3DEB">
              <w:rPr>
                <w:rFonts w:eastAsia="Calibri"/>
              </w:rPr>
              <w:t xml:space="preserve"> </w:t>
            </w:r>
            <w:r w:rsidRPr="00FF1A46">
              <w:rPr>
                <w:sz w:val="20"/>
                <w:szCs w:val="20"/>
              </w:rPr>
              <w:t>Segregation of duties is prescribed throughout the expenditure process with responsibilities laid down for most key steps.  Systematic and consistent definition of rules, regulations and responsibilities are still needed.</w:t>
            </w:r>
          </w:p>
        </w:tc>
      </w:tr>
      <w:tr w:rsidR="00E12685" w:rsidRPr="00FE6ED4" w14:paraId="29D9A48E" w14:textId="77777777" w:rsidTr="00CC2B5D">
        <w:trPr>
          <w:jc w:val="center"/>
        </w:trPr>
        <w:tc>
          <w:tcPr>
            <w:tcW w:w="2541" w:type="pct"/>
          </w:tcPr>
          <w:p w14:paraId="31210FCE" w14:textId="77777777" w:rsidR="00E12685" w:rsidRPr="006B1E75" w:rsidRDefault="00E12685" w:rsidP="008037D9">
            <w:pPr>
              <w:pStyle w:val="ListParagraph"/>
              <w:numPr>
                <w:ilvl w:val="1"/>
                <w:numId w:val="107"/>
              </w:numPr>
              <w:spacing w:before="0"/>
              <w:ind w:left="0" w:firstLine="0"/>
              <w:contextualSpacing w:val="0"/>
              <w:rPr>
                <w:rFonts w:eastAsia="SimSun"/>
                <w:sz w:val="20"/>
                <w:szCs w:val="20"/>
                <w:lang w:val="en-GB" w:eastAsia="zh-CN"/>
              </w:rPr>
            </w:pPr>
            <w:r w:rsidRPr="006B1E75">
              <w:rPr>
                <w:sz w:val="20"/>
                <w:szCs w:val="20"/>
              </w:rPr>
              <w:t xml:space="preserve">Controls over the access to resources and records </w:t>
            </w:r>
          </w:p>
        </w:tc>
        <w:tc>
          <w:tcPr>
            <w:tcW w:w="2459" w:type="pct"/>
          </w:tcPr>
          <w:p w14:paraId="5C681738" w14:textId="77777777" w:rsidR="00E12685" w:rsidRPr="00FF1A46" w:rsidRDefault="00E12685" w:rsidP="00E12685">
            <w:pPr>
              <w:spacing w:before="0"/>
              <w:ind w:left="0"/>
              <w:rPr>
                <w:sz w:val="20"/>
                <w:szCs w:val="20"/>
              </w:rPr>
            </w:pPr>
            <w:r w:rsidRPr="006B1E75">
              <w:rPr>
                <w:b/>
                <w:sz w:val="20"/>
                <w:szCs w:val="20"/>
              </w:rPr>
              <w:t xml:space="preserve">Compliance with payment </w:t>
            </w:r>
            <w:r>
              <w:rPr>
                <w:b/>
                <w:sz w:val="20"/>
                <w:szCs w:val="20"/>
              </w:rPr>
              <w:t>rules and procedures is rated ‘C</w:t>
            </w:r>
            <w:r w:rsidRPr="006B1E75">
              <w:rPr>
                <w:b/>
                <w:sz w:val="20"/>
                <w:szCs w:val="20"/>
              </w:rPr>
              <w:t>’ in 25.3.</w:t>
            </w:r>
            <w:r w:rsidRPr="006B1E75">
              <w:rPr>
                <w:sz w:val="20"/>
                <w:szCs w:val="20"/>
              </w:rPr>
              <w:t xml:space="preserve"> </w:t>
            </w:r>
            <w:r w:rsidRPr="00FF1A46">
              <w:rPr>
                <w:rFonts w:eastAsia="Calibri"/>
                <w:bCs/>
                <w:color w:val="000000"/>
                <w:sz w:val="20"/>
                <w:szCs w:val="20"/>
              </w:rPr>
              <w:t>Stricter procedures for expenditure authorization by the Treasury department</w:t>
            </w:r>
            <w:r w:rsidRPr="00FF1A46">
              <w:rPr>
                <w:rFonts w:eastAsia="Calibri"/>
                <w:color w:val="000000"/>
                <w:sz w:val="20"/>
                <w:szCs w:val="20"/>
              </w:rPr>
              <w:t xml:space="preserve"> have been enforced since 2017.  Evidence shows that basic controls relating to payments are usually complied with,</w:t>
            </w:r>
            <w:r w:rsidRPr="00FF1A46">
              <w:rPr>
                <w:rFonts w:eastAsia="Calibri"/>
                <w:bCs/>
                <w:color w:val="000000"/>
                <w:sz w:val="20"/>
                <w:szCs w:val="20"/>
              </w:rPr>
              <w:t xml:space="preserve"> and </w:t>
            </w:r>
            <w:r w:rsidRPr="00FF1A46">
              <w:rPr>
                <w:rFonts w:eastAsia="Calibri"/>
                <w:color w:val="000000"/>
                <w:sz w:val="20"/>
                <w:szCs w:val="20"/>
              </w:rPr>
              <w:t xml:space="preserve">exceptions duly justified. SAO reports for the past period concluded </w:t>
            </w:r>
            <w:r w:rsidRPr="00FF1A46">
              <w:rPr>
                <w:rFonts w:eastAsia="Calibri"/>
                <w:bCs/>
                <w:color w:val="000000"/>
                <w:sz w:val="20"/>
                <w:szCs w:val="20"/>
              </w:rPr>
              <w:t>unauthorized expenditures not fully compliant with the regular payment procedures.</w:t>
            </w:r>
          </w:p>
          <w:p w14:paraId="204FA0D4"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Financial data integrity processes are rated ‘</w:t>
            </w:r>
            <w:r>
              <w:rPr>
                <w:b/>
                <w:sz w:val="20"/>
                <w:szCs w:val="20"/>
              </w:rPr>
              <w:t>C</w:t>
            </w:r>
            <w:r w:rsidRPr="006B1E75">
              <w:rPr>
                <w:b/>
                <w:sz w:val="20"/>
                <w:szCs w:val="20"/>
              </w:rPr>
              <w:t>’ in 27.4.</w:t>
            </w:r>
            <w:r>
              <w:rPr>
                <w:b/>
                <w:sz w:val="20"/>
                <w:szCs w:val="20"/>
              </w:rPr>
              <w:t xml:space="preserve">  </w:t>
            </w:r>
            <w:r w:rsidRPr="00FF1A46">
              <w:rPr>
                <w:sz w:val="20"/>
                <w:szCs w:val="20"/>
                <w:lang w:eastAsia="en-IN"/>
              </w:rPr>
              <w:t>Financial data is kept in an electronic system in which access and changes to records and data is restricted and recorded through segregation of access in line with duties through controlled passwords. Issues with the system security that could affect the data integrity have yet to be addressed.</w:t>
            </w:r>
            <w:r w:rsidRPr="00257F97">
              <w:rPr>
                <w:lang w:eastAsia="en-IN"/>
              </w:rPr>
              <w:t xml:space="preserve"> </w:t>
            </w:r>
            <w:r w:rsidRPr="006B1E75">
              <w:rPr>
                <w:i/>
                <w:sz w:val="20"/>
                <w:szCs w:val="20"/>
              </w:rPr>
              <w:t xml:space="preserve"> </w:t>
            </w:r>
          </w:p>
        </w:tc>
      </w:tr>
      <w:tr w:rsidR="00E12685" w:rsidRPr="00FE6ED4" w14:paraId="516816B5" w14:textId="77777777" w:rsidTr="00CC2B5D">
        <w:trPr>
          <w:jc w:val="center"/>
        </w:trPr>
        <w:tc>
          <w:tcPr>
            <w:tcW w:w="2541" w:type="pct"/>
          </w:tcPr>
          <w:p w14:paraId="1D8AB6A0" w14:textId="77777777" w:rsidR="00E12685" w:rsidRPr="006B1E75" w:rsidRDefault="00E12685" w:rsidP="008037D9">
            <w:pPr>
              <w:pStyle w:val="ListParagraph"/>
              <w:numPr>
                <w:ilvl w:val="1"/>
                <w:numId w:val="107"/>
              </w:numPr>
              <w:spacing w:before="0"/>
              <w:ind w:left="0" w:firstLine="0"/>
              <w:contextualSpacing w:val="0"/>
              <w:rPr>
                <w:rFonts w:eastAsia="SimSun"/>
                <w:sz w:val="20"/>
                <w:szCs w:val="20"/>
                <w:lang w:val="en-GB" w:eastAsia="zh-CN"/>
              </w:rPr>
            </w:pPr>
            <w:r w:rsidRPr="006B1E75">
              <w:rPr>
                <w:sz w:val="20"/>
                <w:szCs w:val="20"/>
              </w:rPr>
              <w:lastRenderedPageBreak/>
              <w:t xml:space="preserve">Verifications </w:t>
            </w:r>
          </w:p>
        </w:tc>
        <w:tc>
          <w:tcPr>
            <w:tcW w:w="2459" w:type="pct"/>
          </w:tcPr>
          <w:p w14:paraId="6D8CE633"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 xml:space="preserve">Accuracy of in-year budget reports which is rated </w:t>
            </w:r>
            <w:r>
              <w:rPr>
                <w:b/>
                <w:sz w:val="20"/>
                <w:szCs w:val="20"/>
              </w:rPr>
              <w:t>‘</w:t>
            </w:r>
            <w:r w:rsidR="00D43FED">
              <w:rPr>
                <w:b/>
                <w:sz w:val="20"/>
                <w:szCs w:val="20"/>
              </w:rPr>
              <w:t>D</w:t>
            </w:r>
            <w:r w:rsidRPr="006B1E75">
              <w:rPr>
                <w:b/>
                <w:sz w:val="20"/>
                <w:szCs w:val="20"/>
              </w:rPr>
              <w:t>’ in 28.3.</w:t>
            </w:r>
            <w:r>
              <w:rPr>
                <w:b/>
                <w:sz w:val="20"/>
                <w:szCs w:val="20"/>
              </w:rPr>
              <w:t xml:space="preserve">  </w:t>
            </w:r>
            <w:r w:rsidRPr="00FF1A46">
              <w:rPr>
                <w:rFonts w:eastAsia="ヒラギノ角ゴ Pro W3"/>
                <w:color w:val="000000"/>
                <w:sz w:val="20"/>
                <w:szCs w:val="20"/>
                <w:lang w:eastAsia="en-IN"/>
              </w:rPr>
              <w:t>Monthly budget execution reports include expenditure at the payment stage with some concern regarding comprehensiveness due to the number of “system transactions” recorded manually at provincial level. An overall narrative statement on budget execution at aggregate levels is provided only for mid-year and annual state budget execution reports</w:t>
            </w:r>
            <w:r>
              <w:rPr>
                <w:rFonts w:eastAsia="ヒラギノ角ゴ Pro W3"/>
                <w:color w:val="000000"/>
                <w:sz w:val="20"/>
                <w:szCs w:val="20"/>
                <w:lang w:eastAsia="en-IN"/>
              </w:rPr>
              <w:t>.</w:t>
            </w:r>
          </w:p>
        </w:tc>
      </w:tr>
      <w:tr w:rsidR="00E12685" w:rsidRPr="00FE6ED4" w14:paraId="1400A291" w14:textId="77777777" w:rsidTr="00CC2B5D">
        <w:trPr>
          <w:jc w:val="center"/>
        </w:trPr>
        <w:tc>
          <w:tcPr>
            <w:tcW w:w="2541" w:type="pct"/>
          </w:tcPr>
          <w:p w14:paraId="213BF20D"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3.5 Reconciliations </w:t>
            </w:r>
          </w:p>
        </w:tc>
        <w:tc>
          <w:tcPr>
            <w:tcW w:w="2459" w:type="pct"/>
          </w:tcPr>
          <w:p w14:paraId="13C19D77" w14:textId="77777777" w:rsidR="00E12685" w:rsidRPr="00BE4ED0" w:rsidRDefault="00E12685" w:rsidP="00E12685">
            <w:pPr>
              <w:spacing w:before="0"/>
              <w:ind w:left="0"/>
              <w:rPr>
                <w:sz w:val="20"/>
                <w:szCs w:val="20"/>
              </w:rPr>
            </w:pPr>
            <w:r w:rsidRPr="006B1E75">
              <w:rPr>
                <w:b/>
                <w:sz w:val="20"/>
                <w:szCs w:val="20"/>
              </w:rPr>
              <w:t>Banks account reconciliations are rated ‘</w:t>
            </w:r>
            <w:r w:rsidR="00FA4FD5">
              <w:rPr>
                <w:b/>
                <w:sz w:val="20"/>
                <w:szCs w:val="20"/>
              </w:rPr>
              <w:t>D</w:t>
            </w:r>
            <w:r w:rsidRPr="006B1E75">
              <w:rPr>
                <w:b/>
                <w:sz w:val="20"/>
                <w:szCs w:val="20"/>
              </w:rPr>
              <w:t>’ in 27.1.</w:t>
            </w:r>
            <w:r w:rsidRPr="006B1E75">
              <w:rPr>
                <w:sz w:val="20"/>
                <w:szCs w:val="20"/>
              </w:rPr>
              <w:t xml:space="preserve"> </w:t>
            </w:r>
            <w:r w:rsidRPr="00BE4ED0">
              <w:rPr>
                <w:sz w:val="20"/>
                <w:szCs w:val="20"/>
                <w:lang w:eastAsia="en-IN"/>
              </w:rPr>
              <w:t>The Treasury department is progressively taking steps toward the TSA implementation, but for the moment, reconciliations are done based on available GFIS records supported by manual processes for all other transactions not captured by GFIS. Main Treasury accounts at central level are reconciled daily for expenditures transactions and weekly for revenue collection. Other transactions from technical revenue or bank receipts can take up to one month.</w:t>
            </w:r>
          </w:p>
          <w:p w14:paraId="05C28F50"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Suspense acco</w:t>
            </w:r>
            <w:r>
              <w:rPr>
                <w:b/>
                <w:sz w:val="20"/>
                <w:szCs w:val="20"/>
              </w:rPr>
              <w:t>unt reconciliations are rated ‘B</w:t>
            </w:r>
            <w:r w:rsidRPr="006B1E75">
              <w:rPr>
                <w:b/>
                <w:sz w:val="20"/>
                <w:szCs w:val="20"/>
              </w:rPr>
              <w:t>’ in 27.2.</w:t>
            </w:r>
            <w:r w:rsidRPr="006B1E75">
              <w:rPr>
                <w:sz w:val="20"/>
                <w:szCs w:val="20"/>
              </w:rPr>
              <w:t xml:space="preserve"> </w:t>
            </w:r>
            <w:r w:rsidRPr="00BE4ED0">
              <w:rPr>
                <w:sz w:val="20"/>
                <w:szCs w:val="20"/>
                <w:lang w:eastAsia="en-IN"/>
              </w:rPr>
              <w:t>Suspense accounts are reconciled during the successive weekly and monthly reconciliation processes and are systematically cleared at the end of the fiscal year.</w:t>
            </w:r>
          </w:p>
        </w:tc>
      </w:tr>
      <w:tr w:rsidR="00E12685" w:rsidRPr="00FE6ED4" w14:paraId="51D22AA9" w14:textId="77777777" w:rsidTr="00CC2B5D">
        <w:trPr>
          <w:jc w:val="center"/>
        </w:trPr>
        <w:tc>
          <w:tcPr>
            <w:tcW w:w="2541" w:type="pct"/>
          </w:tcPr>
          <w:p w14:paraId="7769587C" w14:textId="77777777" w:rsidR="00E12685" w:rsidRPr="006B1E75" w:rsidRDefault="00E12685" w:rsidP="008037D9">
            <w:pPr>
              <w:pStyle w:val="ListParagraph"/>
              <w:numPr>
                <w:ilvl w:val="1"/>
                <w:numId w:val="108"/>
              </w:numPr>
              <w:spacing w:before="0"/>
              <w:ind w:left="0" w:firstLine="0"/>
              <w:contextualSpacing w:val="0"/>
              <w:rPr>
                <w:rFonts w:eastAsia="SimSun"/>
                <w:sz w:val="20"/>
                <w:szCs w:val="20"/>
                <w:lang w:val="en-GB" w:eastAsia="zh-CN"/>
              </w:rPr>
            </w:pPr>
            <w:r w:rsidRPr="006B1E75">
              <w:rPr>
                <w:sz w:val="20"/>
                <w:szCs w:val="20"/>
              </w:rPr>
              <w:t>Reviews of operating performance</w:t>
            </w:r>
          </w:p>
        </w:tc>
        <w:tc>
          <w:tcPr>
            <w:tcW w:w="2459" w:type="pct"/>
          </w:tcPr>
          <w:p w14:paraId="1F7475A6"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Revenue audit</w:t>
            </w:r>
            <w:r>
              <w:rPr>
                <w:b/>
                <w:sz w:val="20"/>
                <w:szCs w:val="20"/>
              </w:rPr>
              <w:t xml:space="preserve"> and investigations are rated </w:t>
            </w:r>
            <w:r w:rsidRPr="005E1403">
              <w:rPr>
                <w:b/>
                <w:sz w:val="20"/>
                <w:szCs w:val="20"/>
              </w:rPr>
              <w:t>‘C’</w:t>
            </w:r>
            <w:r w:rsidRPr="006B1E75">
              <w:rPr>
                <w:b/>
                <w:sz w:val="20"/>
                <w:szCs w:val="20"/>
              </w:rPr>
              <w:t xml:space="preserve"> in 19.3.</w:t>
            </w:r>
            <w:r w:rsidRPr="006B1E75">
              <w:rPr>
                <w:sz w:val="20"/>
                <w:szCs w:val="20"/>
              </w:rPr>
              <w:t xml:space="preserve"> </w:t>
            </w:r>
          </w:p>
        </w:tc>
      </w:tr>
      <w:tr w:rsidR="00E12685" w:rsidRPr="00FE6ED4" w14:paraId="53675EB7" w14:textId="77777777" w:rsidTr="00CC2B5D">
        <w:trPr>
          <w:trHeight w:val="534"/>
          <w:jc w:val="center"/>
        </w:trPr>
        <w:tc>
          <w:tcPr>
            <w:tcW w:w="2541" w:type="pct"/>
          </w:tcPr>
          <w:p w14:paraId="06BB6892"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3.7 Reviews of operations, processes and activities </w:t>
            </w:r>
          </w:p>
        </w:tc>
        <w:tc>
          <w:tcPr>
            <w:tcW w:w="2459" w:type="pct"/>
          </w:tcPr>
          <w:p w14:paraId="5EA74DFA"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sidRPr="006B1E75">
              <w:rPr>
                <w:b/>
                <w:sz w:val="20"/>
                <w:szCs w:val="20"/>
              </w:rPr>
              <w:t>Pr</w:t>
            </w:r>
            <w:r>
              <w:rPr>
                <w:b/>
                <w:sz w:val="20"/>
                <w:szCs w:val="20"/>
              </w:rPr>
              <w:t>ocurement monitoring is rated ‘D</w:t>
            </w:r>
            <w:r w:rsidRPr="006B1E75">
              <w:rPr>
                <w:b/>
                <w:sz w:val="20"/>
                <w:szCs w:val="20"/>
              </w:rPr>
              <w:t>’ in 24.1.</w:t>
            </w:r>
            <w:r w:rsidRPr="006B1E75">
              <w:rPr>
                <w:sz w:val="20"/>
                <w:szCs w:val="20"/>
              </w:rPr>
              <w:t xml:space="preserve"> </w:t>
            </w:r>
          </w:p>
        </w:tc>
      </w:tr>
      <w:tr w:rsidR="00E12685" w:rsidRPr="00FE6ED4" w14:paraId="69CCBCE0" w14:textId="77777777" w:rsidTr="00CC2B5D">
        <w:trPr>
          <w:jc w:val="center"/>
        </w:trPr>
        <w:tc>
          <w:tcPr>
            <w:tcW w:w="2541" w:type="pct"/>
          </w:tcPr>
          <w:p w14:paraId="3FA965BA" w14:textId="77777777" w:rsidR="00E12685" w:rsidRPr="006B1E75" w:rsidRDefault="00E12685" w:rsidP="008037D9">
            <w:pPr>
              <w:pStyle w:val="ListParagraph"/>
              <w:numPr>
                <w:ilvl w:val="1"/>
                <w:numId w:val="109"/>
              </w:numPr>
              <w:spacing w:before="0"/>
              <w:ind w:left="0" w:firstLine="0"/>
              <w:contextualSpacing w:val="0"/>
              <w:rPr>
                <w:rFonts w:eastAsia="SimSun"/>
                <w:sz w:val="20"/>
                <w:szCs w:val="20"/>
                <w:lang w:val="en-GB" w:eastAsia="zh-CN"/>
              </w:rPr>
            </w:pPr>
            <w:r w:rsidRPr="006B1E75">
              <w:rPr>
                <w:sz w:val="20"/>
                <w:szCs w:val="20"/>
              </w:rPr>
              <w:t xml:space="preserve"> Supervision (assigning, reviewing, and approving, guidance and training) </w:t>
            </w:r>
          </w:p>
        </w:tc>
        <w:tc>
          <w:tcPr>
            <w:tcW w:w="2459" w:type="pct"/>
          </w:tcPr>
          <w:p w14:paraId="60B062D7" w14:textId="77777777" w:rsidR="00E12685" w:rsidRPr="006B1E75" w:rsidRDefault="00E12685" w:rsidP="00E12685">
            <w:pPr>
              <w:widowControl w:val="0"/>
              <w:autoSpaceDE w:val="0"/>
              <w:autoSpaceDN w:val="0"/>
              <w:adjustRightInd w:val="0"/>
              <w:spacing w:before="0"/>
              <w:ind w:left="0"/>
              <w:rPr>
                <w:rFonts w:eastAsia="SimSun"/>
                <w:sz w:val="20"/>
                <w:szCs w:val="20"/>
                <w:lang w:val="en-GB" w:eastAsia="zh-CN"/>
              </w:rPr>
            </w:pPr>
            <w:r>
              <w:rPr>
                <w:rFonts w:eastAsia="SimSun"/>
                <w:sz w:val="20"/>
                <w:szCs w:val="20"/>
                <w:lang w:val="en-GB" w:eastAsia="zh-CN"/>
              </w:rPr>
              <w:t xml:space="preserve">The audit trail in place indicates that there is a supervisory focus.  Personnel development though </w:t>
            </w:r>
            <w:proofErr w:type="gramStart"/>
            <w:r>
              <w:rPr>
                <w:rFonts w:eastAsia="SimSun"/>
                <w:sz w:val="20"/>
                <w:szCs w:val="20"/>
                <w:lang w:val="en-GB" w:eastAsia="zh-CN"/>
              </w:rPr>
              <w:t>mentoring</w:t>
            </w:r>
            <w:proofErr w:type="gramEnd"/>
            <w:r>
              <w:rPr>
                <w:rFonts w:eastAsia="SimSun"/>
                <w:sz w:val="20"/>
                <w:szCs w:val="20"/>
                <w:lang w:val="en-GB" w:eastAsia="zh-CN"/>
              </w:rPr>
              <w:t xml:space="preserve"> and training is in place.</w:t>
            </w:r>
          </w:p>
        </w:tc>
      </w:tr>
      <w:tr w:rsidR="00E12685" w:rsidRPr="00FE6ED4" w14:paraId="4756753A" w14:textId="77777777" w:rsidTr="00CC2B5D">
        <w:trPr>
          <w:jc w:val="center"/>
        </w:trPr>
        <w:tc>
          <w:tcPr>
            <w:tcW w:w="2541" w:type="pct"/>
            <w:shd w:val="clear" w:color="auto" w:fill="D2EFFF"/>
          </w:tcPr>
          <w:p w14:paraId="6E76D75B" w14:textId="77777777" w:rsidR="00E12685" w:rsidRPr="006B1E75" w:rsidRDefault="00E12685" w:rsidP="00E12685">
            <w:pPr>
              <w:widowControl w:val="0"/>
              <w:autoSpaceDE w:val="0"/>
              <w:autoSpaceDN w:val="0"/>
              <w:adjustRightInd w:val="0"/>
              <w:spacing w:before="0"/>
              <w:ind w:left="0"/>
              <w:rPr>
                <w:rFonts w:eastAsia="SimSun"/>
                <w:b/>
                <w:bCs/>
                <w:sz w:val="20"/>
                <w:szCs w:val="20"/>
                <w:lang w:val="en-GB" w:eastAsia="zh-CN"/>
              </w:rPr>
            </w:pPr>
            <w:r w:rsidRPr="006B1E75">
              <w:rPr>
                <w:b/>
                <w:sz w:val="20"/>
                <w:szCs w:val="20"/>
              </w:rPr>
              <w:t xml:space="preserve">4. Information and communication </w:t>
            </w:r>
          </w:p>
        </w:tc>
        <w:tc>
          <w:tcPr>
            <w:tcW w:w="2459" w:type="pct"/>
            <w:shd w:val="clear" w:color="auto" w:fill="auto"/>
          </w:tcPr>
          <w:p w14:paraId="6030B32B" w14:textId="77777777" w:rsidR="00E12685" w:rsidRPr="006B1E75" w:rsidRDefault="00661614" w:rsidP="00E12685">
            <w:pPr>
              <w:widowControl w:val="0"/>
              <w:autoSpaceDE w:val="0"/>
              <w:autoSpaceDN w:val="0"/>
              <w:adjustRightInd w:val="0"/>
              <w:spacing w:before="0"/>
              <w:ind w:left="0"/>
              <w:rPr>
                <w:rFonts w:eastAsia="SimSun"/>
                <w:b/>
                <w:bCs/>
                <w:sz w:val="20"/>
                <w:szCs w:val="20"/>
                <w:lang w:val="en-GB" w:eastAsia="zh-CN"/>
              </w:rPr>
            </w:pPr>
            <w:r>
              <w:rPr>
                <w:rFonts w:eastAsia="SimSun"/>
                <w:b/>
                <w:bCs/>
                <w:sz w:val="20"/>
                <w:szCs w:val="20"/>
                <w:lang w:val="en-GB" w:eastAsia="zh-CN"/>
              </w:rPr>
              <w:t>Budget Documentation PI-</w:t>
            </w:r>
            <w:r w:rsidR="00E12685">
              <w:rPr>
                <w:rFonts w:eastAsia="SimSun"/>
                <w:b/>
                <w:bCs/>
                <w:sz w:val="20"/>
                <w:szCs w:val="20"/>
                <w:lang w:val="en-GB" w:eastAsia="zh-CN"/>
              </w:rPr>
              <w:t>5 and Public access to fiscal information PI-9</w:t>
            </w:r>
            <w:r>
              <w:rPr>
                <w:rFonts w:eastAsia="SimSun"/>
                <w:b/>
                <w:bCs/>
                <w:sz w:val="20"/>
                <w:szCs w:val="20"/>
                <w:lang w:val="en-GB" w:eastAsia="zh-CN"/>
              </w:rPr>
              <w:t xml:space="preserve"> </w:t>
            </w:r>
            <w:r w:rsidR="00E12685">
              <w:rPr>
                <w:rFonts w:eastAsia="SimSun"/>
                <w:b/>
                <w:bCs/>
                <w:sz w:val="20"/>
                <w:szCs w:val="20"/>
                <w:lang w:val="en-GB" w:eastAsia="zh-CN"/>
              </w:rPr>
              <w:t>both score D</w:t>
            </w:r>
          </w:p>
        </w:tc>
      </w:tr>
      <w:tr w:rsidR="00E12685" w:rsidRPr="00FE6ED4" w14:paraId="472656CA" w14:textId="77777777" w:rsidTr="00E12685">
        <w:trPr>
          <w:jc w:val="center"/>
        </w:trPr>
        <w:tc>
          <w:tcPr>
            <w:tcW w:w="5000" w:type="pct"/>
            <w:gridSpan w:val="2"/>
            <w:shd w:val="clear" w:color="auto" w:fill="D2EFFF"/>
          </w:tcPr>
          <w:p w14:paraId="5ADC0E88" w14:textId="77777777" w:rsidR="00E12685" w:rsidRPr="006B1E75" w:rsidRDefault="00E12685" w:rsidP="00E12685">
            <w:pPr>
              <w:widowControl w:val="0"/>
              <w:autoSpaceDE w:val="0"/>
              <w:autoSpaceDN w:val="0"/>
              <w:adjustRightInd w:val="0"/>
              <w:spacing w:before="0"/>
              <w:ind w:left="0"/>
              <w:rPr>
                <w:rFonts w:eastAsia="SimSun"/>
                <w:b/>
                <w:bCs/>
                <w:sz w:val="20"/>
                <w:szCs w:val="20"/>
                <w:lang w:val="en-GB" w:eastAsia="zh-CN"/>
              </w:rPr>
            </w:pPr>
            <w:r w:rsidRPr="006B1E75">
              <w:rPr>
                <w:b/>
                <w:sz w:val="20"/>
                <w:szCs w:val="20"/>
              </w:rPr>
              <w:t xml:space="preserve">5. Monitoring  </w:t>
            </w:r>
          </w:p>
        </w:tc>
      </w:tr>
      <w:tr w:rsidR="00E12685" w:rsidRPr="00FE6ED4" w14:paraId="7543A54D" w14:textId="77777777" w:rsidTr="00CC2B5D">
        <w:trPr>
          <w:jc w:val="center"/>
        </w:trPr>
        <w:tc>
          <w:tcPr>
            <w:tcW w:w="2541" w:type="pct"/>
          </w:tcPr>
          <w:p w14:paraId="24DC65FE"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5.1 Ongoing monitoring </w:t>
            </w:r>
          </w:p>
        </w:tc>
        <w:tc>
          <w:tcPr>
            <w:tcW w:w="2459" w:type="pct"/>
          </w:tcPr>
          <w:p w14:paraId="36417640" w14:textId="77777777" w:rsidR="00E12685" w:rsidRPr="006B1E75" w:rsidRDefault="00E12685" w:rsidP="00E12685">
            <w:pPr>
              <w:spacing w:before="0"/>
              <w:ind w:left="0"/>
              <w:rPr>
                <w:sz w:val="20"/>
                <w:szCs w:val="20"/>
              </w:rPr>
            </w:pPr>
            <w:r w:rsidRPr="006B1E75">
              <w:rPr>
                <w:sz w:val="20"/>
                <w:szCs w:val="20"/>
              </w:rPr>
              <w:t xml:space="preserve">The Assessment highlighted </w:t>
            </w:r>
            <w:proofErr w:type="gramStart"/>
            <w:r w:rsidRPr="006B1E75">
              <w:rPr>
                <w:sz w:val="20"/>
                <w:szCs w:val="20"/>
              </w:rPr>
              <w:t>a number of</w:t>
            </w:r>
            <w:proofErr w:type="gramEnd"/>
            <w:r w:rsidRPr="006B1E75">
              <w:rPr>
                <w:sz w:val="20"/>
                <w:szCs w:val="20"/>
              </w:rPr>
              <w:t xml:space="preserve"> areas related to ongoing monitoring activities:  </w:t>
            </w:r>
          </w:p>
          <w:p w14:paraId="086238D7" w14:textId="77777777" w:rsidR="00E12685" w:rsidRPr="006B1E75" w:rsidRDefault="00E12685" w:rsidP="00E12685">
            <w:pPr>
              <w:spacing w:before="0"/>
              <w:ind w:left="0"/>
              <w:rPr>
                <w:sz w:val="20"/>
                <w:szCs w:val="20"/>
              </w:rPr>
            </w:pPr>
          </w:p>
          <w:p w14:paraId="3B2B3D70" w14:textId="77777777" w:rsidR="00E12685" w:rsidRDefault="00E12685" w:rsidP="00E12685">
            <w:pPr>
              <w:spacing w:before="0"/>
              <w:ind w:left="0"/>
              <w:rPr>
                <w:sz w:val="20"/>
                <w:szCs w:val="20"/>
              </w:rPr>
            </w:pPr>
            <w:r w:rsidRPr="006B1E75">
              <w:rPr>
                <w:b/>
                <w:sz w:val="20"/>
                <w:szCs w:val="20"/>
              </w:rPr>
              <w:t>Resources received by se</w:t>
            </w:r>
            <w:r>
              <w:rPr>
                <w:b/>
                <w:sz w:val="20"/>
                <w:szCs w:val="20"/>
              </w:rPr>
              <w:t>rvice delivery units is rated ‘D</w:t>
            </w:r>
            <w:r w:rsidRPr="006B1E75">
              <w:rPr>
                <w:b/>
                <w:sz w:val="20"/>
                <w:szCs w:val="20"/>
              </w:rPr>
              <w:t xml:space="preserve">’ in 8.3. </w:t>
            </w:r>
            <w:r w:rsidRPr="006B1E75">
              <w:rPr>
                <w:sz w:val="20"/>
                <w:szCs w:val="20"/>
              </w:rPr>
              <w:t xml:space="preserve"> </w:t>
            </w:r>
          </w:p>
          <w:p w14:paraId="04E0C769" w14:textId="46D8E244" w:rsidR="00E12685" w:rsidRDefault="00E12685" w:rsidP="00E12685">
            <w:pPr>
              <w:spacing w:before="0"/>
              <w:ind w:left="0"/>
              <w:rPr>
                <w:sz w:val="20"/>
                <w:szCs w:val="20"/>
              </w:rPr>
            </w:pPr>
            <w:r w:rsidRPr="006B1E75">
              <w:rPr>
                <w:b/>
                <w:sz w:val="20"/>
                <w:szCs w:val="20"/>
              </w:rPr>
              <w:t>Monitoring of</w:t>
            </w:r>
            <w:r>
              <w:rPr>
                <w:b/>
                <w:sz w:val="20"/>
                <w:szCs w:val="20"/>
              </w:rPr>
              <w:t xml:space="preserve"> public corporations is rated ‘</w:t>
            </w:r>
            <w:r w:rsidR="007D0FAC">
              <w:rPr>
                <w:b/>
                <w:sz w:val="20"/>
                <w:szCs w:val="20"/>
              </w:rPr>
              <w:t>D</w:t>
            </w:r>
            <w:r w:rsidRPr="006B1E75">
              <w:rPr>
                <w:b/>
                <w:sz w:val="20"/>
                <w:szCs w:val="20"/>
              </w:rPr>
              <w:t xml:space="preserve">’ in 10.1. </w:t>
            </w:r>
            <w:r w:rsidRPr="006B1E75">
              <w:rPr>
                <w:sz w:val="20"/>
                <w:szCs w:val="20"/>
              </w:rPr>
              <w:t xml:space="preserve"> </w:t>
            </w:r>
          </w:p>
          <w:p w14:paraId="3E4EB2D4" w14:textId="77777777" w:rsidR="00E12685" w:rsidRPr="006B1E75" w:rsidRDefault="00E12685" w:rsidP="00E12685">
            <w:pPr>
              <w:spacing w:before="0"/>
              <w:ind w:left="0"/>
              <w:rPr>
                <w:sz w:val="20"/>
                <w:szCs w:val="20"/>
              </w:rPr>
            </w:pPr>
            <w:r w:rsidRPr="006B1E75">
              <w:rPr>
                <w:b/>
                <w:sz w:val="20"/>
                <w:szCs w:val="20"/>
              </w:rPr>
              <w:t>Monitoring of subnational governments is rated ‘</w:t>
            </w:r>
            <w:r w:rsidR="00AE138D">
              <w:rPr>
                <w:b/>
                <w:sz w:val="20"/>
                <w:szCs w:val="20"/>
              </w:rPr>
              <w:t>NA</w:t>
            </w:r>
            <w:r w:rsidRPr="006B1E75">
              <w:rPr>
                <w:b/>
                <w:sz w:val="20"/>
                <w:szCs w:val="20"/>
              </w:rPr>
              <w:t>’ in 10.2.</w:t>
            </w:r>
            <w:r w:rsidRPr="006B1E75">
              <w:rPr>
                <w:sz w:val="20"/>
                <w:szCs w:val="20"/>
              </w:rPr>
              <w:t xml:space="preserve">  </w:t>
            </w:r>
          </w:p>
          <w:p w14:paraId="6C2F44E2" w14:textId="77777777" w:rsidR="00E12685" w:rsidRPr="006B1E75" w:rsidRDefault="00E12685" w:rsidP="00E12685">
            <w:pPr>
              <w:spacing w:before="0"/>
              <w:ind w:left="0"/>
              <w:rPr>
                <w:sz w:val="20"/>
                <w:szCs w:val="20"/>
              </w:rPr>
            </w:pPr>
            <w:r w:rsidRPr="006B1E75">
              <w:rPr>
                <w:b/>
                <w:sz w:val="20"/>
                <w:szCs w:val="20"/>
              </w:rPr>
              <w:t>Contingent liabilities an</w:t>
            </w:r>
            <w:r>
              <w:rPr>
                <w:b/>
                <w:sz w:val="20"/>
                <w:szCs w:val="20"/>
              </w:rPr>
              <w:t xml:space="preserve">d other fiscal risks </w:t>
            </w:r>
            <w:proofErr w:type="gramStart"/>
            <w:r>
              <w:rPr>
                <w:b/>
                <w:sz w:val="20"/>
                <w:szCs w:val="20"/>
              </w:rPr>
              <w:t>is</w:t>
            </w:r>
            <w:proofErr w:type="gramEnd"/>
            <w:r>
              <w:rPr>
                <w:b/>
                <w:sz w:val="20"/>
                <w:szCs w:val="20"/>
              </w:rPr>
              <w:t xml:space="preserve"> rated ‘D</w:t>
            </w:r>
            <w:r w:rsidRPr="006B1E75">
              <w:rPr>
                <w:b/>
                <w:sz w:val="20"/>
                <w:szCs w:val="20"/>
              </w:rPr>
              <w:t>’ in 10.3</w:t>
            </w:r>
            <w:r w:rsidRPr="006B1E75">
              <w:rPr>
                <w:sz w:val="20"/>
                <w:szCs w:val="20"/>
              </w:rPr>
              <w:t xml:space="preserve"> </w:t>
            </w:r>
          </w:p>
          <w:p w14:paraId="6C727215" w14:textId="034758F1" w:rsidR="00E12685" w:rsidRPr="006B1E75" w:rsidRDefault="00E12685" w:rsidP="00E12685">
            <w:pPr>
              <w:spacing w:before="0"/>
              <w:ind w:left="0"/>
              <w:rPr>
                <w:sz w:val="20"/>
                <w:szCs w:val="20"/>
              </w:rPr>
            </w:pPr>
            <w:r w:rsidRPr="006B1E75">
              <w:rPr>
                <w:b/>
                <w:sz w:val="20"/>
                <w:szCs w:val="20"/>
              </w:rPr>
              <w:t>Investment project monitoring is rated ‘</w:t>
            </w:r>
            <w:r>
              <w:rPr>
                <w:b/>
                <w:sz w:val="20"/>
                <w:szCs w:val="20"/>
              </w:rPr>
              <w:t>D</w:t>
            </w:r>
            <w:r w:rsidR="00361D69">
              <w:rPr>
                <w:b/>
                <w:sz w:val="20"/>
                <w:szCs w:val="20"/>
              </w:rPr>
              <w:t>*</w:t>
            </w:r>
            <w:r w:rsidRPr="006B1E75">
              <w:rPr>
                <w:b/>
                <w:sz w:val="20"/>
                <w:szCs w:val="20"/>
              </w:rPr>
              <w:t xml:space="preserve">’ in </w:t>
            </w:r>
            <w:proofErr w:type="gramStart"/>
            <w:r w:rsidRPr="006B1E75">
              <w:rPr>
                <w:b/>
                <w:sz w:val="20"/>
                <w:szCs w:val="20"/>
              </w:rPr>
              <w:t>11.4.</w:t>
            </w:r>
            <w:r w:rsidRPr="006B1E75">
              <w:rPr>
                <w:sz w:val="20"/>
                <w:szCs w:val="20"/>
              </w:rPr>
              <w:t xml:space="preserve">  .</w:t>
            </w:r>
            <w:proofErr w:type="gramEnd"/>
          </w:p>
          <w:p w14:paraId="7D8F83B0" w14:textId="77777777" w:rsidR="00E12685" w:rsidRPr="006B1E75" w:rsidRDefault="00E12685" w:rsidP="00E12685">
            <w:pPr>
              <w:spacing w:before="0"/>
              <w:ind w:left="0"/>
              <w:rPr>
                <w:sz w:val="20"/>
                <w:szCs w:val="20"/>
              </w:rPr>
            </w:pPr>
            <w:r w:rsidRPr="006B1E75">
              <w:rPr>
                <w:b/>
                <w:sz w:val="20"/>
                <w:szCs w:val="20"/>
              </w:rPr>
              <w:t>Quality of central government financ</w:t>
            </w:r>
            <w:r>
              <w:rPr>
                <w:b/>
                <w:sz w:val="20"/>
                <w:szCs w:val="20"/>
              </w:rPr>
              <w:t>ial asset monitoring is rated ‘C</w:t>
            </w:r>
            <w:r w:rsidRPr="006B1E75">
              <w:rPr>
                <w:b/>
                <w:sz w:val="20"/>
                <w:szCs w:val="20"/>
              </w:rPr>
              <w:t>’ in 12.1.</w:t>
            </w:r>
            <w:r w:rsidRPr="006B1E75">
              <w:rPr>
                <w:sz w:val="20"/>
                <w:szCs w:val="20"/>
              </w:rPr>
              <w:t xml:space="preserve">  </w:t>
            </w:r>
          </w:p>
          <w:p w14:paraId="05BC0515" w14:textId="77777777" w:rsidR="00E12685" w:rsidRPr="006B1E75" w:rsidRDefault="00E12685" w:rsidP="00E12685">
            <w:pPr>
              <w:spacing w:before="0"/>
              <w:ind w:left="0"/>
              <w:rPr>
                <w:sz w:val="20"/>
                <w:szCs w:val="20"/>
              </w:rPr>
            </w:pPr>
            <w:r w:rsidRPr="006B1E75">
              <w:rPr>
                <w:b/>
                <w:sz w:val="20"/>
                <w:szCs w:val="20"/>
              </w:rPr>
              <w:t>Quality of central government non-financ</w:t>
            </w:r>
            <w:r>
              <w:rPr>
                <w:b/>
                <w:sz w:val="20"/>
                <w:szCs w:val="20"/>
              </w:rPr>
              <w:t>ial asset monitoring is rated ‘D</w:t>
            </w:r>
            <w:r w:rsidRPr="006B1E75">
              <w:rPr>
                <w:b/>
                <w:sz w:val="20"/>
                <w:szCs w:val="20"/>
              </w:rPr>
              <w:t>’ in 12.2.</w:t>
            </w:r>
            <w:r w:rsidRPr="006B1E75">
              <w:rPr>
                <w:sz w:val="20"/>
                <w:szCs w:val="20"/>
              </w:rPr>
              <w:t xml:space="preserve">  </w:t>
            </w:r>
          </w:p>
          <w:p w14:paraId="191B99C6" w14:textId="77777777" w:rsidR="00E12685" w:rsidRPr="006B1E75" w:rsidRDefault="00E12685" w:rsidP="00E12685">
            <w:pPr>
              <w:spacing w:before="0"/>
              <w:ind w:left="0"/>
              <w:rPr>
                <w:sz w:val="20"/>
                <w:szCs w:val="20"/>
              </w:rPr>
            </w:pPr>
            <w:r w:rsidRPr="006B1E75">
              <w:rPr>
                <w:b/>
                <w:sz w:val="20"/>
                <w:szCs w:val="20"/>
              </w:rPr>
              <w:t xml:space="preserve">Revenue arrears monitoring is rated ‘D’ in 19.4.  </w:t>
            </w:r>
          </w:p>
          <w:p w14:paraId="52E6FBAC" w14:textId="77777777" w:rsidR="00E12685" w:rsidRPr="006B1E75" w:rsidRDefault="00E12685" w:rsidP="00E12685">
            <w:pPr>
              <w:spacing w:before="0"/>
              <w:ind w:left="0"/>
              <w:rPr>
                <w:b/>
                <w:sz w:val="20"/>
                <w:szCs w:val="20"/>
              </w:rPr>
            </w:pPr>
            <w:r w:rsidRPr="006B1E75">
              <w:rPr>
                <w:b/>
                <w:sz w:val="20"/>
                <w:szCs w:val="20"/>
              </w:rPr>
              <w:t>Expenditur</w:t>
            </w:r>
            <w:r>
              <w:rPr>
                <w:b/>
                <w:sz w:val="20"/>
                <w:szCs w:val="20"/>
              </w:rPr>
              <w:t>e arrears monitoring is rated ‘D</w:t>
            </w:r>
            <w:r w:rsidRPr="006B1E75">
              <w:rPr>
                <w:b/>
                <w:sz w:val="20"/>
                <w:szCs w:val="20"/>
              </w:rPr>
              <w:t xml:space="preserve">’ in 22.2.  </w:t>
            </w:r>
          </w:p>
          <w:p w14:paraId="0251DEEA" w14:textId="77777777" w:rsidR="00E12685" w:rsidRPr="006B1E75" w:rsidRDefault="00E12685" w:rsidP="00E12685">
            <w:pPr>
              <w:spacing w:before="0"/>
              <w:ind w:left="0"/>
              <w:rPr>
                <w:sz w:val="20"/>
                <w:szCs w:val="20"/>
              </w:rPr>
            </w:pPr>
            <w:r w:rsidRPr="006B1E75">
              <w:rPr>
                <w:b/>
                <w:sz w:val="20"/>
                <w:szCs w:val="20"/>
              </w:rPr>
              <w:t>Pr</w:t>
            </w:r>
            <w:r>
              <w:rPr>
                <w:b/>
                <w:sz w:val="20"/>
                <w:szCs w:val="20"/>
              </w:rPr>
              <w:t>ocurement monitoring is rated ‘D</w:t>
            </w:r>
            <w:r w:rsidRPr="006B1E75">
              <w:rPr>
                <w:b/>
                <w:sz w:val="20"/>
                <w:szCs w:val="20"/>
              </w:rPr>
              <w:t>’ in 24.1.</w:t>
            </w:r>
            <w:r w:rsidRPr="006B1E75">
              <w:rPr>
                <w:sz w:val="20"/>
                <w:szCs w:val="20"/>
              </w:rPr>
              <w:t xml:space="preserve"> </w:t>
            </w:r>
          </w:p>
          <w:p w14:paraId="19E159ED" w14:textId="77777777" w:rsidR="00E12685" w:rsidRPr="006B1E75" w:rsidRDefault="00E12685" w:rsidP="00E12685">
            <w:pPr>
              <w:spacing w:before="0"/>
              <w:ind w:left="0"/>
              <w:rPr>
                <w:sz w:val="20"/>
                <w:szCs w:val="20"/>
              </w:rPr>
            </w:pPr>
            <w:r w:rsidRPr="006B1E75">
              <w:rPr>
                <w:b/>
                <w:sz w:val="20"/>
                <w:szCs w:val="20"/>
              </w:rPr>
              <w:lastRenderedPageBreak/>
              <w:t>Implementation of internal audits and reporting is rated ‘</w:t>
            </w:r>
            <w:r>
              <w:rPr>
                <w:b/>
                <w:sz w:val="20"/>
                <w:szCs w:val="20"/>
              </w:rPr>
              <w:t>D*</w:t>
            </w:r>
            <w:r w:rsidRPr="006B1E75">
              <w:rPr>
                <w:b/>
                <w:sz w:val="20"/>
                <w:szCs w:val="20"/>
              </w:rPr>
              <w:t>’ in 26.3.</w:t>
            </w:r>
          </w:p>
        </w:tc>
      </w:tr>
      <w:tr w:rsidR="00E12685" w:rsidRPr="00FE6ED4" w14:paraId="1C096F9F" w14:textId="77777777" w:rsidTr="00CC2B5D">
        <w:trPr>
          <w:jc w:val="center"/>
        </w:trPr>
        <w:tc>
          <w:tcPr>
            <w:tcW w:w="2541" w:type="pct"/>
          </w:tcPr>
          <w:p w14:paraId="3F296166" w14:textId="77777777" w:rsidR="00E12685" w:rsidRPr="006B1E75" w:rsidRDefault="00E12685" w:rsidP="00E12685">
            <w:pPr>
              <w:spacing w:before="0"/>
              <w:ind w:left="0"/>
              <w:rPr>
                <w:rFonts w:eastAsia="SimSun"/>
                <w:sz w:val="20"/>
                <w:szCs w:val="20"/>
                <w:lang w:val="en-GB" w:eastAsia="zh-CN"/>
              </w:rPr>
            </w:pPr>
            <w:r w:rsidRPr="006B1E75">
              <w:rPr>
                <w:sz w:val="20"/>
                <w:szCs w:val="20"/>
              </w:rPr>
              <w:lastRenderedPageBreak/>
              <w:t xml:space="preserve">5.2 Evaluations </w:t>
            </w:r>
          </w:p>
        </w:tc>
        <w:tc>
          <w:tcPr>
            <w:tcW w:w="2459" w:type="pct"/>
          </w:tcPr>
          <w:p w14:paraId="318A6B95" w14:textId="77777777" w:rsidR="00E12685" w:rsidRDefault="00E12685" w:rsidP="00E12685">
            <w:pPr>
              <w:spacing w:before="0"/>
              <w:ind w:left="0"/>
              <w:rPr>
                <w:b/>
                <w:sz w:val="20"/>
                <w:szCs w:val="20"/>
              </w:rPr>
            </w:pPr>
            <w:r w:rsidRPr="006B1E75">
              <w:rPr>
                <w:b/>
                <w:sz w:val="20"/>
                <w:szCs w:val="20"/>
              </w:rPr>
              <w:t>Performance evaluation for service delivery is rated ‘</w:t>
            </w:r>
            <w:r>
              <w:rPr>
                <w:b/>
                <w:sz w:val="20"/>
                <w:szCs w:val="20"/>
              </w:rPr>
              <w:t>D</w:t>
            </w:r>
            <w:r w:rsidRPr="006B1E75">
              <w:rPr>
                <w:b/>
                <w:sz w:val="20"/>
                <w:szCs w:val="20"/>
              </w:rPr>
              <w:t xml:space="preserve">’ in 8.4.  </w:t>
            </w:r>
          </w:p>
          <w:p w14:paraId="264E11B1" w14:textId="77777777" w:rsidR="00E12685" w:rsidRPr="006B1E75" w:rsidRDefault="00E12685" w:rsidP="00E12685">
            <w:pPr>
              <w:spacing w:before="0"/>
              <w:ind w:left="0"/>
              <w:rPr>
                <w:sz w:val="20"/>
                <w:szCs w:val="20"/>
              </w:rPr>
            </w:pPr>
            <w:r w:rsidRPr="006B1E75">
              <w:rPr>
                <w:b/>
                <w:sz w:val="20"/>
                <w:szCs w:val="20"/>
              </w:rPr>
              <w:t xml:space="preserve">Investment project selection is rated ‘C’ in 11.2. </w:t>
            </w:r>
            <w:r w:rsidRPr="006B1E75">
              <w:rPr>
                <w:b/>
                <w:i/>
                <w:sz w:val="20"/>
                <w:szCs w:val="20"/>
              </w:rPr>
              <w:t xml:space="preserve"> </w:t>
            </w:r>
          </w:p>
        </w:tc>
      </w:tr>
      <w:tr w:rsidR="00E12685" w:rsidRPr="00FE6ED4" w14:paraId="3EDE8DB4" w14:textId="77777777" w:rsidTr="00CC2B5D">
        <w:trPr>
          <w:jc w:val="center"/>
        </w:trPr>
        <w:tc>
          <w:tcPr>
            <w:tcW w:w="2541" w:type="pct"/>
          </w:tcPr>
          <w:p w14:paraId="310BE2B5" w14:textId="77777777" w:rsidR="00E12685" w:rsidRPr="006B1E75" w:rsidRDefault="00E12685" w:rsidP="00E12685">
            <w:pPr>
              <w:spacing w:before="0"/>
              <w:ind w:left="0"/>
              <w:rPr>
                <w:rFonts w:eastAsia="SimSun"/>
                <w:sz w:val="20"/>
                <w:szCs w:val="20"/>
                <w:lang w:val="en-GB" w:eastAsia="zh-CN"/>
              </w:rPr>
            </w:pPr>
            <w:r w:rsidRPr="006B1E75">
              <w:rPr>
                <w:sz w:val="20"/>
                <w:szCs w:val="20"/>
              </w:rPr>
              <w:t xml:space="preserve">5.3 Management responses </w:t>
            </w:r>
          </w:p>
        </w:tc>
        <w:tc>
          <w:tcPr>
            <w:tcW w:w="2459" w:type="pct"/>
          </w:tcPr>
          <w:p w14:paraId="3004F938" w14:textId="77777777" w:rsidR="00E12685" w:rsidRPr="006B1E75" w:rsidRDefault="00E12685" w:rsidP="00E12685">
            <w:pPr>
              <w:spacing w:before="0"/>
              <w:ind w:left="0"/>
              <w:rPr>
                <w:sz w:val="20"/>
                <w:szCs w:val="20"/>
              </w:rPr>
            </w:pPr>
            <w:r w:rsidRPr="006B1E75">
              <w:rPr>
                <w:b/>
                <w:sz w:val="20"/>
                <w:szCs w:val="20"/>
              </w:rPr>
              <w:t>Response to internal audits is rated ‘</w:t>
            </w:r>
            <w:r>
              <w:rPr>
                <w:b/>
                <w:sz w:val="20"/>
                <w:szCs w:val="20"/>
              </w:rPr>
              <w:t>D</w:t>
            </w:r>
            <w:r w:rsidR="000E2E6A">
              <w:rPr>
                <w:b/>
                <w:sz w:val="20"/>
                <w:szCs w:val="20"/>
              </w:rPr>
              <w:t>*</w:t>
            </w:r>
            <w:r w:rsidRPr="006B1E75">
              <w:rPr>
                <w:b/>
                <w:sz w:val="20"/>
                <w:szCs w:val="20"/>
              </w:rPr>
              <w:t>’ in 26.4.</w:t>
            </w:r>
            <w:r w:rsidRPr="006B1E75">
              <w:rPr>
                <w:sz w:val="20"/>
                <w:szCs w:val="20"/>
              </w:rPr>
              <w:t xml:space="preserve">  </w:t>
            </w:r>
          </w:p>
          <w:p w14:paraId="49D9AD6A" w14:textId="77777777" w:rsidR="00E12685" w:rsidRPr="006B1E75" w:rsidRDefault="00E12685" w:rsidP="00E12685">
            <w:pPr>
              <w:spacing w:before="0"/>
              <w:ind w:left="0"/>
              <w:rPr>
                <w:sz w:val="20"/>
                <w:szCs w:val="20"/>
              </w:rPr>
            </w:pPr>
            <w:r w:rsidRPr="006B1E75">
              <w:rPr>
                <w:b/>
                <w:sz w:val="20"/>
                <w:szCs w:val="20"/>
              </w:rPr>
              <w:t>External audit follow-up is rated ‘</w:t>
            </w:r>
            <w:r w:rsidR="004B0600">
              <w:rPr>
                <w:b/>
                <w:sz w:val="20"/>
                <w:szCs w:val="20"/>
              </w:rPr>
              <w:t>C</w:t>
            </w:r>
            <w:r w:rsidRPr="006B1E75">
              <w:rPr>
                <w:b/>
                <w:sz w:val="20"/>
                <w:szCs w:val="20"/>
              </w:rPr>
              <w:t>’ in 30.3.</w:t>
            </w:r>
            <w:r w:rsidRPr="006B1E75">
              <w:rPr>
                <w:sz w:val="20"/>
                <w:szCs w:val="20"/>
              </w:rPr>
              <w:t xml:space="preserve">  </w:t>
            </w:r>
          </w:p>
        </w:tc>
      </w:tr>
    </w:tbl>
    <w:p w14:paraId="7AEF1631" w14:textId="77777777" w:rsidR="009B2D79" w:rsidRDefault="009B2D79" w:rsidP="007518E4">
      <w:pPr>
        <w:pStyle w:val="ListParagraph"/>
        <w:spacing w:line="259" w:lineRule="auto"/>
        <w:ind w:left="0"/>
        <w:contextualSpacing w:val="0"/>
        <w:rPr>
          <w:rFonts w:ascii="Times New Roman" w:eastAsia="ヒラギノ角ゴ Pro W3" w:hAnsi="Times New Roman"/>
          <w:b/>
          <w:color w:val="000000"/>
          <w:sz w:val="24"/>
          <w:lang w:eastAsia="en-IN"/>
        </w:rPr>
      </w:pPr>
    </w:p>
    <w:p w14:paraId="413353E8" w14:textId="77777777" w:rsidR="009B2D79" w:rsidRDefault="009B2D79">
      <w:pPr>
        <w:spacing w:after="240" w:line="276" w:lineRule="auto"/>
        <w:rPr>
          <w:rFonts w:ascii="Times New Roman" w:eastAsia="ヒラギノ角ゴ Pro W3" w:hAnsi="Times New Roman"/>
          <w:b/>
          <w:color w:val="000000"/>
          <w:sz w:val="24"/>
          <w:lang w:eastAsia="en-IN"/>
        </w:rPr>
      </w:pPr>
      <w:r>
        <w:rPr>
          <w:rFonts w:ascii="Times New Roman" w:eastAsia="ヒラギノ角ゴ Pro W3" w:hAnsi="Times New Roman"/>
          <w:b/>
          <w:color w:val="000000"/>
          <w:sz w:val="24"/>
          <w:lang w:eastAsia="en-IN"/>
        </w:rPr>
        <w:br w:type="page"/>
      </w:r>
    </w:p>
    <w:p w14:paraId="6926B9BB" w14:textId="77777777" w:rsidR="009B2D79" w:rsidRPr="00EB5A05" w:rsidRDefault="009B2D79" w:rsidP="00EB5A05">
      <w:pPr>
        <w:pStyle w:val="Heading1"/>
        <w:rPr>
          <w:rFonts w:ascii="Times New Roman" w:hAnsi="Times New Roman"/>
          <w:lang w:val="en-GB" w:eastAsia="en-GB"/>
        </w:rPr>
      </w:pPr>
      <w:bookmarkStart w:id="136" w:name="_Toc4149024"/>
      <w:r w:rsidRPr="00EB5A05">
        <w:rPr>
          <w:rFonts w:ascii="Times New Roman" w:hAnsi="Times New Roman"/>
          <w:lang w:val="en-GB" w:eastAsia="en-GB"/>
        </w:rPr>
        <w:lastRenderedPageBreak/>
        <w:t>Annex -3A: List of persons intervi</w:t>
      </w:r>
      <w:r w:rsidR="00732585" w:rsidRPr="00EB5A05">
        <w:rPr>
          <w:rFonts w:ascii="Times New Roman" w:hAnsi="Times New Roman"/>
          <w:lang w:val="en-GB" w:eastAsia="en-GB"/>
        </w:rPr>
        <w:t>e</w:t>
      </w:r>
      <w:r w:rsidRPr="00EB5A05">
        <w:rPr>
          <w:rFonts w:ascii="Times New Roman" w:hAnsi="Times New Roman"/>
          <w:lang w:val="en-GB" w:eastAsia="en-GB"/>
        </w:rPr>
        <w:t>wed or consulted</w:t>
      </w:r>
      <w:bookmarkEnd w:id="136"/>
    </w:p>
    <w:tbl>
      <w:tblPr>
        <w:tblW w:w="9533" w:type="dxa"/>
        <w:tblInd w:w="101" w:type="dxa"/>
        <w:tblLayout w:type="fixed"/>
        <w:tblLook w:val="04A0" w:firstRow="1" w:lastRow="0" w:firstColumn="1" w:lastColumn="0" w:noHBand="0" w:noVBand="1"/>
      </w:tblPr>
      <w:tblGrid>
        <w:gridCol w:w="857"/>
        <w:gridCol w:w="1276"/>
        <w:gridCol w:w="1743"/>
        <w:gridCol w:w="31"/>
        <w:gridCol w:w="2607"/>
        <w:gridCol w:w="12"/>
        <w:gridCol w:w="1363"/>
        <w:gridCol w:w="1614"/>
        <w:gridCol w:w="30"/>
      </w:tblGrid>
      <w:tr w:rsidR="009B2D79" w:rsidRPr="009B2D79" w14:paraId="798E60CB" w14:textId="77777777" w:rsidTr="00CC2B5D">
        <w:trPr>
          <w:gridAfter w:val="1"/>
          <w:wAfter w:w="28" w:type="dxa"/>
          <w:trHeight w:val="789"/>
        </w:trPr>
        <w:tc>
          <w:tcPr>
            <w:tcW w:w="2134" w:type="dxa"/>
            <w:gridSpan w:val="2"/>
            <w:vMerge w:val="restart"/>
            <w:tcBorders>
              <w:top w:val="single" w:sz="4" w:space="0" w:color="auto"/>
              <w:left w:val="single" w:sz="4" w:space="0" w:color="auto"/>
              <w:bottom w:val="single" w:sz="4" w:space="0" w:color="auto"/>
              <w:right w:val="single" w:sz="4" w:space="0" w:color="auto"/>
            </w:tcBorders>
            <w:shd w:val="clear" w:color="000000" w:fill="B3C6E7"/>
            <w:hideMark/>
          </w:tcPr>
          <w:p w14:paraId="0DB01B98" w14:textId="77777777" w:rsidR="009B2D79" w:rsidRPr="009B2D79" w:rsidRDefault="009B2D79" w:rsidP="009B2D79">
            <w:pPr>
              <w:spacing w:before="0"/>
              <w:ind w:left="0"/>
              <w:jc w:val="center"/>
              <w:rPr>
                <w:rFonts w:ascii="Times New Roman" w:hAnsi="Times New Roman"/>
                <w:bCs/>
                <w:sz w:val="18"/>
                <w:szCs w:val="18"/>
                <w:lang w:val="en-GB" w:eastAsia="en-GB"/>
              </w:rPr>
            </w:pPr>
            <w:r w:rsidRPr="009B2D79">
              <w:rPr>
                <w:rFonts w:ascii="Times New Roman" w:hAnsi="Times New Roman"/>
                <w:bCs/>
                <w:sz w:val="18"/>
                <w:szCs w:val="18"/>
                <w:lang w:val="en-GB" w:eastAsia="en-GB"/>
              </w:rPr>
              <w:t>Name of institutions</w:t>
            </w:r>
          </w:p>
        </w:tc>
        <w:tc>
          <w:tcPr>
            <w:tcW w:w="1743" w:type="dxa"/>
            <w:vMerge w:val="restart"/>
            <w:tcBorders>
              <w:top w:val="single" w:sz="4" w:space="0" w:color="auto"/>
              <w:left w:val="single" w:sz="4" w:space="0" w:color="auto"/>
              <w:bottom w:val="single" w:sz="4" w:space="0" w:color="auto"/>
              <w:right w:val="single" w:sz="4" w:space="0" w:color="auto"/>
            </w:tcBorders>
            <w:shd w:val="clear" w:color="000000" w:fill="B3C6E7"/>
            <w:hideMark/>
          </w:tcPr>
          <w:p w14:paraId="381F55D5" w14:textId="77777777" w:rsidR="009B2D79" w:rsidRPr="009B2D79" w:rsidRDefault="009B2D79" w:rsidP="009B2D79">
            <w:pPr>
              <w:spacing w:before="0"/>
              <w:ind w:left="0"/>
              <w:jc w:val="left"/>
              <w:rPr>
                <w:rFonts w:ascii="Times New Roman" w:hAnsi="Times New Roman"/>
                <w:bCs/>
                <w:sz w:val="18"/>
                <w:szCs w:val="18"/>
                <w:lang w:val="en-GB" w:eastAsia="en-GB"/>
              </w:rPr>
            </w:pPr>
            <w:r w:rsidRPr="009B2D79">
              <w:rPr>
                <w:rFonts w:ascii="Times New Roman" w:hAnsi="Times New Roman"/>
                <w:bCs/>
                <w:sz w:val="18"/>
                <w:szCs w:val="18"/>
                <w:lang w:val="en-GB" w:eastAsia="en-GB"/>
              </w:rPr>
              <w:t xml:space="preserve">Name </w:t>
            </w:r>
          </w:p>
        </w:tc>
        <w:tc>
          <w:tcPr>
            <w:tcW w:w="2639" w:type="dxa"/>
            <w:gridSpan w:val="2"/>
            <w:vMerge w:val="restart"/>
            <w:tcBorders>
              <w:top w:val="single" w:sz="4" w:space="0" w:color="auto"/>
              <w:left w:val="single" w:sz="4" w:space="0" w:color="auto"/>
              <w:bottom w:val="single" w:sz="4" w:space="0" w:color="auto"/>
              <w:right w:val="single" w:sz="4" w:space="0" w:color="auto"/>
            </w:tcBorders>
            <w:shd w:val="clear" w:color="000000" w:fill="B3C6E7"/>
            <w:hideMark/>
          </w:tcPr>
          <w:p w14:paraId="252CAE63" w14:textId="77777777" w:rsidR="009B2D79" w:rsidRPr="009B2D79" w:rsidRDefault="009B2D79" w:rsidP="009B2D79">
            <w:pPr>
              <w:spacing w:before="0"/>
              <w:ind w:left="0"/>
              <w:jc w:val="left"/>
              <w:rPr>
                <w:rFonts w:ascii="Times New Roman" w:hAnsi="Times New Roman"/>
                <w:bCs/>
                <w:sz w:val="18"/>
                <w:szCs w:val="18"/>
                <w:lang w:val="en-GB" w:eastAsia="en-GB"/>
              </w:rPr>
            </w:pPr>
            <w:r w:rsidRPr="009B2D79">
              <w:rPr>
                <w:rFonts w:ascii="Times New Roman" w:hAnsi="Times New Roman"/>
                <w:bCs/>
                <w:sz w:val="18"/>
                <w:szCs w:val="18"/>
                <w:lang w:val="en-GB" w:eastAsia="en-GB"/>
              </w:rPr>
              <w:t>Title</w:t>
            </w:r>
          </w:p>
        </w:tc>
        <w:tc>
          <w:tcPr>
            <w:tcW w:w="1375" w:type="dxa"/>
            <w:gridSpan w:val="2"/>
            <w:vMerge w:val="restart"/>
            <w:tcBorders>
              <w:top w:val="single" w:sz="4" w:space="0" w:color="auto"/>
              <w:left w:val="single" w:sz="4" w:space="0" w:color="auto"/>
              <w:bottom w:val="single" w:sz="4" w:space="0" w:color="auto"/>
              <w:right w:val="single" w:sz="4" w:space="0" w:color="auto"/>
            </w:tcBorders>
            <w:shd w:val="clear" w:color="000000" w:fill="B3C6E7"/>
            <w:hideMark/>
          </w:tcPr>
          <w:p w14:paraId="3E2AD5EB" w14:textId="77777777" w:rsidR="009B2D79" w:rsidRPr="009B2D79" w:rsidRDefault="009B2D79" w:rsidP="009B2D79">
            <w:pPr>
              <w:spacing w:before="0"/>
              <w:ind w:left="0"/>
              <w:jc w:val="left"/>
              <w:rPr>
                <w:rFonts w:ascii="Times New Roman" w:hAnsi="Times New Roman"/>
                <w:bCs/>
                <w:sz w:val="18"/>
                <w:szCs w:val="18"/>
                <w:lang w:val="en-GB" w:eastAsia="en-GB"/>
              </w:rPr>
            </w:pPr>
            <w:r w:rsidRPr="009B2D79">
              <w:rPr>
                <w:rFonts w:ascii="Times New Roman" w:hAnsi="Times New Roman"/>
                <w:bCs/>
                <w:sz w:val="18"/>
                <w:szCs w:val="18"/>
                <w:lang w:val="en-GB" w:eastAsia="en-GB"/>
              </w:rPr>
              <w:t>Contact number</w:t>
            </w:r>
          </w:p>
        </w:tc>
        <w:tc>
          <w:tcPr>
            <w:tcW w:w="1614" w:type="dxa"/>
            <w:vMerge w:val="restart"/>
            <w:tcBorders>
              <w:top w:val="single" w:sz="4" w:space="0" w:color="auto"/>
              <w:left w:val="single" w:sz="4" w:space="0" w:color="auto"/>
              <w:bottom w:val="single" w:sz="4" w:space="0" w:color="auto"/>
              <w:right w:val="single" w:sz="4" w:space="0" w:color="auto"/>
            </w:tcBorders>
            <w:shd w:val="clear" w:color="000000" w:fill="B3C6E7"/>
            <w:hideMark/>
          </w:tcPr>
          <w:p w14:paraId="0C5D7CEE" w14:textId="77777777" w:rsidR="009B2D79" w:rsidRPr="009B2D79" w:rsidRDefault="009B2D79" w:rsidP="009B2D79">
            <w:pPr>
              <w:spacing w:before="0"/>
              <w:ind w:left="0"/>
              <w:jc w:val="left"/>
              <w:rPr>
                <w:rFonts w:ascii="Times New Roman" w:hAnsi="Times New Roman"/>
                <w:bCs/>
                <w:sz w:val="18"/>
                <w:szCs w:val="18"/>
                <w:lang w:val="en-GB" w:eastAsia="en-GB"/>
              </w:rPr>
            </w:pPr>
            <w:r w:rsidRPr="009B2D79">
              <w:rPr>
                <w:rFonts w:ascii="Times New Roman" w:hAnsi="Times New Roman"/>
                <w:bCs/>
                <w:sz w:val="18"/>
                <w:szCs w:val="18"/>
                <w:lang w:val="en-GB" w:eastAsia="en-GB"/>
              </w:rPr>
              <w:t>email</w:t>
            </w:r>
          </w:p>
        </w:tc>
      </w:tr>
      <w:tr w:rsidR="009B2D79" w:rsidRPr="009B2D79" w14:paraId="629DADB5" w14:textId="77777777" w:rsidTr="00CC2B5D">
        <w:trPr>
          <w:gridAfter w:val="1"/>
          <w:wAfter w:w="28" w:type="dxa"/>
          <w:trHeight w:val="789"/>
        </w:trPr>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14:paraId="66243DA3" w14:textId="77777777" w:rsidR="009B2D79" w:rsidRPr="009B2D79" w:rsidRDefault="009B2D79" w:rsidP="009B2D79">
            <w:pPr>
              <w:spacing w:before="0"/>
              <w:ind w:left="0"/>
              <w:jc w:val="left"/>
              <w:rPr>
                <w:rFonts w:ascii="Times New Roman" w:hAnsi="Times New Roman"/>
                <w:b/>
                <w:bCs/>
                <w:sz w:val="18"/>
                <w:szCs w:val="18"/>
                <w:lang w:val="en-GB" w:eastAsia="en-GB"/>
              </w:rPr>
            </w:pP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175D73A7" w14:textId="77777777" w:rsidR="009B2D79" w:rsidRPr="009B2D79" w:rsidRDefault="009B2D79" w:rsidP="009B2D79">
            <w:pPr>
              <w:spacing w:before="0"/>
              <w:ind w:left="0"/>
              <w:jc w:val="left"/>
              <w:rPr>
                <w:rFonts w:ascii="Times New Roman" w:hAnsi="Times New Roman"/>
                <w:b/>
                <w:bCs/>
                <w:sz w:val="18"/>
                <w:szCs w:val="18"/>
                <w:lang w:val="en-GB" w:eastAsia="en-GB"/>
              </w:rPr>
            </w:pPr>
          </w:p>
        </w:tc>
        <w:tc>
          <w:tcPr>
            <w:tcW w:w="2639" w:type="dxa"/>
            <w:gridSpan w:val="2"/>
            <w:vMerge/>
            <w:tcBorders>
              <w:top w:val="single" w:sz="4" w:space="0" w:color="auto"/>
              <w:left w:val="single" w:sz="4" w:space="0" w:color="auto"/>
              <w:bottom w:val="single" w:sz="4" w:space="0" w:color="auto"/>
              <w:right w:val="single" w:sz="4" w:space="0" w:color="auto"/>
            </w:tcBorders>
            <w:vAlign w:val="center"/>
            <w:hideMark/>
          </w:tcPr>
          <w:p w14:paraId="772A948C" w14:textId="77777777" w:rsidR="009B2D79" w:rsidRPr="009B2D79" w:rsidRDefault="009B2D79" w:rsidP="009B2D79">
            <w:pPr>
              <w:spacing w:before="0"/>
              <w:ind w:left="0"/>
              <w:jc w:val="left"/>
              <w:rPr>
                <w:rFonts w:ascii="Times New Roman" w:hAnsi="Times New Roman"/>
                <w:b/>
                <w:bCs/>
                <w:sz w:val="18"/>
                <w:szCs w:val="18"/>
                <w:lang w:val="en-GB" w:eastAsia="en-GB"/>
              </w:rPr>
            </w:pPr>
          </w:p>
        </w:tc>
        <w:tc>
          <w:tcPr>
            <w:tcW w:w="1375" w:type="dxa"/>
            <w:gridSpan w:val="2"/>
            <w:vMerge/>
            <w:tcBorders>
              <w:top w:val="single" w:sz="4" w:space="0" w:color="auto"/>
              <w:left w:val="single" w:sz="4" w:space="0" w:color="auto"/>
              <w:bottom w:val="single" w:sz="4" w:space="0" w:color="auto"/>
              <w:right w:val="single" w:sz="4" w:space="0" w:color="auto"/>
            </w:tcBorders>
            <w:vAlign w:val="center"/>
            <w:hideMark/>
          </w:tcPr>
          <w:p w14:paraId="3791B89E" w14:textId="77777777" w:rsidR="009B2D79" w:rsidRPr="009B2D79" w:rsidRDefault="009B2D79" w:rsidP="009B2D79">
            <w:pPr>
              <w:spacing w:before="0"/>
              <w:ind w:left="0"/>
              <w:jc w:val="left"/>
              <w:rPr>
                <w:rFonts w:ascii="Calibri" w:hAnsi="Calibri" w:cs="Calibri"/>
                <w:b/>
                <w:bCs/>
                <w:sz w:val="24"/>
                <w:lang w:val="en-GB" w:eastAsia="en-GB"/>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6C6465AE" w14:textId="77777777" w:rsidR="009B2D79" w:rsidRPr="009B2D79" w:rsidRDefault="009B2D79" w:rsidP="009B2D79">
            <w:pPr>
              <w:spacing w:before="0"/>
              <w:ind w:left="0"/>
              <w:jc w:val="left"/>
              <w:rPr>
                <w:rFonts w:ascii="Calibri" w:hAnsi="Calibri" w:cs="Calibri"/>
                <w:b/>
                <w:bCs/>
                <w:sz w:val="24"/>
                <w:lang w:val="en-GB" w:eastAsia="en-GB"/>
              </w:rPr>
            </w:pPr>
          </w:p>
        </w:tc>
      </w:tr>
      <w:tr w:rsidR="009B2D79" w:rsidRPr="009B2D79" w14:paraId="77F33445" w14:textId="77777777" w:rsidTr="009B2D79">
        <w:trPr>
          <w:trHeight w:val="312"/>
        </w:trPr>
        <w:tc>
          <w:tcPr>
            <w:tcW w:w="858" w:type="dxa"/>
            <w:vMerge w:val="restart"/>
            <w:tcBorders>
              <w:top w:val="nil"/>
              <w:left w:val="single" w:sz="4" w:space="0" w:color="auto"/>
              <w:bottom w:val="single" w:sz="4" w:space="0" w:color="000000"/>
              <w:right w:val="single" w:sz="4" w:space="0" w:color="auto"/>
            </w:tcBorders>
            <w:shd w:val="clear" w:color="000000" w:fill="B3C6E7"/>
            <w:hideMark/>
          </w:tcPr>
          <w:p w14:paraId="561DEF5D"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World Bank</w:t>
            </w: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14:paraId="5574B13A"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PFM Team</w:t>
            </w:r>
          </w:p>
        </w:tc>
        <w:tc>
          <w:tcPr>
            <w:tcW w:w="1774" w:type="dxa"/>
            <w:gridSpan w:val="2"/>
            <w:tcBorders>
              <w:top w:val="nil"/>
              <w:left w:val="nil"/>
              <w:bottom w:val="single" w:sz="4" w:space="0" w:color="auto"/>
              <w:right w:val="single" w:sz="4" w:space="0" w:color="auto"/>
            </w:tcBorders>
            <w:shd w:val="clear" w:color="000000" w:fill="D8D8D8"/>
            <w:noWrap/>
            <w:hideMark/>
          </w:tcPr>
          <w:p w14:paraId="78BFF43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Sylvie Zaitra</w:t>
            </w:r>
          </w:p>
        </w:tc>
        <w:tc>
          <w:tcPr>
            <w:tcW w:w="2620" w:type="dxa"/>
            <w:gridSpan w:val="2"/>
            <w:tcBorders>
              <w:top w:val="nil"/>
              <w:left w:val="nil"/>
              <w:bottom w:val="single" w:sz="4" w:space="0" w:color="auto"/>
              <w:right w:val="single" w:sz="4" w:space="0" w:color="auto"/>
            </w:tcBorders>
            <w:shd w:val="clear" w:color="000000" w:fill="D8D8D8"/>
            <w:noWrap/>
            <w:hideMark/>
          </w:tcPr>
          <w:p w14:paraId="7709666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PEFA Consultant</w:t>
            </w:r>
          </w:p>
        </w:tc>
        <w:tc>
          <w:tcPr>
            <w:tcW w:w="1361" w:type="dxa"/>
            <w:tcBorders>
              <w:top w:val="nil"/>
              <w:left w:val="nil"/>
              <w:bottom w:val="single" w:sz="4" w:space="0" w:color="auto"/>
              <w:right w:val="single" w:sz="4" w:space="0" w:color="auto"/>
            </w:tcBorders>
            <w:shd w:val="clear" w:color="000000" w:fill="D8D8D8"/>
            <w:noWrap/>
            <w:hideMark/>
          </w:tcPr>
          <w:p w14:paraId="3EAB727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+95 9 796 370735</w:t>
            </w:r>
          </w:p>
        </w:tc>
        <w:tc>
          <w:tcPr>
            <w:tcW w:w="1644" w:type="dxa"/>
            <w:gridSpan w:val="2"/>
            <w:tcBorders>
              <w:top w:val="nil"/>
              <w:left w:val="nil"/>
              <w:bottom w:val="single" w:sz="4" w:space="0" w:color="auto"/>
              <w:right w:val="single" w:sz="4" w:space="0" w:color="auto"/>
            </w:tcBorders>
            <w:shd w:val="clear" w:color="000000" w:fill="D8D8D8"/>
            <w:noWrap/>
            <w:hideMark/>
          </w:tcPr>
          <w:p w14:paraId="5253E7D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26" w:history="1">
              <w:r w:rsidR="009B2D79" w:rsidRPr="009B2D79">
                <w:rPr>
                  <w:rFonts w:ascii="Calibri" w:hAnsi="Calibri" w:cs="Calibri"/>
                  <w:color w:val="0563C1"/>
                  <w:sz w:val="16"/>
                  <w:szCs w:val="16"/>
                  <w:u w:val="single"/>
                  <w:lang w:val="en-GB" w:eastAsia="en-GB"/>
                </w:rPr>
                <w:t xml:space="preserve">szaitra@gmail.com </w:t>
              </w:r>
            </w:hyperlink>
          </w:p>
        </w:tc>
      </w:tr>
      <w:tr w:rsidR="009B2D79" w:rsidRPr="009B2D79" w14:paraId="28AA7DA9" w14:textId="77777777" w:rsidTr="009B2D79">
        <w:trPr>
          <w:trHeight w:val="312"/>
        </w:trPr>
        <w:tc>
          <w:tcPr>
            <w:tcW w:w="858" w:type="dxa"/>
            <w:vMerge/>
            <w:tcBorders>
              <w:top w:val="nil"/>
              <w:left w:val="single" w:sz="4" w:space="0" w:color="auto"/>
              <w:bottom w:val="single" w:sz="4" w:space="0" w:color="000000"/>
              <w:right w:val="single" w:sz="4" w:space="0" w:color="auto"/>
            </w:tcBorders>
            <w:vAlign w:val="center"/>
            <w:hideMark/>
          </w:tcPr>
          <w:p w14:paraId="4829283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DF978A9"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696D6B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Brandon Lundberg</w:t>
            </w:r>
          </w:p>
        </w:tc>
        <w:tc>
          <w:tcPr>
            <w:tcW w:w="2620" w:type="dxa"/>
            <w:gridSpan w:val="2"/>
            <w:tcBorders>
              <w:top w:val="nil"/>
              <w:left w:val="nil"/>
              <w:bottom w:val="single" w:sz="4" w:space="0" w:color="auto"/>
              <w:right w:val="single" w:sz="4" w:space="0" w:color="auto"/>
            </w:tcBorders>
            <w:shd w:val="clear" w:color="000000" w:fill="D8D8D8"/>
            <w:noWrap/>
            <w:hideMark/>
          </w:tcPr>
          <w:p w14:paraId="33B7225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PEFA Consultant</w:t>
            </w:r>
          </w:p>
        </w:tc>
        <w:tc>
          <w:tcPr>
            <w:tcW w:w="1361" w:type="dxa"/>
            <w:tcBorders>
              <w:top w:val="nil"/>
              <w:left w:val="nil"/>
              <w:bottom w:val="single" w:sz="4" w:space="0" w:color="auto"/>
              <w:right w:val="single" w:sz="4" w:space="0" w:color="auto"/>
            </w:tcBorders>
            <w:shd w:val="clear" w:color="000000" w:fill="D8D8D8"/>
            <w:noWrap/>
            <w:hideMark/>
          </w:tcPr>
          <w:p w14:paraId="13AD158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721EF504"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27" w:history="1">
              <w:r w:rsidR="009B2D79" w:rsidRPr="009B2D79">
                <w:rPr>
                  <w:rFonts w:ascii="Calibri" w:hAnsi="Calibri" w:cs="Calibri"/>
                  <w:color w:val="0563C1"/>
                  <w:sz w:val="16"/>
                  <w:szCs w:val="16"/>
                  <w:u w:val="single"/>
                  <w:lang w:val="en-GB" w:eastAsia="en-GB"/>
                </w:rPr>
                <w:t xml:space="preserve">brandon.lundberg@gmail.com </w:t>
              </w:r>
            </w:hyperlink>
          </w:p>
        </w:tc>
      </w:tr>
      <w:tr w:rsidR="009B2D79" w:rsidRPr="009B2D79" w14:paraId="18F64BF3" w14:textId="77777777" w:rsidTr="00CC2B5D">
        <w:trPr>
          <w:trHeight w:val="360"/>
        </w:trPr>
        <w:tc>
          <w:tcPr>
            <w:tcW w:w="858" w:type="dxa"/>
            <w:vMerge/>
            <w:tcBorders>
              <w:top w:val="nil"/>
              <w:left w:val="single" w:sz="4" w:space="0" w:color="auto"/>
              <w:bottom w:val="single" w:sz="4" w:space="0" w:color="000000"/>
              <w:right w:val="single" w:sz="4" w:space="0" w:color="auto"/>
            </w:tcBorders>
            <w:vAlign w:val="center"/>
            <w:hideMark/>
          </w:tcPr>
          <w:p w14:paraId="2FA382C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EDBEF1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670426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Saysanith Vongviengkham</w:t>
            </w:r>
          </w:p>
        </w:tc>
        <w:tc>
          <w:tcPr>
            <w:tcW w:w="2620" w:type="dxa"/>
            <w:gridSpan w:val="2"/>
            <w:tcBorders>
              <w:top w:val="nil"/>
              <w:left w:val="nil"/>
              <w:bottom w:val="single" w:sz="4" w:space="0" w:color="auto"/>
              <w:right w:val="single" w:sz="4" w:space="0" w:color="auto"/>
            </w:tcBorders>
            <w:shd w:val="clear" w:color="000000" w:fill="D8D8D8"/>
            <w:noWrap/>
            <w:hideMark/>
          </w:tcPr>
          <w:p w14:paraId="5BB0960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Public Sector Management Specialist </w:t>
            </w:r>
          </w:p>
        </w:tc>
        <w:tc>
          <w:tcPr>
            <w:tcW w:w="1361" w:type="dxa"/>
            <w:tcBorders>
              <w:top w:val="nil"/>
              <w:left w:val="nil"/>
              <w:bottom w:val="single" w:sz="4" w:space="0" w:color="auto"/>
              <w:right w:val="single" w:sz="4" w:space="0" w:color="auto"/>
            </w:tcBorders>
            <w:shd w:val="clear" w:color="000000" w:fill="D8D8D8"/>
            <w:noWrap/>
            <w:hideMark/>
          </w:tcPr>
          <w:p w14:paraId="20795DB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020 22205894</w:t>
            </w:r>
          </w:p>
        </w:tc>
        <w:tc>
          <w:tcPr>
            <w:tcW w:w="1644" w:type="dxa"/>
            <w:gridSpan w:val="2"/>
            <w:tcBorders>
              <w:top w:val="nil"/>
              <w:left w:val="nil"/>
              <w:bottom w:val="single" w:sz="4" w:space="0" w:color="auto"/>
              <w:right w:val="single" w:sz="4" w:space="0" w:color="auto"/>
            </w:tcBorders>
            <w:shd w:val="clear" w:color="000000" w:fill="D8D8D8"/>
            <w:noWrap/>
            <w:hideMark/>
          </w:tcPr>
          <w:p w14:paraId="6B0E26E0"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28" w:history="1">
              <w:r w:rsidR="009B2D79" w:rsidRPr="009B2D79">
                <w:rPr>
                  <w:rFonts w:ascii="Calibri" w:hAnsi="Calibri" w:cs="Calibri"/>
                  <w:color w:val="0563C1"/>
                  <w:sz w:val="16"/>
                  <w:szCs w:val="16"/>
                  <w:u w:val="single"/>
                  <w:lang w:val="en-GB" w:eastAsia="en-GB"/>
                </w:rPr>
                <w:t xml:space="preserve">svongviengkham@worldbank.org  </w:t>
              </w:r>
            </w:hyperlink>
          </w:p>
        </w:tc>
      </w:tr>
      <w:tr w:rsidR="009B2D79" w:rsidRPr="009B2D79" w14:paraId="14B156B9" w14:textId="77777777" w:rsidTr="00CC2B5D">
        <w:trPr>
          <w:trHeight w:val="360"/>
        </w:trPr>
        <w:tc>
          <w:tcPr>
            <w:tcW w:w="858" w:type="dxa"/>
            <w:vMerge/>
            <w:tcBorders>
              <w:top w:val="nil"/>
              <w:left w:val="single" w:sz="4" w:space="0" w:color="auto"/>
              <w:bottom w:val="single" w:sz="4" w:space="0" w:color="000000"/>
              <w:right w:val="single" w:sz="4" w:space="0" w:color="auto"/>
            </w:tcBorders>
            <w:vAlign w:val="center"/>
            <w:hideMark/>
          </w:tcPr>
          <w:p w14:paraId="3BCC6465"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B345C9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2D10E4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Fanny Weiner</w:t>
            </w:r>
          </w:p>
        </w:tc>
        <w:tc>
          <w:tcPr>
            <w:tcW w:w="2620" w:type="dxa"/>
            <w:gridSpan w:val="2"/>
            <w:tcBorders>
              <w:top w:val="nil"/>
              <w:left w:val="nil"/>
              <w:bottom w:val="single" w:sz="4" w:space="0" w:color="auto"/>
              <w:right w:val="single" w:sz="4" w:space="0" w:color="auto"/>
            </w:tcBorders>
            <w:shd w:val="clear" w:color="000000" w:fill="D8D8D8"/>
            <w:noWrap/>
            <w:hideMark/>
          </w:tcPr>
          <w:p w14:paraId="791CC80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Sr Public Sector Management Specialist </w:t>
            </w:r>
          </w:p>
        </w:tc>
        <w:tc>
          <w:tcPr>
            <w:tcW w:w="1361" w:type="dxa"/>
            <w:tcBorders>
              <w:top w:val="nil"/>
              <w:left w:val="nil"/>
              <w:bottom w:val="single" w:sz="4" w:space="0" w:color="auto"/>
              <w:right w:val="single" w:sz="4" w:space="0" w:color="auto"/>
            </w:tcBorders>
            <w:shd w:val="clear" w:color="000000" w:fill="D8D8D8"/>
            <w:noWrap/>
            <w:hideMark/>
          </w:tcPr>
          <w:p w14:paraId="60337EE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020 22221343</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32983837"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29" w:history="1">
              <w:r w:rsidR="009B2D79" w:rsidRPr="009B2D79">
                <w:rPr>
                  <w:rFonts w:ascii="Calibri" w:hAnsi="Calibri" w:cs="Calibri"/>
                  <w:color w:val="0563C1"/>
                  <w:sz w:val="16"/>
                  <w:szCs w:val="16"/>
                  <w:u w:val="single"/>
                  <w:lang w:val="en-GB" w:eastAsia="en-GB"/>
                </w:rPr>
                <w:t xml:space="preserve">fweiner@worldbank.org </w:t>
              </w:r>
            </w:hyperlink>
          </w:p>
        </w:tc>
      </w:tr>
      <w:tr w:rsidR="009B2D79" w:rsidRPr="009B2D79" w14:paraId="2CBE8D22" w14:textId="77777777" w:rsidTr="00CC2B5D">
        <w:trPr>
          <w:trHeight w:val="360"/>
        </w:trPr>
        <w:tc>
          <w:tcPr>
            <w:tcW w:w="858" w:type="dxa"/>
            <w:vMerge/>
            <w:tcBorders>
              <w:top w:val="nil"/>
              <w:left w:val="single" w:sz="4" w:space="0" w:color="auto"/>
              <w:bottom w:val="single" w:sz="4" w:space="0" w:color="000000"/>
              <w:right w:val="single" w:sz="4" w:space="0" w:color="auto"/>
            </w:tcBorders>
            <w:vAlign w:val="center"/>
            <w:hideMark/>
          </w:tcPr>
          <w:p w14:paraId="7258A848"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4E3CD16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0E3986E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Siriphone Vanitsaveth</w:t>
            </w:r>
          </w:p>
        </w:tc>
        <w:tc>
          <w:tcPr>
            <w:tcW w:w="2620" w:type="dxa"/>
            <w:gridSpan w:val="2"/>
            <w:tcBorders>
              <w:top w:val="nil"/>
              <w:left w:val="nil"/>
              <w:bottom w:val="single" w:sz="4" w:space="0" w:color="auto"/>
              <w:right w:val="single" w:sz="4" w:space="0" w:color="auto"/>
            </w:tcBorders>
            <w:shd w:val="clear" w:color="000000" w:fill="D8D8D8"/>
            <w:hideMark/>
          </w:tcPr>
          <w:p w14:paraId="4FFA024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Finance Management Specialist</w:t>
            </w:r>
          </w:p>
        </w:tc>
        <w:tc>
          <w:tcPr>
            <w:tcW w:w="1361" w:type="dxa"/>
            <w:tcBorders>
              <w:top w:val="nil"/>
              <w:left w:val="nil"/>
              <w:bottom w:val="single" w:sz="4" w:space="0" w:color="auto"/>
              <w:right w:val="single" w:sz="4" w:space="0" w:color="auto"/>
            </w:tcBorders>
            <w:shd w:val="clear" w:color="000000" w:fill="D8D8D8"/>
            <w:hideMark/>
          </w:tcPr>
          <w:p w14:paraId="4535F88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020 22221354</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428CC06A"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0" w:history="1">
              <w:r w:rsidR="009B2D79" w:rsidRPr="009B2D79">
                <w:rPr>
                  <w:rFonts w:ascii="Calibri" w:hAnsi="Calibri" w:cs="Calibri"/>
                  <w:color w:val="0563C1"/>
                  <w:sz w:val="16"/>
                  <w:szCs w:val="16"/>
                  <w:u w:val="single"/>
                  <w:lang w:val="en-GB" w:eastAsia="en-GB"/>
                </w:rPr>
                <w:t xml:space="preserve">svanitsaveth@worldbank.org </w:t>
              </w:r>
            </w:hyperlink>
          </w:p>
        </w:tc>
      </w:tr>
      <w:tr w:rsidR="009B2D79" w:rsidRPr="009B2D79" w14:paraId="6927267B" w14:textId="77777777" w:rsidTr="009B2D79">
        <w:trPr>
          <w:trHeight w:val="289"/>
        </w:trPr>
        <w:tc>
          <w:tcPr>
            <w:tcW w:w="858" w:type="dxa"/>
            <w:vMerge/>
            <w:tcBorders>
              <w:top w:val="nil"/>
              <w:left w:val="single" w:sz="4" w:space="0" w:color="auto"/>
              <w:bottom w:val="single" w:sz="4" w:space="0" w:color="000000"/>
              <w:right w:val="single" w:sz="4" w:space="0" w:color="auto"/>
            </w:tcBorders>
            <w:vAlign w:val="center"/>
            <w:hideMark/>
          </w:tcPr>
          <w:p w14:paraId="2539170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1A358B44"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32C5EC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Duangpanya Volavong</w:t>
            </w:r>
          </w:p>
        </w:tc>
        <w:tc>
          <w:tcPr>
            <w:tcW w:w="2620" w:type="dxa"/>
            <w:gridSpan w:val="2"/>
            <w:tcBorders>
              <w:top w:val="nil"/>
              <w:left w:val="nil"/>
              <w:bottom w:val="single" w:sz="4" w:space="0" w:color="auto"/>
              <w:right w:val="single" w:sz="4" w:space="0" w:color="auto"/>
            </w:tcBorders>
            <w:shd w:val="clear" w:color="000000" w:fill="D8D8D8"/>
            <w:noWrap/>
            <w:hideMark/>
          </w:tcPr>
          <w:p w14:paraId="283C150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Consultant</w:t>
            </w:r>
          </w:p>
        </w:tc>
        <w:tc>
          <w:tcPr>
            <w:tcW w:w="1361" w:type="dxa"/>
            <w:tcBorders>
              <w:top w:val="nil"/>
              <w:left w:val="nil"/>
              <w:bottom w:val="single" w:sz="4" w:space="0" w:color="auto"/>
              <w:right w:val="single" w:sz="4" w:space="0" w:color="auto"/>
            </w:tcBorders>
            <w:shd w:val="clear" w:color="000000" w:fill="D8D8D8"/>
            <w:noWrap/>
            <w:hideMark/>
          </w:tcPr>
          <w:p w14:paraId="23FEFA7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020 22211290</w:t>
            </w:r>
          </w:p>
        </w:tc>
        <w:tc>
          <w:tcPr>
            <w:tcW w:w="1644" w:type="dxa"/>
            <w:gridSpan w:val="2"/>
            <w:tcBorders>
              <w:top w:val="nil"/>
              <w:left w:val="nil"/>
              <w:bottom w:val="single" w:sz="4" w:space="0" w:color="auto"/>
              <w:right w:val="single" w:sz="4" w:space="0" w:color="auto"/>
            </w:tcBorders>
            <w:shd w:val="clear" w:color="000000" w:fill="D8D8D8"/>
            <w:noWrap/>
            <w:hideMark/>
          </w:tcPr>
          <w:p w14:paraId="07DA9F8A"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1" w:history="1">
              <w:r w:rsidR="009B2D79" w:rsidRPr="009B2D79">
                <w:rPr>
                  <w:rFonts w:ascii="Calibri" w:hAnsi="Calibri" w:cs="Calibri"/>
                  <w:color w:val="0563C1"/>
                  <w:sz w:val="16"/>
                  <w:szCs w:val="16"/>
                  <w:u w:val="single"/>
                  <w:lang w:val="en-GB" w:eastAsia="en-GB"/>
                </w:rPr>
                <w:t xml:space="preserve">apelaos@gmail.com </w:t>
              </w:r>
            </w:hyperlink>
          </w:p>
        </w:tc>
      </w:tr>
      <w:tr w:rsidR="009B2D79" w:rsidRPr="009B2D79" w14:paraId="3046857C" w14:textId="77777777" w:rsidTr="009B2D79">
        <w:trPr>
          <w:trHeight w:val="289"/>
        </w:trPr>
        <w:tc>
          <w:tcPr>
            <w:tcW w:w="858" w:type="dxa"/>
            <w:vMerge/>
            <w:tcBorders>
              <w:top w:val="nil"/>
              <w:left w:val="single" w:sz="4" w:space="0" w:color="auto"/>
              <w:bottom w:val="single" w:sz="4" w:space="0" w:color="000000"/>
              <w:right w:val="single" w:sz="4" w:space="0" w:color="auto"/>
            </w:tcBorders>
            <w:vAlign w:val="center"/>
            <w:hideMark/>
          </w:tcPr>
          <w:p w14:paraId="1DFC231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CDBCE9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792A7B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Konesawang Nghardsaysone</w:t>
            </w:r>
          </w:p>
        </w:tc>
        <w:tc>
          <w:tcPr>
            <w:tcW w:w="2620" w:type="dxa"/>
            <w:gridSpan w:val="2"/>
            <w:tcBorders>
              <w:top w:val="nil"/>
              <w:left w:val="nil"/>
              <w:bottom w:val="single" w:sz="4" w:space="0" w:color="auto"/>
              <w:right w:val="single" w:sz="4" w:space="0" w:color="auto"/>
            </w:tcBorders>
            <w:shd w:val="clear" w:color="000000" w:fill="D8D8D8"/>
            <w:noWrap/>
            <w:hideMark/>
          </w:tcPr>
          <w:p w14:paraId="6038FE5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Economist </w:t>
            </w:r>
          </w:p>
        </w:tc>
        <w:tc>
          <w:tcPr>
            <w:tcW w:w="1361" w:type="dxa"/>
            <w:tcBorders>
              <w:top w:val="nil"/>
              <w:left w:val="nil"/>
              <w:bottom w:val="single" w:sz="4" w:space="0" w:color="auto"/>
              <w:right w:val="single" w:sz="4" w:space="0" w:color="auto"/>
            </w:tcBorders>
            <w:shd w:val="clear" w:color="000000" w:fill="D8D8D8"/>
            <w:noWrap/>
            <w:hideMark/>
          </w:tcPr>
          <w:p w14:paraId="0582D1F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020 22221349</w:t>
            </w:r>
          </w:p>
        </w:tc>
        <w:tc>
          <w:tcPr>
            <w:tcW w:w="1644" w:type="dxa"/>
            <w:gridSpan w:val="2"/>
            <w:tcBorders>
              <w:top w:val="nil"/>
              <w:left w:val="nil"/>
              <w:bottom w:val="single" w:sz="4" w:space="0" w:color="auto"/>
              <w:right w:val="single" w:sz="4" w:space="0" w:color="auto"/>
            </w:tcBorders>
            <w:shd w:val="clear" w:color="000000" w:fill="D8D8D8"/>
            <w:noWrap/>
            <w:hideMark/>
          </w:tcPr>
          <w:p w14:paraId="06BD893C"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2" w:history="1">
              <w:r w:rsidR="009B2D79" w:rsidRPr="009B2D79">
                <w:rPr>
                  <w:rFonts w:ascii="Calibri" w:hAnsi="Calibri" w:cs="Calibri"/>
                  <w:color w:val="0563C1"/>
                  <w:sz w:val="16"/>
                  <w:szCs w:val="16"/>
                  <w:u w:val="single"/>
                  <w:lang w:val="en-GB" w:eastAsia="en-GB"/>
                </w:rPr>
                <w:t>knghardsaysone@worldbank.org</w:t>
              </w:r>
            </w:hyperlink>
          </w:p>
        </w:tc>
      </w:tr>
      <w:tr w:rsidR="009B2D79" w:rsidRPr="009B2D79" w14:paraId="6CA59A89" w14:textId="77777777" w:rsidTr="009B2D79">
        <w:trPr>
          <w:trHeight w:val="289"/>
        </w:trPr>
        <w:tc>
          <w:tcPr>
            <w:tcW w:w="858" w:type="dxa"/>
            <w:vMerge/>
            <w:tcBorders>
              <w:top w:val="nil"/>
              <w:left w:val="single" w:sz="4" w:space="0" w:color="auto"/>
              <w:bottom w:val="single" w:sz="4" w:space="0" w:color="000000"/>
              <w:right w:val="single" w:sz="4" w:space="0" w:color="auto"/>
            </w:tcBorders>
            <w:vAlign w:val="center"/>
            <w:hideMark/>
          </w:tcPr>
          <w:p w14:paraId="1C7BB2D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0890FA4"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529D42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Viengmala Phomsengsavanh</w:t>
            </w:r>
          </w:p>
        </w:tc>
        <w:tc>
          <w:tcPr>
            <w:tcW w:w="2620" w:type="dxa"/>
            <w:gridSpan w:val="2"/>
            <w:tcBorders>
              <w:top w:val="nil"/>
              <w:left w:val="nil"/>
              <w:bottom w:val="single" w:sz="4" w:space="0" w:color="auto"/>
              <w:right w:val="single" w:sz="4" w:space="0" w:color="auto"/>
            </w:tcBorders>
            <w:shd w:val="clear" w:color="000000" w:fill="D8D8D8"/>
            <w:noWrap/>
            <w:hideMark/>
          </w:tcPr>
          <w:p w14:paraId="20BBCFC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Consultant</w:t>
            </w:r>
          </w:p>
        </w:tc>
        <w:tc>
          <w:tcPr>
            <w:tcW w:w="1361" w:type="dxa"/>
            <w:tcBorders>
              <w:top w:val="nil"/>
              <w:left w:val="nil"/>
              <w:bottom w:val="single" w:sz="4" w:space="0" w:color="auto"/>
              <w:right w:val="single" w:sz="4" w:space="0" w:color="auto"/>
            </w:tcBorders>
            <w:shd w:val="clear" w:color="000000" w:fill="D8D8D8"/>
            <w:noWrap/>
            <w:hideMark/>
          </w:tcPr>
          <w:p w14:paraId="601DE9D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020 55022772</w:t>
            </w:r>
          </w:p>
        </w:tc>
        <w:tc>
          <w:tcPr>
            <w:tcW w:w="1644" w:type="dxa"/>
            <w:gridSpan w:val="2"/>
            <w:tcBorders>
              <w:top w:val="nil"/>
              <w:left w:val="nil"/>
              <w:bottom w:val="single" w:sz="4" w:space="0" w:color="auto"/>
              <w:right w:val="single" w:sz="4" w:space="0" w:color="auto"/>
            </w:tcBorders>
            <w:shd w:val="clear" w:color="000000" w:fill="D8D8D8"/>
            <w:noWrap/>
            <w:hideMark/>
          </w:tcPr>
          <w:p w14:paraId="769FD46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3" w:history="1">
              <w:r w:rsidR="009B2D79" w:rsidRPr="009B2D79">
                <w:rPr>
                  <w:rFonts w:ascii="Calibri" w:hAnsi="Calibri" w:cs="Calibri"/>
                  <w:color w:val="0563C1"/>
                  <w:sz w:val="16"/>
                  <w:szCs w:val="16"/>
                  <w:u w:val="single"/>
                  <w:lang w:val="en-GB" w:eastAsia="en-GB"/>
                </w:rPr>
                <w:t xml:space="preserve">vphomsengsavanh@worldbank.org </w:t>
              </w:r>
            </w:hyperlink>
          </w:p>
        </w:tc>
      </w:tr>
      <w:tr w:rsidR="009B2D79" w:rsidRPr="009B2D79" w14:paraId="1E1985DA" w14:textId="77777777" w:rsidTr="009B2D79">
        <w:trPr>
          <w:trHeight w:val="630"/>
        </w:trPr>
        <w:tc>
          <w:tcPr>
            <w:tcW w:w="858" w:type="dxa"/>
            <w:vMerge/>
            <w:tcBorders>
              <w:top w:val="nil"/>
              <w:left w:val="single" w:sz="4" w:space="0" w:color="auto"/>
              <w:bottom w:val="single" w:sz="4" w:space="0" w:color="000000"/>
              <w:right w:val="single" w:sz="4" w:space="0" w:color="auto"/>
            </w:tcBorders>
            <w:vAlign w:val="center"/>
            <w:hideMark/>
          </w:tcPr>
          <w:p w14:paraId="28266F7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58FA94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535F1D8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Maxwell Bruku Dapaah</w:t>
            </w:r>
          </w:p>
        </w:tc>
        <w:tc>
          <w:tcPr>
            <w:tcW w:w="2620" w:type="dxa"/>
            <w:gridSpan w:val="2"/>
            <w:tcBorders>
              <w:top w:val="nil"/>
              <w:left w:val="nil"/>
              <w:bottom w:val="single" w:sz="4" w:space="0" w:color="auto"/>
              <w:right w:val="single" w:sz="4" w:space="0" w:color="auto"/>
            </w:tcBorders>
            <w:shd w:val="clear" w:color="000000" w:fill="D8D8D8"/>
            <w:hideMark/>
          </w:tcPr>
          <w:p w14:paraId="02FDB2F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Sr Financial Management Specialist, GGOES</w:t>
            </w:r>
          </w:p>
        </w:tc>
        <w:tc>
          <w:tcPr>
            <w:tcW w:w="1361" w:type="dxa"/>
            <w:tcBorders>
              <w:top w:val="nil"/>
              <w:left w:val="nil"/>
              <w:bottom w:val="single" w:sz="4" w:space="0" w:color="auto"/>
              <w:right w:val="single" w:sz="4" w:space="0" w:color="auto"/>
            </w:tcBorders>
            <w:shd w:val="clear" w:color="000000" w:fill="D8D8D8"/>
            <w:hideMark/>
          </w:tcPr>
          <w:p w14:paraId="59C79A8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+1 (703) 3443233</w:t>
            </w:r>
          </w:p>
        </w:tc>
        <w:tc>
          <w:tcPr>
            <w:tcW w:w="1644" w:type="dxa"/>
            <w:gridSpan w:val="2"/>
            <w:tcBorders>
              <w:top w:val="nil"/>
              <w:left w:val="nil"/>
              <w:bottom w:val="single" w:sz="4" w:space="0" w:color="auto"/>
              <w:right w:val="single" w:sz="4" w:space="0" w:color="auto"/>
            </w:tcBorders>
            <w:shd w:val="clear" w:color="000000" w:fill="D8D8D8"/>
            <w:noWrap/>
            <w:hideMark/>
          </w:tcPr>
          <w:p w14:paraId="597FFCFE"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4" w:history="1">
              <w:r w:rsidR="009B2D79" w:rsidRPr="009B2D79">
                <w:rPr>
                  <w:rFonts w:ascii="Calibri" w:hAnsi="Calibri" w:cs="Calibri"/>
                  <w:color w:val="0563C1"/>
                  <w:sz w:val="16"/>
                  <w:szCs w:val="16"/>
                  <w:u w:val="single"/>
                  <w:lang w:val="en-GB" w:eastAsia="en-GB"/>
                </w:rPr>
                <w:t>mdapaah@worldbank.org</w:t>
              </w:r>
            </w:hyperlink>
          </w:p>
        </w:tc>
      </w:tr>
      <w:tr w:rsidR="009B2D79" w:rsidRPr="009B2D79" w14:paraId="73D5AAB5" w14:textId="77777777" w:rsidTr="009B2D79">
        <w:trPr>
          <w:trHeight w:val="315"/>
        </w:trPr>
        <w:tc>
          <w:tcPr>
            <w:tcW w:w="858" w:type="dxa"/>
            <w:vMerge w:val="restart"/>
            <w:tcBorders>
              <w:top w:val="nil"/>
              <w:left w:val="single" w:sz="4" w:space="0" w:color="auto"/>
              <w:bottom w:val="single" w:sz="4" w:space="0" w:color="000000"/>
              <w:right w:val="single" w:sz="4" w:space="0" w:color="auto"/>
            </w:tcBorders>
            <w:shd w:val="clear" w:color="000000" w:fill="B3C6E7"/>
            <w:hideMark/>
          </w:tcPr>
          <w:p w14:paraId="5430AD0C"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EU</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6A6B8FAE"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774" w:type="dxa"/>
            <w:gridSpan w:val="2"/>
            <w:tcBorders>
              <w:top w:val="nil"/>
              <w:left w:val="nil"/>
              <w:bottom w:val="single" w:sz="4" w:space="0" w:color="auto"/>
              <w:right w:val="single" w:sz="4" w:space="0" w:color="auto"/>
            </w:tcBorders>
            <w:shd w:val="clear" w:color="000000" w:fill="D8D8D8"/>
            <w:hideMark/>
          </w:tcPr>
          <w:p w14:paraId="3B73FCC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Mr. Bryan FORNARI</w:t>
            </w:r>
          </w:p>
        </w:tc>
        <w:tc>
          <w:tcPr>
            <w:tcW w:w="2620" w:type="dxa"/>
            <w:gridSpan w:val="2"/>
            <w:tcBorders>
              <w:top w:val="nil"/>
              <w:left w:val="nil"/>
              <w:bottom w:val="single" w:sz="4" w:space="0" w:color="auto"/>
              <w:right w:val="single" w:sz="4" w:space="0" w:color="auto"/>
            </w:tcBorders>
            <w:shd w:val="clear" w:color="000000" w:fill="D8D8D8"/>
            <w:hideMark/>
          </w:tcPr>
          <w:p w14:paraId="6BB412D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Head of Cooperation</w:t>
            </w:r>
          </w:p>
        </w:tc>
        <w:tc>
          <w:tcPr>
            <w:tcW w:w="1361" w:type="dxa"/>
            <w:tcBorders>
              <w:top w:val="nil"/>
              <w:left w:val="nil"/>
              <w:bottom w:val="single" w:sz="4" w:space="0" w:color="auto"/>
              <w:right w:val="single" w:sz="4" w:space="0" w:color="auto"/>
            </w:tcBorders>
            <w:shd w:val="clear" w:color="000000" w:fill="D8D8D8"/>
            <w:hideMark/>
          </w:tcPr>
          <w:p w14:paraId="76447C3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020 54267853</w:t>
            </w:r>
          </w:p>
        </w:tc>
        <w:tc>
          <w:tcPr>
            <w:tcW w:w="1644" w:type="dxa"/>
            <w:gridSpan w:val="2"/>
            <w:tcBorders>
              <w:top w:val="nil"/>
              <w:left w:val="nil"/>
              <w:bottom w:val="single" w:sz="4" w:space="0" w:color="auto"/>
              <w:right w:val="single" w:sz="4" w:space="0" w:color="auto"/>
            </w:tcBorders>
            <w:shd w:val="clear" w:color="000000" w:fill="D8D8D8"/>
            <w:noWrap/>
            <w:hideMark/>
          </w:tcPr>
          <w:p w14:paraId="3C5DC18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BD597E3" w14:textId="77777777" w:rsidTr="009B2D79">
        <w:trPr>
          <w:trHeight w:val="342"/>
        </w:trPr>
        <w:tc>
          <w:tcPr>
            <w:tcW w:w="858" w:type="dxa"/>
            <w:vMerge/>
            <w:tcBorders>
              <w:top w:val="nil"/>
              <w:left w:val="single" w:sz="4" w:space="0" w:color="auto"/>
              <w:bottom w:val="single" w:sz="4" w:space="0" w:color="000000"/>
              <w:right w:val="single" w:sz="4" w:space="0" w:color="auto"/>
            </w:tcBorders>
            <w:vAlign w:val="center"/>
            <w:hideMark/>
          </w:tcPr>
          <w:p w14:paraId="6702E61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75415EB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67DB56F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Julianna HYJEK </w:t>
            </w:r>
          </w:p>
        </w:tc>
        <w:tc>
          <w:tcPr>
            <w:tcW w:w="2620" w:type="dxa"/>
            <w:gridSpan w:val="2"/>
            <w:tcBorders>
              <w:top w:val="nil"/>
              <w:left w:val="nil"/>
              <w:bottom w:val="single" w:sz="4" w:space="0" w:color="auto"/>
              <w:right w:val="single" w:sz="4" w:space="0" w:color="auto"/>
            </w:tcBorders>
            <w:shd w:val="clear" w:color="000000" w:fill="D8D8D8"/>
            <w:hideMark/>
          </w:tcPr>
          <w:p w14:paraId="64A41C7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Attaché </w:t>
            </w:r>
          </w:p>
        </w:tc>
        <w:tc>
          <w:tcPr>
            <w:tcW w:w="1361" w:type="dxa"/>
            <w:tcBorders>
              <w:top w:val="nil"/>
              <w:left w:val="nil"/>
              <w:bottom w:val="single" w:sz="4" w:space="0" w:color="auto"/>
              <w:right w:val="single" w:sz="4" w:space="0" w:color="auto"/>
            </w:tcBorders>
            <w:shd w:val="clear" w:color="000000" w:fill="D8D8D8"/>
            <w:noWrap/>
            <w:hideMark/>
          </w:tcPr>
          <w:p w14:paraId="06E5002A" w14:textId="77777777" w:rsidR="009B2D79" w:rsidRPr="009B2D79" w:rsidRDefault="009B2D79" w:rsidP="009B2D79">
            <w:pPr>
              <w:spacing w:before="0"/>
              <w:ind w:left="0"/>
              <w:jc w:val="left"/>
              <w:rPr>
                <w:rFonts w:ascii="Calibri" w:hAnsi="Calibri" w:cs="Calibri"/>
                <w:color w:val="000000"/>
                <w:sz w:val="16"/>
                <w:szCs w:val="16"/>
                <w:lang w:val="en-GB" w:eastAsia="en-GB"/>
              </w:rPr>
            </w:pPr>
            <w:r w:rsidRPr="009B2D79">
              <w:rPr>
                <w:rFonts w:ascii="Calibri" w:hAnsi="Calibri" w:cs="Calibri"/>
                <w:color w:val="000000"/>
                <w:sz w:val="16"/>
                <w:szCs w:val="16"/>
                <w:lang w:val="en-GB" w:eastAsia="en-GB"/>
              </w:rPr>
              <w:t>n/a</w:t>
            </w:r>
          </w:p>
        </w:tc>
        <w:tc>
          <w:tcPr>
            <w:tcW w:w="1644" w:type="dxa"/>
            <w:gridSpan w:val="2"/>
            <w:tcBorders>
              <w:top w:val="nil"/>
              <w:left w:val="nil"/>
              <w:bottom w:val="single" w:sz="4" w:space="0" w:color="auto"/>
              <w:right w:val="single" w:sz="4" w:space="0" w:color="auto"/>
            </w:tcBorders>
            <w:shd w:val="clear" w:color="000000" w:fill="D8D8D8"/>
            <w:noWrap/>
            <w:hideMark/>
          </w:tcPr>
          <w:p w14:paraId="1A43F33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she left the country</w:t>
            </w:r>
          </w:p>
        </w:tc>
      </w:tr>
      <w:tr w:rsidR="009B2D79" w:rsidRPr="009B2D79" w14:paraId="7D393BA9" w14:textId="77777777" w:rsidTr="009B2D79">
        <w:trPr>
          <w:trHeight w:val="315"/>
        </w:trPr>
        <w:tc>
          <w:tcPr>
            <w:tcW w:w="858" w:type="dxa"/>
            <w:vMerge w:val="restart"/>
            <w:tcBorders>
              <w:top w:val="nil"/>
              <w:left w:val="single" w:sz="4" w:space="0" w:color="auto"/>
              <w:bottom w:val="single" w:sz="4" w:space="0" w:color="000000"/>
              <w:right w:val="single" w:sz="4" w:space="0" w:color="auto"/>
            </w:tcBorders>
            <w:shd w:val="clear" w:color="000000" w:fill="B3C6E7"/>
            <w:hideMark/>
          </w:tcPr>
          <w:p w14:paraId="0C30A753"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ADB</w:t>
            </w: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14:paraId="418FD60C"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774" w:type="dxa"/>
            <w:gridSpan w:val="2"/>
            <w:tcBorders>
              <w:top w:val="nil"/>
              <w:left w:val="nil"/>
              <w:bottom w:val="single" w:sz="4" w:space="0" w:color="auto"/>
              <w:right w:val="single" w:sz="4" w:space="0" w:color="auto"/>
            </w:tcBorders>
            <w:shd w:val="clear" w:color="000000" w:fill="D8D8D8"/>
            <w:noWrap/>
            <w:hideMark/>
          </w:tcPr>
          <w:p w14:paraId="46135B5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Rattanatay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Luanglatbandith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FA4997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Public Management Specialist</w:t>
            </w:r>
          </w:p>
        </w:tc>
        <w:tc>
          <w:tcPr>
            <w:tcW w:w="1361" w:type="dxa"/>
            <w:tcBorders>
              <w:top w:val="nil"/>
              <w:left w:val="nil"/>
              <w:bottom w:val="single" w:sz="4" w:space="0" w:color="auto"/>
              <w:right w:val="single" w:sz="4" w:space="0" w:color="auto"/>
            </w:tcBorders>
            <w:shd w:val="clear" w:color="000000" w:fill="D8D8D8"/>
            <w:noWrap/>
            <w:hideMark/>
          </w:tcPr>
          <w:p w14:paraId="18A010D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4FB210B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A8D14FC"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17B2BF27"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3F5BFF4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75D24E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Soulinthone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Leuangkhamsing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B5D912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Senior Economic Officer</w:t>
            </w:r>
          </w:p>
        </w:tc>
        <w:tc>
          <w:tcPr>
            <w:tcW w:w="1361" w:type="dxa"/>
            <w:tcBorders>
              <w:top w:val="nil"/>
              <w:left w:val="nil"/>
              <w:bottom w:val="single" w:sz="4" w:space="0" w:color="auto"/>
              <w:right w:val="single" w:sz="4" w:space="0" w:color="auto"/>
            </w:tcBorders>
            <w:shd w:val="clear" w:color="000000" w:fill="D8D8D8"/>
            <w:noWrap/>
            <w:hideMark/>
          </w:tcPr>
          <w:p w14:paraId="2F9659D7"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6014A53"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5" w:history="1">
              <w:r w:rsidR="009B2D79" w:rsidRPr="009B2D79">
                <w:rPr>
                  <w:rFonts w:ascii="Calibri" w:hAnsi="Calibri" w:cs="Calibri"/>
                  <w:color w:val="0563C1"/>
                  <w:sz w:val="16"/>
                  <w:szCs w:val="16"/>
                  <w:u w:val="single"/>
                  <w:lang w:val="en-GB" w:eastAsia="en-GB"/>
                </w:rPr>
                <w:t>sleuangkhamsing@adb.org</w:t>
              </w:r>
            </w:hyperlink>
          </w:p>
        </w:tc>
      </w:tr>
      <w:tr w:rsidR="009B2D79" w:rsidRPr="009B2D79" w14:paraId="514BCBD9" w14:textId="77777777" w:rsidTr="009B2D79">
        <w:trPr>
          <w:trHeight w:val="315"/>
        </w:trPr>
        <w:tc>
          <w:tcPr>
            <w:tcW w:w="858" w:type="dxa"/>
            <w:tcBorders>
              <w:top w:val="nil"/>
              <w:left w:val="nil"/>
              <w:bottom w:val="nil"/>
              <w:right w:val="single" w:sz="4" w:space="0" w:color="auto"/>
            </w:tcBorders>
            <w:shd w:val="clear" w:color="000000" w:fill="B4C6E7"/>
            <w:hideMark/>
          </w:tcPr>
          <w:p w14:paraId="416B08A6"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xml:space="preserve">MOF </w:t>
            </w:r>
          </w:p>
        </w:tc>
        <w:tc>
          <w:tcPr>
            <w:tcW w:w="1276" w:type="dxa"/>
            <w:tcBorders>
              <w:top w:val="nil"/>
              <w:left w:val="nil"/>
              <w:bottom w:val="nil"/>
              <w:right w:val="single" w:sz="4" w:space="0" w:color="auto"/>
            </w:tcBorders>
            <w:shd w:val="clear" w:color="000000" w:fill="FFFFFF"/>
            <w:hideMark/>
          </w:tcPr>
          <w:p w14:paraId="4237A0DF"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Top Management</w:t>
            </w:r>
          </w:p>
        </w:tc>
        <w:tc>
          <w:tcPr>
            <w:tcW w:w="1774" w:type="dxa"/>
            <w:gridSpan w:val="2"/>
            <w:tcBorders>
              <w:top w:val="nil"/>
              <w:left w:val="nil"/>
              <w:bottom w:val="single" w:sz="4" w:space="0" w:color="auto"/>
              <w:right w:val="single" w:sz="4" w:space="0" w:color="auto"/>
            </w:tcBorders>
            <w:shd w:val="clear" w:color="000000" w:fill="D8D8D8"/>
            <w:hideMark/>
          </w:tcPr>
          <w:p w14:paraId="6B23594F"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Atsaphangthong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Siphandone</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462624C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Vice Minister </w:t>
            </w:r>
          </w:p>
        </w:tc>
        <w:tc>
          <w:tcPr>
            <w:tcW w:w="1361" w:type="dxa"/>
            <w:tcBorders>
              <w:top w:val="nil"/>
              <w:left w:val="nil"/>
              <w:bottom w:val="single" w:sz="4" w:space="0" w:color="auto"/>
              <w:right w:val="single" w:sz="4" w:space="0" w:color="auto"/>
            </w:tcBorders>
            <w:shd w:val="clear" w:color="000000" w:fill="D8D8D8"/>
            <w:hideMark/>
          </w:tcPr>
          <w:p w14:paraId="405DFAE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706E44A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2785A2D" w14:textId="77777777" w:rsidTr="009B2D79">
        <w:trPr>
          <w:trHeight w:val="342"/>
        </w:trPr>
        <w:tc>
          <w:tcPr>
            <w:tcW w:w="858" w:type="dxa"/>
            <w:tcBorders>
              <w:top w:val="nil"/>
              <w:left w:val="nil"/>
              <w:bottom w:val="nil"/>
              <w:right w:val="nil"/>
            </w:tcBorders>
            <w:shd w:val="clear" w:color="000000" w:fill="B4C6E7"/>
            <w:hideMark/>
          </w:tcPr>
          <w:p w14:paraId="63D82B4E"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7702499E"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Fiscal Policy and Law Department</w:t>
            </w:r>
          </w:p>
        </w:tc>
        <w:tc>
          <w:tcPr>
            <w:tcW w:w="1774" w:type="dxa"/>
            <w:gridSpan w:val="2"/>
            <w:tcBorders>
              <w:top w:val="nil"/>
              <w:left w:val="nil"/>
              <w:bottom w:val="single" w:sz="4" w:space="0" w:color="auto"/>
              <w:right w:val="single" w:sz="4" w:space="0" w:color="auto"/>
            </w:tcBorders>
            <w:shd w:val="clear" w:color="000000" w:fill="D8D8D8"/>
            <w:hideMark/>
          </w:tcPr>
          <w:p w14:paraId="2DCF1D06"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Bounleua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Sinxayvoravong</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7D9934E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General</w:t>
            </w:r>
          </w:p>
        </w:tc>
        <w:tc>
          <w:tcPr>
            <w:tcW w:w="1361" w:type="dxa"/>
            <w:tcBorders>
              <w:top w:val="nil"/>
              <w:left w:val="nil"/>
              <w:bottom w:val="single" w:sz="4" w:space="0" w:color="auto"/>
              <w:right w:val="single" w:sz="4" w:space="0" w:color="auto"/>
            </w:tcBorders>
            <w:shd w:val="clear" w:color="000000" w:fill="D8D8D8"/>
            <w:hideMark/>
          </w:tcPr>
          <w:p w14:paraId="7990B92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020 99262666</w:t>
            </w:r>
          </w:p>
        </w:tc>
        <w:tc>
          <w:tcPr>
            <w:tcW w:w="1644" w:type="dxa"/>
            <w:gridSpan w:val="2"/>
            <w:tcBorders>
              <w:top w:val="nil"/>
              <w:left w:val="nil"/>
              <w:bottom w:val="single" w:sz="4" w:space="0" w:color="auto"/>
              <w:right w:val="single" w:sz="4" w:space="0" w:color="auto"/>
            </w:tcBorders>
            <w:shd w:val="clear" w:color="000000" w:fill="D8D8D8"/>
            <w:noWrap/>
            <w:hideMark/>
          </w:tcPr>
          <w:p w14:paraId="401BB841"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6" w:history="1">
              <w:r w:rsidR="009B2D79" w:rsidRPr="009B2D79">
                <w:rPr>
                  <w:rFonts w:ascii="Calibri" w:hAnsi="Calibri" w:cs="Calibri"/>
                  <w:color w:val="0563C1"/>
                  <w:sz w:val="16"/>
                  <w:szCs w:val="16"/>
                  <w:u w:val="single"/>
                  <w:lang w:val="en-GB" w:eastAsia="en-GB"/>
                </w:rPr>
                <w:t>sbounleua@gmail.com</w:t>
              </w:r>
            </w:hyperlink>
          </w:p>
        </w:tc>
      </w:tr>
      <w:tr w:rsidR="009B2D79" w:rsidRPr="009B2D79" w14:paraId="33B48E0B" w14:textId="77777777" w:rsidTr="009B2D79">
        <w:trPr>
          <w:trHeight w:val="342"/>
        </w:trPr>
        <w:tc>
          <w:tcPr>
            <w:tcW w:w="858" w:type="dxa"/>
            <w:tcBorders>
              <w:top w:val="nil"/>
              <w:left w:val="nil"/>
              <w:bottom w:val="nil"/>
              <w:right w:val="nil"/>
            </w:tcBorders>
            <w:shd w:val="clear" w:color="000000" w:fill="B4C6E7"/>
            <w:hideMark/>
          </w:tcPr>
          <w:p w14:paraId="5E282B8A"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61B3A0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D8D264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Ms. Sifong Oumavong</w:t>
            </w:r>
          </w:p>
        </w:tc>
        <w:tc>
          <w:tcPr>
            <w:tcW w:w="2620" w:type="dxa"/>
            <w:gridSpan w:val="2"/>
            <w:tcBorders>
              <w:top w:val="nil"/>
              <w:left w:val="nil"/>
              <w:bottom w:val="single" w:sz="4" w:space="0" w:color="auto"/>
              <w:right w:val="single" w:sz="4" w:space="0" w:color="auto"/>
            </w:tcBorders>
            <w:shd w:val="clear" w:color="000000" w:fill="D8D8D8"/>
            <w:noWrap/>
            <w:hideMark/>
          </w:tcPr>
          <w:p w14:paraId="4B0283E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Macroeconomic &amp; Fiscal Policy Division</w:t>
            </w:r>
          </w:p>
        </w:tc>
        <w:tc>
          <w:tcPr>
            <w:tcW w:w="1361" w:type="dxa"/>
            <w:tcBorders>
              <w:top w:val="nil"/>
              <w:left w:val="nil"/>
              <w:bottom w:val="single" w:sz="4" w:space="0" w:color="auto"/>
              <w:right w:val="single" w:sz="4" w:space="0" w:color="auto"/>
            </w:tcBorders>
            <w:shd w:val="clear" w:color="000000" w:fill="D8D8D8"/>
            <w:noWrap/>
            <w:hideMark/>
          </w:tcPr>
          <w:p w14:paraId="3A8B166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020 58953595</w:t>
            </w:r>
          </w:p>
        </w:tc>
        <w:tc>
          <w:tcPr>
            <w:tcW w:w="1644" w:type="dxa"/>
            <w:gridSpan w:val="2"/>
            <w:tcBorders>
              <w:top w:val="nil"/>
              <w:left w:val="nil"/>
              <w:bottom w:val="single" w:sz="4" w:space="0" w:color="auto"/>
              <w:right w:val="single" w:sz="4" w:space="0" w:color="auto"/>
            </w:tcBorders>
            <w:shd w:val="clear" w:color="000000" w:fill="D8D8D8"/>
            <w:noWrap/>
            <w:hideMark/>
          </w:tcPr>
          <w:p w14:paraId="04E72CF6"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7" w:history="1">
              <w:r w:rsidR="009B2D79" w:rsidRPr="009B2D79">
                <w:rPr>
                  <w:rFonts w:ascii="Calibri" w:hAnsi="Calibri" w:cs="Calibri"/>
                  <w:color w:val="0563C1"/>
                  <w:sz w:val="16"/>
                  <w:szCs w:val="16"/>
                  <w:u w:val="single"/>
                  <w:lang w:val="en-GB" w:eastAsia="en-GB"/>
                </w:rPr>
                <w:t xml:space="preserve">sifong.oumavong@gmail.com </w:t>
              </w:r>
            </w:hyperlink>
          </w:p>
        </w:tc>
      </w:tr>
      <w:tr w:rsidR="009B2D79" w:rsidRPr="009B2D79" w14:paraId="043131F9" w14:textId="77777777" w:rsidTr="009B2D79">
        <w:trPr>
          <w:trHeight w:val="372"/>
        </w:trPr>
        <w:tc>
          <w:tcPr>
            <w:tcW w:w="858" w:type="dxa"/>
            <w:tcBorders>
              <w:top w:val="nil"/>
              <w:left w:val="nil"/>
              <w:bottom w:val="nil"/>
              <w:right w:val="nil"/>
            </w:tcBorders>
            <w:shd w:val="clear" w:color="000000" w:fill="B4C6E7"/>
            <w:hideMark/>
          </w:tcPr>
          <w:p w14:paraId="30BA0A13"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2138B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189BF1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Sinxay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Phetsavong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C73A8F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Macroeconomic &amp; Fiscal Policy Division</w:t>
            </w:r>
          </w:p>
        </w:tc>
        <w:tc>
          <w:tcPr>
            <w:tcW w:w="1361" w:type="dxa"/>
            <w:tcBorders>
              <w:top w:val="nil"/>
              <w:left w:val="nil"/>
              <w:bottom w:val="single" w:sz="4" w:space="0" w:color="auto"/>
              <w:right w:val="single" w:sz="4" w:space="0" w:color="auto"/>
            </w:tcBorders>
            <w:shd w:val="clear" w:color="000000" w:fill="D8D8D8"/>
            <w:noWrap/>
            <w:hideMark/>
          </w:tcPr>
          <w:p w14:paraId="6C25277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020 55895406</w:t>
            </w:r>
          </w:p>
        </w:tc>
        <w:tc>
          <w:tcPr>
            <w:tcW w:w="1644" w:type="dxa"/>
            <w:gridSpan w:val="2"/>
            <w:tcBorders>
              <w:top w:val="nil"/>
              <w:left w:val="nil"/>
              <w:bottom w:val="nil"/>
              <w:right w:val="nil"/>
            </w:tcBorders>
            <w:shd w:val="clear" w:color="000000" w:fill="D8D8D8"/>
            <w:noWrap/>
            <w:hideMark/>
          </w:tcPr>
          <w:p w14:paraId="68684BC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8" w:history="1">
              <w:r w:rsidR="009B2D79" w:rsidRPr="009B2D79">
                <w:rPr>
                  <w:rFonts w:ascii="Calibri" w:hAnsi="Calibri" w:cs="Calibri"/>
                  <w:color w:val="0563C1"/>
                  <w:sz w:val="16"/>
                  <w:szCs w:val="16"/>
                  <w:u w:val="single"/>
                  <w:lang w:val="en-GB" w:eastAsia="en-GB"/>
                </w:rPr>
                <w:t xml:space="preserve">sinxay2005@yahoo.com </w:t>
              </w:r>
            </w:hyperlink>
          </w:p>
        </w:tc>
      </w:tr>
      <w:tr w:rsidR="009B2D79" w:rsidRPr="009B2D79" w14:paraId="5AB41312" w14:textId="77777777" w:rsidTr="009B2D79">
        <w:trPr>
          <w:trHeight w:val="360"/>
        </w:trPr>
        <w:tc>
          <w:tcPr>
            <w:tcW w:w="858" w:type="dxa"/>
            <w:vMerge w:val="restart"/>
            <w:tcBorders>
              <w:top w:val="nil"/>
              <w:left w:val="nil"/>
              <w:bottom w:val="nil"/>
              <w:right w:val="nil"/>
            </w:tcBorders>
            <w:shd w:val="clear" w:color="000000" w:fill="B4C6E7"/>
            <w:hideMark/>
          </w:tcPr>
          <w:p w14:paraId="6E56D4E7"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4328BA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223F7C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Choummaly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Khammountry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8E682E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Revenue &amp; Expenditure Policy Division</w:t>
            </w:r>
          </w:p>
        </w:tc>
        <w:tc>
          <w:tcPr>
            <w:tcW w:w="1361" w:type="dxa"/>
            <w:tcBorders>
              <w:top w:val="nil"/>
              <w:left w:val="nil"/>
              <w:bottom w:val="single" w:sz="4" w:space="0" w:color="auto"/>
              <w:right w:val="single" w:sz="4" w:space="0" w:color="auto"/>
            </w:tcBorders>
            <w:shd w:val="clear" w:color="000000" w:fill="D8D8D8"/>
            <w:noWrap/>
            <w:hideMark/>
          </w:tcPr>
          <w:p w14:paraId="6E380B6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020 55620832</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771AD04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B513AFE" w14:textId="77777777" w:rsidTr="009B2D79">
        <w:trPr>
          <w:trHeight w:val="360"/>
        </w:trPr>
        <w:tc>
          <w:tcPr>
            <w:tcW w:w="858" w:type="dxa"/>
            <w:vMerge/>
            <w:tcBorders>
              <w:top w:val="nil"/>
              <w:left w:val="nil"/>
              <w:bottom w:val="nil"/>
              <w:right w:val="nil"/>
            </w:tcBorders>
            <w:vAlign w:val="center"/>
            <w:hideMark/>
          </w:tcPr>
          <w:p w14:paraId="494C821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726889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C51D39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Soulitham </w:t>
            </w:r>
            <w:proofErr w:type="spellStart"/>
            <w:r w:rsidRPr="009B2D79">
              <w:rPr>
                <w:rFonts w:ascii="Times New Roman" w:hAnsi="Times New Roman"/>
                <w:sz w:val="16"/>
                <w:szCs w:val="16"/>
                <w:lang w:val="en-GB" w:eastAsia="en-GB"/>
              </w:rPr>
              <w:t>Keopaseuth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A2FAC3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Legal Division</w:t>
            </w:r>
          </w:p>
        </w:tc>
        <w:tc>
          <w:tcPr>
            <w:tcW w:w="1361" w:type="dxa"/>
            <w:tcBorders>
              <w:top w:val="nil"/>
              <w:left w:val="nil"/>
              <w:bottom w:val="single" w:sz="4" w:space="0" w:color="auto"/>
              <w:right w:val="single" w:sz="4" w:space="0" w:color="auto"/>
            </w:tcBorders>
            <w:shd w:val="clear" w:color="000000" w:fill="D8D8D8"/>
            <w:noWrap/>
            <w:hideMark/>
          </w:tcPr>
          <w:p w14:paraId="01EF6C3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020 52878928</w:t>
            </w:r>
          </w:p>
        </w:tc>
        <w:tc>
          <w:tcPr>
            <w:tcW w:w="1644" w:type="dxa"/>
            <w:gridSpan w:val="2"/>
            <w:tcBorders>
              <w:top w:val="nil"/>
              <w:left w:val="nil"/>
              <w:bottom w:val="single" w:sz="4" w:space="0" w:color="auto"/>
              <w:right w:val="single" w:sz="4" w:space="0" w:color="auto"/>
            </w:tcBorders>
            <w:shd w:val="clear" w:color="000000" w:fill="D8D8D8"/>
            <w:noWrap/>
            <w:hideMark/>
          </w:tcPr>
          <w:p w14:paraId="59173B7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ACAA19A" w14:textId="77777777" w:rsidTr="009B2D79">
        <w:trPr>
          <w:trHeight w:val="360"/>
        </w:trPr>
        <w:tc>
          <w:tcPr>
            <w:tcW w:w="858" w:type="dxa"/>
            <w:vMerge/>
            <w:tcBorders>
              <w:top w:val="nil"/>
              <w:left w:val="nil"/>
              <w:bottom w:val="nil"/>
              <w:right w:val="nil"/>
            </w:tcBorders>
            <w:vAlign w:val="center"/>
            <w:hideMark/>
          </w:tcPr>
          <w:p w14:paraId="26510F4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EC4952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69BAC8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KeoAloun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Duangphachan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D366DF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Revenue and Expenditure Division</w:t>
            </w:r>
          </w:p>
        </w:tc>
        <w:tc>
          <w:tcPr>
            <w:tcW w:w="1361" w:type="dxa"/>
            <w:tcBorders>
              <w:top w:val="nil"/>
              <w:left w:val="nil"/>
              <w:bottom w:val="single" w:sz="4" w:space="0" w:color="auto"/>
              <w:right w:val="single" w:sz="4" w:space="0" w:color="auto"/>
            </w:tcBorders>
            <w:shd w:val="clear" w:color="000000" w:fill="D8D8D8"/>
            <w:noWrap/>
            <w:hideMark/>
          </w:tcPr>
          <w:p w14:paraId="6C257C0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020 99979565</w:t>
            </w:r>
          </w:p>
        </w:tc>
        <w:tc>
          <w:tcPr>
            <w:tcW w:w="1644" w:type="dxa"/>
            <w:gridSpan w:val="2"/>
            <w:tcBorders>
              <w:top w:val="nil"/>
              <w:left w:val="nil"/>
              <w:bottom w:val="single" w:sz="4" w:space="0" w:color="auto"/>
              <w:right w:val="single" w:sz="4" w:space="0" w:color="auto"/>
            </w:tcBorders>
            <w:shd w:val="clear" w:color="000000" w:fill="D8D8D8"/>
            <w:noWrap/>
            <w:hideMark/>
          </w:tcPr>
          <w:p w14:paraId="7514674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267A5BF" w14:textId="77777777" w:rsidTr="009B2D79">
        <w:trPr>
          <w:trHeight w:val="360"/>
        </w:trPr>
        <w:tc>
          <w:tcPr>
            <w:tcW w:w="858" w:type="dxa"/>
            <w:vMerge/>
            <w:tcBorders>
              <w:top w:val="nil"/>
              <w:left w:val="nil"/>
              <w:bottom w:val="nil"/>
              <w:right w:val="nil"/>
            </w:tcBorders>
            <w:vAlign w:val="center"/>
            <w:hideMark/>
          </w:tcPr>
          <w:p w14:paraId="3AA65B3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B058D9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3F15C06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Duangchay </w:t>
            </w:r>
            <w:proofErr w:type="spellStart"/>
            <w:r w:rsidRPr="009B2D79">
              <w:rPr>
                <w:rFonts w:ascii="Times New Roman" w:hAnsi="Times New Roman"/>
                <w:sz w:val="16"/>
                <w:szCs w:val="16"/>
                <w:lang w:val="en-GB" w:eastAsia="en-GB"/>
              </w:rPr>
              <w:t>Keomixay</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40842F5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Fiscal Statistic Division</w:t>
            </w:r>
          </w:p>
        </w:tc>
        <w:tc>
          <w:tcPr>
            <w:tcW w:w="1361" w:type="dxa"/>
            <w:tcBorders>
              <w:top w:val="nil"/>
              <w:left w:val="nil"/>
              <w:bottom w:val="single" w:sz="4" w:space="0" w:color="auto"/>
              <w:right w:val="single" w:sz="4" w:space="0" w:color="auto"/>
            </w:tcBorders>
            <w:shd w:val="clear" w:color="000000" w:fill="D8D8D8"/>
            <w:noWrap/>
            <w:hideMark/>
          </w:tcPr>
          <w:p w14:paraId="2A195F0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020 22225900</w:t>
            </w:r>
          </w:p>
        </w:tc>
        <w:tc>
          <w:tcPr>
            <w:tcW w:w="1644" w:type="dxa"/>
            <w:gridSpan w:val="2"/>
            <w:tcBorders>
              <w:top w:val="nil"/>
              <w:left w:val="nil"/>
              <w:bottom w:val="single" w:sz="4" w:space="0" w:color="auto"/>
              <w:right w:val="single" w:sz="4" w:space="0" w:color="auto"/>
            </w:tcBorders>
            <w:shd w:val="clear" w:color="000000" w:fill="D8D8D8"/>
            <w:hideMark/>
          </w:tcPr>
          <w:p w14:paraId="2A60108C"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39" w:history="1">
              <w:r w:rsidR="009B2D79" w:rsidRPr="009B2D79">
                <w:rPr>
                  <w:rFonts w:ascii="Calibri" w:hAnsi="Calibri" w:cs="Calibri"/>
                  <w:color w:val="0563C1"/>
                  <w:sz w:val="16"/>
                  <w:szCs w:val="16"/>
                  <w:u w:val="single"/>
                  <w:lang w:val="en-GB" w:eastAsia="en-GB"/>
                </w:rPr>
                <w:t>entduan@yahoo.com</w:t>
              </w:r>
            </w:hyperlink>
          </w:p>
        </w:tc>
      </w:tr>
      <w:tr w:rsidR="009B2D79" w:rsidRPr="009B2D79" w14:paraId="55E5CBE7" w14:textId="77777777" w:rsidTr="009B2D79">
        <w:trPr>
          <w:trHeight w:val="315"/>
        </w:trPr>
        <w:tc>
          <w:tcPr>
            <w:tcW w:w="858" w:type="dxa"/>
            <w:vMerge/>
            <w:tcBorders>
              <w:top w:val="nil"/>
              <w:left w:val="nil"/>
              <w:bottom w:val="nil"/>
              <w:right w:val="nil"/>
            </w:tcBorders>
            <w:vAlign w:val="center"/>
            <w:hideMark/>
          </w:tcPr>
          <w:p w14:paraId="1D4E76E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633CEE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6C94ADE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Phongsack</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Phonboun</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1EE1910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hideMark/>
          </w:tcPr>
          <w:p w14:paraId="4E848B7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020 22222621</w:t>
            </w:r>
          </w:p>
        </w:tc>
        <w:tc>
          <w:tcPr>
            <w:tcW w:w="1644" w:type="dxa"/>
            <w:gridSpan w:val="2"/>
            <w:tcBorders>
              <w:top w:val="nil"/>
              <w:left w:val="nil"/>
              <w:bottom w:val="single" w:sz="4" w:space="0" w:color="auto"/>
              <w:right w:val="single" w:sz="4" w:space="0" w:color="auto"/>
            </w:tcBorders>
            <w:shd w:val="clear" w:color="000000" w:fill="D8D8D8"/>
            <w:noWrap/>
            <w:hideMark/>
          </w:tcPr>
          <w:p w14:paraId="4DE7EFC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63D3080" w14:textId="77777777" w:rsidTr="009B2D79">
        <w:trPr>
          <w:trHeight w:val="342"/>
        </w:trPr>
        <w:tc>
          <w:tcPr>
            <w:tcW w:w="858" w:type="dxa"/>
            <w:vMerge/>
            <w:tcBorders>
              <w:top w:val="nil"/>
              <w:left w:val="nil"/>
              <w:bottom w:val="nil"/>
              <w:right w:val="nil"/>
            </w:tcBorders>
            <w:vAlign w:val="center"/>
            <w:hideMark/>
          </w:tcPr>
          <w:p w14:paraId="6BCC425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61B0E1B"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6F8E25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Vithanom </w:t>
            </w:r>
            <w:proofErr w:type="spellStart"/>
            <w:r w:rsidRPr="009B2D79">
              <w:rPr>
                <w:rFonts w:ascii="Times New Roman" w:hAnsi="Times New Roman"/>
                <w:sz w:val="16"/>
                <w:szCs w:val="16"/>
                <w:lang w:val="en-GB" w:eastAsia="en-GB"/>
              </w:rPr>
              <w:t>Keokhounsy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50F4CB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26FDE12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020 22222802</w:t>
            </w:r>
          </w:p>
        </w:tc>
        <w:tc>
          <w:tcPr>
            <w:tcW w:w="1644" w:type="dxa"/>
            <w:gridSpan w:val="2"/>
            <w:tcBorders>
              <w:top w:val="nil"/>
              <w:left w:val="nil"/>
              <w:bottom w:val="single" w:sz="4" w:space="0" w:color="auto"/>
              <w:right w:val="single" w:sz="4" w:space="0" w:color="auto"/>
            </w:tcBorders>
            <w:shd w:val="clear" w:color="000000" w:fill="D8D8D8"/>
            <w:noWrap/>
            <w:hideMark/>
          </w:tcPr>
          <w:p w14:paraId="74B3F14E"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0" w:history="1">
              <w:r w:rsidR="009B2D79" w:rsidRPr="009B2D79">
                <w:rPr>
                  <w:rFonts w:ascii="Calibri" w:hAnsi="Calibri" w:cs="Calibri"/>
                  <w:color w:val="0563C1"/>
                  <w:sz w:val="16"/>
                  <w:szCs w:val="16"/>
                  <w:u w:val="single"/>
                  <w:lang w:val="en-GB" w:eastAsia="en-GB"/>
                </w:rPr>
                <w:t>vithanom@gmail.com</w:t>
              </w:r>
            </w:hyperlink>
          </w:p>
        </w:tc>
      </w:tr>
      <w:tr w:rsidR="009B2D79" w:rsidRPr="009B2D79" w14:paraId="0863E723" w14:textId="77777777" w:rsidTr="009B2D79">
        <w:trPr>
          <w:trHeight w:val="342"/>
        </w:trPr>
        <w:tc>
          <w:tcPr>
            <w:tcW w:w="858" w:type="dxa"/>
            <w:vMerge/>
            <w:tcBorders>
              <w:top w:val="nil"/>
              <w:left w:val="nil"/>
              <w:bottom w:val="nil"/>
              <w:right w:val="nil"/>
            </w:tcBorders>
            <w:vAlign w:val="center"/>
            <w:hideMark/>
          </w:tcPr>
          <w:p w14:paraId="647A7F6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A75A71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E9925E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Somphone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Chandabout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450005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3C2AA36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020 77789500</w:t>
            </w:r>
          </w:p>
        </w:tc>
        <w:tc>
          <w:tcPr>
            <w:tcW w:w="1644" w:type="dxa"/>
            <w:gridSpan w:val="2"/>
            <w:tcBorders>
              <w:top w:val="nil"/>
              <w:left w:val="nil"/>
              <w:bottom w:val="single" w:sz="4" w:space="0" w:color="auto"/>
              <w:right w:val="single" w:sz="4" w:space="0" w:color="auto"/>
            </w:tcBorders>
            <w:shd w:val="clear" w:color="000000" w:fill="D8D8D8"/>
            <w:noWrap/>
            <w:hideMark/>
          </w:tcPr>
          <w:p w14:paraId="4ACBD2D4"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1" w:history="1">
              <w:r w:rsidR="009B2D79" w:rsidRPr="009B2D79">
                <w:rPr>
                  <w:rFonts w:ascii="Calibri" w:hAnsi="Calibri" w:cs="Calibri"/>
                  <w:color w:val="0563C1"/>
                  <w:sz w:val="16"/>
                  <w:szCs w:val="16"/>
                  <w:u w:val="single"/>
                  <w:lang w:val="en-GB" w:eastAsia="en-GB"/>
                </w:rPr>
                <w:t xml:space="preserve">changdabout@gmail.com </w:t>
              </w:r>
            </w:hyperlink>
          </w:p>
        </w:tc>
      </w:tr>
      <w:tr w:rsidR="009B2D79" w:rsidRPr="009B2D79" w14:paraId="0AE3D5AA" w14:textId="77777777" w:rsidTr="009B2D79">
        <w:trPr>
          <w:trHeight w:val="349"/>
        </w:trPr>
        <w:tc>
          <w:tcPr>
            <w:tcW w:w="858" w:type="dxa"/>
            <w:vMerge/>
            <w:tcBorders>
              <w:top w:val="nil"/>
              <w:left w:val="nil"/>
              <w:bottom w:val="nil"/>
              <w:right w:val="nil"/>
            </w:tcBorders>
            <w:vAlign w:val="center"/>
            <w:hideMark/>
          </w:tcPr>
          <w:p w14:paraId="7BA6CE3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nil"/>
              <w:left w:val="single" w:sz="4" w:space="0" w:color="auto"/>
              <w:bottom w:val="nil"/>
              <w:right w:val="single" w:sz="4" w:space="0" w:color="auto"/>
            </w:tcBorders>
            <w:shd w:val="clear" w:color="000000" w:fill="FFFFFF"/>
            <w:hideMark/>
          </w:tcPr>
          <w:p w14:paraId="49418C56"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Budget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72B1AB5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Mr. Soulivath Souvannachoumkham</w:t>
            </w:r>
          </w:p>
        </w:tc>
        <w:tc>
          <w:tcPr>
            <w:tcW w:w="2620" w:type="dxa"/>
            <w:gridSpan w:val="2"/>
            <w:tcBorders>
              <w:top w:val="nil"/>
              <w:left w:val="nil"/>
              <w:bottom w:val="single" w:sz="4" w:space="0" w:color="auto"/>
              <w:right w:val="single" w:sz="4" w:space="0" w:color="auto"/>
            </w:tcBorders>
            <w:shd w:val="clear" w:color="000000" w:fill="D8D8D8"/>
            <w:hideMark/>
          </w:tcPr>
          <w:p w14:paraId="2507ECB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hideMark/>
          </w:tcPr>
          <w:p w14:paraId="3C122CD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020 22233440</w:t>
            </w:r>
          </w:p>
        </w:tc>
        <w:tc>
          <w:tcPr>
            <w:tcW w:w="1644" w:type="dxa"/>
            <w:gridSpan w:val="2"/>
            <w:tcBorders>
              <w:top w:val="nil"/>
              <w:left w:val="nil"/>
              <w:bottom w:val="single" w:sz="4" w:space="0" w:color="auto"/>
              <w:right w:val="single" w:sz="4" w:space="0" w:color="auto"/>
            </w:tcBorders>
            <w:shd w:val="clear" w:color="000000" w:fill="D8D8D8"/>
            <w:noWrap/>
            <w:hideMark/>
          </w:tcPr>
          <w:p w14:paraId="204ED23B"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2" w:history="1">
              <w:r w:rsidR="009B2D79" w:rsidRPr="009B2D79">
                <w:rPr>
                  <w:rFonts w:ascii="Calibri" w:hAnsi="Calibri" w:cs="Calibri"/>
                  <w:color w:val="0563C1"/>
                  <w:sz w:val="16"/>
                  <w:szCs w:val="16"/>
                  <w:u w:val="single"/>
                  <w:lang w:val="en-GB" w:eastAsia="en-GB"/>
                </w:rPr>
                <w:t xml:space="preserve">soulivath@gmail.com </w:t>
              </w:r>
            </w:hyperlink>
          </w:p>
        </w:tc>
      </w:tr>
      <w:tr w:rsidR="009B2D79" w:rsidRPr="009B2D79" w14:paraId="41714CD3" w14:textId="77777777" w:rsidTr="009B2D79">
        <w:trPr>
          <w:trHeight w:val="349"/>
        </w:trPr>
        <w:tc>
          <w:tcPr>
            <w:tcW w:w="858" w:type="dxa"/>
            <w:vMerge/>
            <w:tcBorders>
              <w:top w:val="nil"/>
              <w:left w:val="nil"/>
              <w:bottom w:val="nil"/>
              <w:right w:val="nil"/>
            </w:tcBorders>
            <w:vAlign w:val="center"/>
            <w:hideMark/>
          </w:tcPr>
          <w:p w14:paraId="61887F05"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4C7DDFB9"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3FC8E2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Souphavanh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Phanthavilay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AE7499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Planning and Consolidation Division</w:t>
            </w:r>
          </w:p>
        </w:tc>
        <w:tc>
          <w:tcPr>
            <w:tcW w:w="1361" w:type="dxa"/>
            <w:tcBorders>
              <w:top w:val="nil"/>
              <w:left w:val="nil"/>
              <w:bottom w:val="single" w:sz="4" w:space="0" w:color="auto"/>
              <w:right w:val="single" w:sz="4" w:space="0" w:color="auto"/>
            </w:tcBorders>
            <w:shd w:val="clear" w:color="000000" w:fill="D8D8D8"/>
            <w:noWrap/>
            <w:hideMark/>
          </w:tcPr>
          <w:p w14:paraId="75FFC9C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020 22223293</w:t>
            </w:r>
          </w:p>
        </w:tc>
        <w:tc>
          <w:tcPr>
            <w:tcW w:w="1644" w:type="dxa"/>
            <w:gridSpan w:val="2"/>
            <w:tcBorders>
              <w:top w:val="nil"/>
              <w:left w:val="nil"/>
              <w:bottom w:val="single" w:sz="4" w:space="0" w:color="auto"/>
              <w:right w:val="single" w:sz="4" w:space="0" w:color="auto"/>
            </w:tcBorders>
            <w:shd w:val="clear" w:color="000000" w:fill="D8D8D8"/>
            <w:noWrap/>
            <w:hideMark/>
          </w:tcPr>
          <w:p w14:paraId="70ECA48B"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3" w:history="1">
              <w:r w:rsidR="009B2D79" w:rsidRPr="009B2D79">
                <w:rPr>
                  <w:rFonts w:ascii="Calibri" w:hAnsi="Calibri" w:cs="Calibri"/>
                  <w:color w:val="0563C1"/>
                  <w:sz w:val="16"/>
                  <w:szCs w:val="16"/>
                  <w:u w:val="single"/>
                  <w:lang w:val="en-GB" w:eastAsia="en-GB"/>
                </w:rPr>
                <w:t xml:space="preserve">vanh_trigger@hotmail.com </w:t>
              </w:r>
            </w:hyperlink>
          </w:p>
        </w:tc>
      </w:tr>
      <w:tr w:rsidR="009B2D79" w:rsidRPr="009B2D79" w14:paraId="245A79DA" w14:textId="77777777" w:rsidTr="009B2D79">
        <w:trPr>
          <w:trHeight w:val="349"/>
        </w:trPr>
        <w:tc>
          <w:tcPr>
            <w:tcW w:w="858" w:type="dxa"/>
            <w:vMerge/>
            <w:tcBorders>
              <w:top w:val="nil"/>
              <w:left w:val="nil"/>
              <w:bottom w:val="nil"/>
              <w:right w:val="nil"/>
            </w:tcBorders>
            <w:vAlign w:val="center"/>
            <w:hideMark/>
          </w:tcPr>
          <w:p w14:paraId="329D1CE2"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5069E8F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A1AFD9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Phimpha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Phommavong</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487E28C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of Public Procurement Monitoring Division </w:t>
            </w:r>
          </w:p>
        </w:tc>
        <w:tc>
          <w:tcPr>
            <w:tcW w:w="1361" w:type="dxa"/>
            <w:tcBorders>
              <w:top w:val="nil"/>
              <w:left w:val="nil"/>
              <w:bottom w:val="single" w:sz="4" w:space="0" w:color="auto"/>
              <w:right w:val="single" w:sz="4" w:space="0" w:color="auto"/>
            </w:tcBorders>
            <w:shd w:val="clear" w:color="000000" w:fill="D8D8D8"/>
            <w:hideMark/>
          </w:tcPr>
          <w:p w14:paraId="2AEEF4E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020 54755303</w:t>
            </w:r>
          </w:p>
        </w:tc>
        <w:tc>
          <w:tcPr>
            <w:tcW w:w="1644" w:type="dxa"/>
            <w:gridSpan w:val="2"/>
            <w:tcBorders>
              <w:top w:val="nil"/>
              <w:left w:val="nil"/>
              <w:bottom w:val="single" w:sz="4" w:space="0" w:color="auto"/>
              <w:right w:val="single" w:sz="4" w:space="0" w:color="auto"/>
            </w:tcBorders>
            <w:shd w:val="clear" w:color="000000" w:fill="D8D8D8"/>
            <w:noWrap/>
            <w:hideMark/>
          </w:tcPr>
          <w:p w14:paraId="2C35BB2D" w14:textId="77777777" w:rsidR="009B2D79" w:rsidRPr="009B2D79" w:rsidRDefault="009B2D79" w:rsidP="009B2D79">
            <w:pPr>
              <w:spacing w:before="0"/>
              <w:ind w:left="0"/>
              <w:jc w:val="left"/>
              <w:rPr>
                <w:rFonts w:ascii="Calibri" w:hAnsi="Calibri" w:cs="Calibri"/>
                <w:color w:val="0563C1"/>
                <w:sz w:val="16"/>
                <w:szCs w:val="16"/>
                <w:u w:val="single"/>
                <w:lang w:val="en-GB" w:eastAsia="en-GB"/>
              </w:rPr>
            </w:pPr>
            <w:r w:rsidRPr="009B2D79">
              <w:rPr>
                <w:rFonts w:ascii="Calibri" w:hAnsi="Calibri" w:cs="Calibri"/>
                <w:color w:val="0563C1"/>
                <w:sz w:val="16"/>
                <w:szCs w:val="16"/>
                <w:u w:val="single"/>
                <w:lang w:val="en-GB" w:eastAsia="en-GB"/>
              </w:rPr>
              <w:t> </w:t>
            </w:r>
          </w:p>
        </w:tc>
      </w:tr>
      <w:tr w:rsidR="009B2D79" w:rsidRPr="009B2D79" w14:paraId="5C2ED808" w14:textId="77777777" w:rsidTr="009B2D79">
        <w:trPr>
          <w:trHeight w:val="349"/>
        </w:trPr>
        <w:tc>
          <w:tcPr>
            <w:tcW w:w="858" w:type="dxa"/>
            <w:vMerge/>
            <w:tcBorders>
              <w:top w:val="nil"/>
              <w:left w:val="nil"/>
              <w:bottom w:val="nil"/>
              <w:right w:val="nil"/>
            </w:tcBorders>
            <w:vAlign w:val="center"/>
            <w:hideMark/>
          </w:tcPr>
          <w:p w14:paraId="3E01652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5691810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70F9B7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Thone </w:t>
            </w:r>
            <w:proofErr w:type="spellStart"/>
            <w:r w:rsidRPr="009B2D79">
              <w:rPr>
                <w:rFonts w:ascii="Times New Roman" w:hAnsi="Times New Roman"/>
                <w:sz w:val="16"/>
                <w:szCs w:val="16"/>
                <w:lang w:val="en-GB" w:eastAsia="en-GB"/>
              </w:rPr>
              <w:t>Phonephachanh</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1CCB3D3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of Local </w:t>
            </w:r>
            <w:proofErr w:type="spellStart"/>
            <w:r w:rsidRPr="009B2D79">
              <w:rPr>
                <w:rFonts w:ascii="Times New Roman" w:hAnsi="Times New Roman"/>
                <w:sz w:val="16"/>
                <w:szCs w:val="16"/>
                <w:lang w:val="en-GB" w:eastAsia="en-GB"/>
              </w:rPr>
              <w:t>BuDirector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Generaleting</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hideMark/>
          </w:tcPr>
          <w:p w14:paraId="3BF7D71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020 55514639</w:t>
            </w:r>
          </w:p>
        </w:tc>
        <w:tc>
          <w:tcPr>
            <w:tcW w:w="1644" w:type="dxa"/>
            <w:gridSpan w:val="2"/>
            <w:tcBorders>
              <w:top w:val="nil"/>
              <w:left w:val="nil"/>
              <w:bottom w:val="single" w:sz="4" w:space="0" w:color="auto"/>
              <w:right w:val="single" w:sz="4" w:space="0" w:color="auto"/>
            </w:tcBorders>
            <w:shd w:val="clear" w:color="000000" w:fill="D8D8D8"/>
            <w:noWrap/>
            <w:hideMark/>
          </w:tcPr>
          <w:p w14:paraId="2E03A071" w14:textId="77777777" w:rsidR="009B2D79" w:rsidRPr="009B2D79" w:rsidRDefault="009B2D79" w:rsidP="009B2D79">
            <w:pPr>
              <w:spacing w:before="0"/>
              <w:ind w:left="0"/>
              <w:jc w:val="left"/>
              <w:rPr>
                <w:rFonts w:ascii="Calibri" w:hAnsi="Calibri" w:cs="Calibri"/>
                <w:color w:val="0563C1"/>
                <w:sz w:val="16"/>
                <w:szCs w:val="16"/>
                <w:u w:val="single"/>
                <w:lang w:val="en-GB" w:eastAsia="en-GB"/>
              </w:rPr>
            </w:pPr>
            <w:r w:rsidRPr="009B2D79">
              <w:rPr>
                <w:rFonts w:ascii="Calibri" w:hAnsi="Calibri" w:cs="Calibri"/>
                <w:color w:val="0563C1"/>
                <w:sz w:val="16"/>
                <w:szCs w:val="16"/>
                <w:u w:val="single"/>
                <w:lang w:val="en-GB" w:eastAsia="en-GB"/>
              </w:rPr>
              <w:t> </w:t>
            </w:r>
          </w:p>
        </w:tc>
      </w:tr>
      <w:tr w:rsidR="009B2D79" w:rsidRPr="009B2D79" w14:paraId="60E0A869" w14:textId="77777777" w:rsidTr="009B2D79">
        <w:trPr>
          <w:trHeight w:val="312"/>
        </w:trPr>
        <w:tc>
          <w:tcPr>
            <w:tcW w:w="858" w:type="dxa"/>
            <w:vMerge/>
            <w:tcBorders>
              <w:top w:val="nil"/>
              <w:left w:val="nil"/>
              <w:bottom w:val="nil"/>
              <w:right w:val="nil"/>
            </w:tcBorders>
            <w:vAlign w:val="center"/>
            <w:hideMark/>
          </w:tcPr>
          <w:p w14:paraId="0C22819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22D2AA7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6E36A6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Sanitphong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Singkhaophet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D76E2D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34E8322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4AD823C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3DF9D1C" w14:textId="77777777" w:rsidTr="009B2D79">
        <w:trPr>
          <w:trHeight w:val="360"/>
        </w:trPr>
        <w:tc>
          <w:tcPr>
            <w:tcW w:w="858" w:type="dxa"/>
            <w:vMerge/>
            <w:tcBorders>
              <w:top w:val="nil"/>
              <w:left w:val="nil"/>
              <w:bottom w:val="nil"/>
              <w:right w:val="nil"/>
            </w:tcBorders>
            <w:vAlign w:val="center"/>
            <w:hideMark/>
          </w:tcPr>
          <w:p w14:paraId="25A9A34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77EAB509"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23001F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Ekkasay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Phouthonesy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6C86FE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527A68A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D0CECA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8118975" w14:textId="77777777" w:rsidTr="009B2D79">
        <w:trPr>
          <w:trHeight w:val="360"/>
        </w:trPr>
        <w:tc>
          <w:tcPr>
            <w:tcW w:w="858" w:type="dxa"/>
            <w:vMerge/>
            <w:tcBorders>
              <w:top w:val="nil"/>
              <w:left w:val="nil"/>
              <w:bottom w:val="nil"/>
              <w:right w:val="nil"/>
            </w:tcBorders>
            <w:vAlign w:val="center"/>
            <w:hideMark/>
          </w:tcPr>
          <w:p w14:paraId="249AF7D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6823B81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D595BC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Vannasone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Thammavong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8221DC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3FDD689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020 99773636</w:t>
            </w:r>
          </w:p>
        </w:tc>
        <w:tc>
          <w:tcPr>
            <w:tcW w:w="1644" w:type="dxa"/>
            <w:gridSpan w:val="2"/>
            <w:tcBorders>
              <w:top w:val="nil"/>
              <w:left w:val="nil"/>
              <w:bottom w:val="single" w:sz="4" w:space="0" w:color="auto"/>
              <w:right w:val="single" w:sz="4" w:space="0" w:color="auto"/>
            </w:tcBorders>
            <w:shd w:val="clear" w:color="000000" w:fill="D8D8D8"/>
            <w:noWrap/>
            <w:hideMark/>
          </w:tcPr>
          <w:p w14:paraId="2C02F22E"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4" w:history="1">
              <w:r w:rsidR="009B2D79" w:rsidRPr="009B2D79">
                <w:rPr>
                  <w:rFonts w:ascii="Calibri" w:hAnsi="Calibri" w:cs="Calibri"/>
                  <w:color w:val="0563C1"/>
                  <w:sz w:val="16"/>
                  <w:szCs w:val="16"/>
                  <w:u w:val="single"/>
                  <w:lang w:val="en-GB" w:eastAsia="en-GB"/>
                </w:rPr>
                <w:t xml:space="preserve">oly_kkk@hotmail.com </w:t>
              </w:r>
            </w:hyperlink>
          </w:p>
        </w:tc>
      </w:tr>
      <w:tr w:rsidR="009B2D79" w:rsidRPr="009B2D79" w14:paraId="150FEAFB" w14:textId="77777777" w:rsidTr="009B2D79">
        <w:trPr>
          <w:trHeight w:val="945"/>
        </w:trPr>
        <w:tc>
          <w:tcPr>
            <w:tcW w:w="858" w:type="dxa"/>
            <w:vMerge/>
            <w:tcBorders>
              <w:top w:val="nil"/>
              <w:left w:val="nil"/>
              <w:bottom w:val="nil"/>
              <w:right w:val="nil"/>
            </w:tcBorders>
            <w:vAlign w:val="center"/>
            <w:hideMark/>
          </w:tcPr>
          <w:p w14:paraId="23D3109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32F53F4" w14:textId="77777777" w:rsidR="009B2D79" w:rsidRPr="009B2D79" w:rsidRDefault="009B2D79" w:rsidP="009B2D79">
            <w:pPr>
              <w:spacing w:before="0"/>
              <w:ind w:left="0"/>
              <w:jc w:val="center"/>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BuDirector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Generalet</w:t>
            </w:r>
            <w:proofErr w:type="spellEnd"/>
            <w:r w:rsidRPr="009B2D79">
              <w:rPr>
                <w:rFonts w:ascii="Times New Roman" w:hAnsi="Times New Roman"/>
                <w:sz w:val="16"/>
                <w:szCs w:val="16"/>
                <w:lang w:val="en-GB" w:eastAsia="en-GB"/>
              </w:rPr>
              <w:t xml:space="preserve"> Division</w:t>
            </w:r>
            <w:r w:rsidRPr="009B2D79">
              <w:rPr>
                <w:rFonts w:ascii="Times New Roman" w:hAnsi="Times New Roman"/>
                <w:sz w:val="16"/>
                <w:szCs w:val="16"/>
                <w:lang w:val="en-GB" w:eastAsia="en-GB"/>
              </w:rPr>
              <w:br/>
              <w:t>VTE Capital</w:t>
            </w:r>
          </w:p>
        </w:tc>
        <w:tc>
          <w:tcPr>
            <w:tcW w:w="1774" w:type="dxa"/>
            <w:gridSpan w:val="2"/>
            <w:tcBorders>
              <w:top w:val="nil"/>
              <w:left w:val="nil"/>
              <w:bottom w:val="single" w:sz="4" w:space="0" w:color="auto"/>
              <w:right w:val="single" w:sz="4" w:space="0" w:color="auto"/>
            </w:tcBorders>
            <w:shd w:val="clear" w:color="000000" w:fill="D8D8D8"/>
            <w:hideMark/>
          </w:tcPr>
          <w:p w14:paraId="79B4AA3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Chanthavone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Pathammavong</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22F282C1"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Diretctor</w:t>
            </w:r>
            <w:proofErr w:type="spellEnd"/>
            <w:r w:rsidRPr="009B2D79">
              <w:rPr>
                <w:rFonts w:ascii="Times New Roman" w:hAnsi="Times New Roman"/>
                <w:sz w:val="16"/>
                <w:szCs w:val="16"/>
                <w:lang w:val="en-GB" w:eastAsia="en-GB"/>
              </w:rPr>
              <w:t xml:space="preserve"> General</w:t>
            </w:r>
          </w:p>
        </w:tc>
        <w:tc>
          <w:tcPr>
            <w:tcW w:w="1361" w:type="dxa"/>
            <w:tcBorders>
              <w:top w:val="nil"/>
              <w:left w:val="nil"/>
              <w:bottom w:val="single" w:sz="4" w:space="0" w:color="auto"/>
              <w:right w:val="single" w:sz="4" w:space="0" w:color="auto"/>
            </w:tcBorders>
            <w:shd w:val="clear" w:color="000000" w:fill="D8D8D8"/>
            <w:hideMark/>
          </w:tcPr>
          <w:p w14:paraId="4C8EF55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020 52224096</w:t>
            </w:r>
          </w:p>
        </w:tc>
        <w:tc>
          <w:tcPr>
            <w:tcW w:w="1644" w:type="dxa"/>
            <w:gridSpan w:val="2"/>
            <w:tcBorders>
              <w:top w:val="nil"/>
              <w:left w:val="nil"/>
              <w:bottom w:val="single" w:sz="4" w:space="0" w:color="auto"/>
              <w:right w:val="single" w:sz="4" w:space="0" w:color="auto"/>
            </w:tcBorders>
            <w:shd w:val="clear" w:color="000000" w:fill="D8D8D8"/>
            <w:noWrap/>
            <w:hideMark/>
          </w:tcPr>
          <w:p w14:paraId="2365D7A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no email</w:t>
            </w:r>
          </w:p>
        </w:tc>
      </w:tr>
      <w:tr w:rsidR="009B2D79" w:rsidRPr="009B2D79" w14:paraId="5E80830C" w14:textId="77777777" w:rsidTr="009B2D79">
        <w:trPr>
          <w:trHeight w:val="315"/>
        </w:trPr>
        <w:tc>
          <w:tcPr>
            <w:tcW w:w="858" w:type="dxa"/>
            <w:vMerge/>
            <w:tcBorders>
              <w:top w:val="nil"/>
              <w:left w:val="nil"/>
              <w:bottom w:val="nil"/>
              <w:right w:val="nil"/>
            </w:tcBorders>
            <w:vAlign w:val="center"/>
            <w:hideMark/>
          </w:tcPr>
          <w:p w14:paraId="1EB65E9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14:paraId="5556FA81"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National Treasury Department</w:t>
            </w:r>
          </w:p>
        </w:tc>
        <w:tc>
          <w:tcPr>
            <w:tcW w:w="1774" w:type="dxa"/>
            <w:gridSpan w:val="2"/>
            <w:tcBorders>
              <w:top w:val="nil"/>
              <w:left w:val="nil"/>
              <w:bottom w:val="single" w:sz="4" w:space="0" w:color="auto"/>
              <w:right w:val="single" w:sz="4" w:space="0" w:color="auto"/>
            </w:tcBorders>
            <w:shd w:val="clear" w:color="000000" w:fill="D8D8D8"/>
            <w:hideMark/>
          </w:tcPr>
          <w:p w14:paraId="04D4FD2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Vanphone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Phommasone</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7A01B12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General</w:t>
            </w:r>
          </w:p>
        </w:tc>
        <w:tc>
          <w:tcPr>
            <w:tcW w:w="1361" w:type="dxa"/>
            <w:tcBorders>
              <w:top w:val="nil"/>
              <w:left w:val="nil"/>
              <w:bottom w:val="single" w:sz="4" w:space="0" w:color="auto"/>
              <w:right w:val="single" w:sz="4" w:space="0" w:color="auto"/>
            </w:tcBorders>
            <w:shd w:val="clear" w:color="000000" w:fill="D8D8D8"/>
            <w:hideMark/>
          </w:tcPr>
          <w:p w14:paraId="2DF58D5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403C25B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D44BF30" w14:textId="77777777" w:rsidTr="009B2D79">
        <w:trPr>
          <w:trHeight w:val="349"/>
        </w:trPr>
        <w:tc>
          <w:tcPr>
            <w:tcW w:w="858" w:type="dxa"/>
            <w:vMerge/>
            <w:tcBorders>
              <w:top w:val="nil"/>
              <w:left w:val="nil"/>
              <w:bottom w:val="nil"/>
              <w:right w:val="nil"/>
            </w:tcBorders>
            <w:vAlign w:val="center"/>
            <w:hideMark/>
          </w:tcPr>
          <w:p w14:paraId="033056D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707FB2F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6E01B78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Yort</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Phaengsombat</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52EA81F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hideMark/>
          </w:tcPr>
          <w:p w14:paraId="0987FAE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020 22245081</w:t>
            </w:r>
          </w:p>
        </w:tc>
        <w:tc>
          <w:tcPr>
            <w:tcW w:w="1644" w:type="dxa"/>
            <w:gridSpan w:val="2"/>
            <w:tcBorders>
              <w:top w:val="nil"/>
              <w:left w:val="nil"/>
              <w:bottom w:val="single" w:sz="4" w:space="0" w:color="auto"/>
              <w:right w:val="single" w:sz="4" w:space="0" w:color="auto"/>
            </w:tcBorders>
            <w:shd w:val="clear" w:color="000000" w:fill="D8D8D8"/>
            <w:noWrap/>
            <w:hideMark/>
          </w:tcPr>
          <w:p w14:paraId="40B14F8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6E37AA6" w14:textId="77777777" w:rsidTr="009B2D79">
        <w:trPr>
          <w:trHeight w:val="349"/>
        </w:trPr>
        <w:tc>
          <w:tcPr>
            <w:tcW w:w="858" w:type="dxa"/>
            <w:vMerge/>
            <w:tcBorders>
              <w:top w:val="nil"/>
              <w:left w:val="nil"/>
              <w:bottom w:val="nil"/>
              <w:right w:val="nil"/>
            </w:tcBorders>
            <w:vAlign w:val="center"/>
            <w:hideMark/>
          </w:tcPr>
          <w:p w14:paraId="016789C8"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7C1D5C2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0D651B3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Nouseuy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Phomsychanh</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7AD2B4B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hideMark/>
          </w:tcPr>
          <w:p w14:paraId="006BF49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020 59444481</w:t>
            </w:r>
          </w:p>
        </w:tc>
        <w:tc>
          <w:tcPr>
            <w:tcW w:w="1644" w:type="dxa"/>
            <w:gridSpan w:val="2"/>
            <w:tcBorders>
              <w:top w:val="nil"/>
              <w:left w:val="nil"/>
              <w:bottom w:val="single" w:sz="4" w:space="0" w:color="auto"/>
              <w:right w:val="single" w:sz="4" w:space="0" w:color="auto"/>
            </w:tcBorders>
            <w:shd w:val="clear" w:color="000000" w:fill="D8D8D8"/>
            <w:noWrap/>
            <w:hideMark/>
          </w:tcPr>
          <w:p w14:paraId="48927D7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0D45D13" w14:textId="77777777" w:rsidTr="009B2D79">
        <w:trPr>
          <w:trHeight w:val="315"/>
        </w:trPr>
        <w:tc>
          <w:tcPr>
            <w:tcW w:w="858" w:type="dxa"/>
            <w:vMerge/>
            <w:tcBorders>
              <w:top w:val="nil"/>
              <w:left w:val="nil"/>
              <w:bottom w:val="nil"/>
              <w:right w:val="nil"/>
            </w:tcBorders>
            <w:vAlign w:val="center"/>
            <w:hideMark/>
          </w:tcPr>
          <w:p w14:paraId="4FE4F76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1DF37CF0"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210CD33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Douangpaseth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Thiphommachanh</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040F982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Payment Inspection Division</w:t>
            </w:r>
          </w:p>
        </w:tc>
        <w:tc>
          <w:tcPr>
            <w:tcW w:w="1361" w:type="dxa"/>
            <w:tcBorders>
              <w:top w:val="nil"/>
              <w:left w:val="nil"/>
              <w:bottom w:val="single" w:sz="4" w:space="0" w:color="auto"/>
              <w:right w:val="single" w:sz="4" w:space="0" w:color="auto"/>
            </w:tcBorders>
            <w:shd w:val="clear" w:color="000000" w:fill="D8D8D8"/>
            <w:hideMark/>
          </w:tcPr>
          <w:p w14:paraId="654D12B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58D2FA2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06A7DF3" w14:textId="77777777" w:rsidTr="009B2D79">
        <w:trPr>
          <w:trHeight w:val="315"/>
        </w:trPr>
        <w:tc>
          <w:tcPr>
            <w:tcW w:w="858" w:type="dxa"/>
            <w:vMerge/>
            <w:tcBorders>
              <w:top w:val="nil"/>
              <w:left w:val="nil"/>
              <w:bottom w:val="nil"/>
              <w:right w:val="nil"/>
            </w:tcBorders>
            <w:vAlign w:val="center"/>
            <w:hideMark/>
          </w:tcPr>
          <w:p w14:paraId="5E037BB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46AEF9B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41ADFB0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Chanthasin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Phengsombath</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4A85165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 of Planning and Cash Management Division</w:t>
            </w:r>
          </w:p>
        </w:tc>
        <w:tc>
          <w:tcPr>
            <w:tcW w:w="1361" w:type="dxa"/>
            <w:tcBorders>
              <w:top w:val="nil"/>
              <w:left w:val="nil"/>
              <w:bottom w:val="single" w:sz="4" w:space="0" w:color="auto"/>
              <w:right w:val="single" w:sz="4" w:space="0" w:color="auto"/>
            </w:tcBorders>
            <w:shd w:val="clear" w:color="000000" w:fill="D8D8D8"/>
            <w:hideMark/>
          </w:tcPr>
          <w:p w14:paraId="6EB5C6D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020 98805688</w:t>
            </w:r>
          </w:p>
        </w:tc>
        <w:tc>
          <w:tcPr>
            <w:tcW w:w="1644" w:type="dxa"/>
            <w:gridSpan w:val="2"/>
            <w:tcBorders>
              <w:top w:val="nil"/>
              <w:left w:val="nil"/>
              <w:bottom w:val="single" w:sz="4" w:space="0" w:color="auto"/>
              <w:right w:val="single" w:sz="4" w:space="0" w:color="auto"/>
            </w:tcBorders>
            <w:shd w:val="clear" w:color="000000" w:fill="D8D8D8"/>
            <w:noWrap/>
            <w:hideMark/>
          </w:tcPr>
          <w:p w14:paraId="4E990BE7"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5" w:history="1">
              <w:r w:rsidR="009B2D79" w:rsidRPr="009B2D79">
                <w:rPr>
                  <w:rFonts w:ascii="Calibri" w:hAnsi="Calibri" w:cs="Calibri"/>
                  <w:color w:val="0563C1"/>
                  <w:sz w:val="16"/>
                  <w:szCs w:val="16"/>
                  <w:u w:val="single"/>
                  <w:lang w:val="en-GB" w:eastAsia="en-GB"/>
                </w:rPr>
                <w:t xml:space="preserve">psb18chanthasinh@gmail.com </w:t>
              </w:r>
            </w:hyperlink>
          </w:p>
        </w:tc>
      </w:tr>
      <w:tr w:rsidR="009B2D79" w:rsidRPr="009B2D79" w14:paraId="3CD3794F" w14:textId="77777777" w:rsidTr="009B2D79">
        <w:trPr>
          <w:trHeight w:val="315"/>
        </w:trPr>
        <w:tc>
          <w:tcPr>
            <w:tcW w:w="858" w:type="dxa"/>
            <w:vMerge/>
            <w:tcBorders>
              <w:top w:val="nil"/>
              <w:left w:val="nil"/>
              <w:bottom w:val="nil"/>
              <w:right w:val="nil"/>
            </w:tcBorders>
            <w:vAlign w:val="center"/>
            <w:hideMark/>
          </w:tcPr>
          <w:p w14:paraId="706EB5B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23EBAB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1B8D30E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Vathsana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Khamphanith</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129AF46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 of Planning and Cash Management Division</w:t>
            </w:r>
          </w:p>
        </w:tc>
        <w:tc>
          <w:tcPr>
            <w:tcW w:w="1361" w:type="dxa"/>
            <w:tcBorders>
              <w:top w:val="nil"/>
              <w:left w:val="nil"/>
              <w:bottom w:val="single" w:sz="4" w:space="0" w:color="auto"/>
              <w:right w:val="single" w:sz="4" w:space="0" w:color="auto"/>
            </w:tcBorders>
            <w:shd w:val="clear" w:color="000000" w:fill="D8D8D8"/>
            <w:hideMark/>
          </w:tcPr>
          <w:p w14:paraId="5D9DDF8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020 22422436</w:t>
            </w:r>
          </w:p>
        </w:tc>
        <w:tc>
          <w:tcPr>
            <w:tcW w:w="1644" w:type="dxa"/>
            <w:gridSpan w:val="2"/>
            <w:tcBorders>
              <w:top w:val="nil"/>
              <w:left w:val="nil"/>
              <w:bottom w:val="single" w:sz="4" w:space="0" w:color="auto"/>
              <w:right w:val="single" w:sz="4" w:space="0" w:color="auto"/>
            </w:tcBorders>
            <w:shd w:val="clear" w:color="000000" w:fill="D8D8D8"/>
            <w:noWrap/>
            <w:hideMark/>
          </w:tcPr>
          <w:p w14:paraId="0C94A03A"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6" w:history="1">
              <w:r w:rsidR="009B2D79" w:rsidRPr="009B2D79">
                <w:rPr>
                  <w:rFonts w:ascii="Calibri" w:hAnsi="Calibri" w:cs="Calibri"/>
                  <w:color w:val="0563C1"/>
                  <w:sz w:val="16"/>
                  <w:szCs w:val="16"/>
                  <w:u w:val="single"/>
                  <w:lang w:val="en-GB" w:eastAsia="en-GB"/>
                </w:rPr>
                <w:t>vadsakpn@gmail.com</w:t>
              </w:r>
            </w:hyperlink>
          </w:p>
        </w:tc>
      </w:tr>
      <w:tr w:rsidR="009B2D79" w:rsidRPr="009B2D79" w14:paraId="5401EE6C" w14:textId="77777777" w:rsidTr="009B2D79">
        <w:trPr>
          <w:trHeight w:val="315"/>
        </w:trPr>
        <w:tc>
          <w:tcPr>
            <w:tcW w:w="858" w:type="dxa"/>
            <w:vMerge/>
            <w:tcBorders>
              <w:top w:val="nil"/>
              <w:left w:val="nil"/>
              <w:bottom w:val="nil"/>
              <w:right w:val="nil"/>
            </w:tcBorders>
            <w:vAlign w:val="center"/>
            <w:hideMark/>
          </w:tcPr>
          <w:p w14:paraId="17E193EF"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43F4EF3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hideMark/>
          </w:tcPr>
          <w:p w14:paraId="268933E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Souksavanh </w:t>
            </w:r>
            <w:proofErr w:type="spellStart"/>
            <w:r w:rsidRPr="009B2D79">
              <w:rPr>
                <w:rFonts w:ascii="Times New Roman" w:hAnsi="Times New Roman"/>
                <w:sz w:val="16"/>
                <w:szCs w:val="16"/>
                <w:lang w:val="en-GB" w:eastAsia="en-GB"/>
              </w:rPr>
              <w:t>Keosouvanh</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7899A7A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hideMark/>
          </w:tcPr>
          <w:p w14:paraId="39C146A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020 28882357</w:t>
            </w:r>
          </w:p>
        </w:tc>
        <w:tc>
          <w:tcPr>
            <w:tcW w:w="1644" w:type="dxa"/>
            <w:gridSpan w:val="2"/>
            <w:tcBorders>
              <w:top w:val="nil"/>
              <w:left w:val="nil"/>
              <w:bottom w:val="single" w:sz="4" w:space="0" w:color="auto"/>
              <w:right w:val="single" w:sz="4" w:space="0" w:color="auto"/>
            </w:tcBorders>
            <w:shd w:val="clear" w:color="000000" w:fill="D8D8D8"/>
            <w:noWrap/>
            <w:hideMark/>
          </w:tcPr>
          <w:p w14:paraId="46C022C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47F9A41" w14:textId="77777777" w:rsidTr="009B2D79">
        <w:trPr>
          <w:trHeight w:val="945"/>
        </w:trPr>
        <w:tc>
          <w:tcPr>
            <w:tcW w:w="858" w:type="dxa"/>
            <w:vMerge/>
            <w:tcBorders>
              <w:top w:val="nil"/>
              <w:left w:val="nil"/>
              <w:bottom w:val="nil"/>
              <w:right w:val="nil"/>
            </w:tcBorders>
            <w:vAlign w:val="center"/>
            <w:hideMark/>
          </w:tcPr>
          <w:p w14:paraId="69249AC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tcBorders>
              <w:top w:val="nil"/>
              <w:left w:val="single" w:sz="4" w:space="0" w:color="auto"/>
              <w:bottom w:val="nil"/>
              <w:right w:val="single" w:sz="4" w:space="0" w:color="auto"/>
            </w:tcBorders>
            <w:shd w:val="clear" w:color="auto" w:fill="auto"/>
            <w:hideMark/>
          </w:tcPr>
          <w:p w14:paraId="3C535DB9"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National Treasury Division</w:t>
            </w:r>
            <w:r w:rsidRPr="009B2D79">
              <w:rPr>
                <w:rFonts w:ascii="Times New Roman" w:hAnsi="Times New Roman"/>
                <w:sz w:val="16"/>
                <w:szCs w:val="16"/>
                <w:lang w:val="en-GB" w:eastAsia="en-GB"/>
              </w:rPr>
              <w:br/>
              <w:t>VTE Capital</w:t>
            </w:r>
          </w:p>
        </w:tc>
        <w:tc>
          <w:tcPr>
            <w:tcW w:w="1774" w:type="dxa"/>
            <w:gridSpan w:val="2"/>
            <w:tcBorders>
              <w:top w:val="nil"/>
              <w:left w:val="nil"/>
              <w:bottom w:val="single" w:sz="4" w:space="0" w:color="auto"/>
              <w:right w:val="single" w:sz="4" w:space="0" w:color="auto"/>
            </w:tcBorders>
            <w:shd w:val="clear" w:color="000000" w:fill="D8D8D8"/>
            <w:hideMark/>
          </w:tcPr>
          <w:p w14:paraId="653F655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Amphone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Souphida</w:t>
            </w:r>
            <w:proofErr w:type="spellEnd"/>
          </w:p>
        </w:tc>
        <w:tc>
          <w:tcPr>
            <w:tcW w:w="2620" w:type="dxa"/>
            <w:gridSpan w:val="2"/>
            <w:tcBorders>
              <w:top w:val="nil"/>
              <w:left w:val="nil"/>
              <w:bottom w:val="single" w:sz="4" w:space="0" w:color="auto"/>
              <w:right w:val="single" w:sz="4" w:space="0" w:color="auto"/>
            </w:tcBorders>
            <w:shd w:val="clear" w:color="000000" w:fill="D8D8D8"/>
            <w:hideMark/>
          </w:tcPr>
          <w:p w14:paraId="4C1F79F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w:t>
            </w:r>
            <w:proofErr w:type="spellStart"/>
            <w:r w:rsidRPr="009B2D79">
              <w:rPr>
                <w:rFonts w:ascii="Times New Roman" w:hAnsi="Times New Roman"/>
                <w:sz w:val="16"/>
                <w:szCs w:val="16"/>
                <w:lang w:val="en-GB" w:eastAsia="en-GB"/>
              </w:rPr>
              <w:t>Diretctor</w:t>
            </w:r>
            <w:proofErr w:type="spellEnd"/>
            <w:r w:rsidRPr="009B2D79">
              <w:rPr>
                <w:rFonts w:ascii="Times New Roman" w:hAnsi="Times New Roman"/>
                <w:sz w:val="16"/>
                <w:szCs w:val="16"/>
                <w:lang w:val="en-GB" w:eastAsia="en-GB"/>
              </w:rPr>
              <w:t xml:space="preserve"> General</w:t>
            </w:r>
          </w:p>
        </w:tc>
        <w:tc>
          <w:tcPr>
            <w:tcW w:w="1361" w:type="dxa"/>
            <w:tcBorders>
              <w:top w:val="nil"/>
              <w:left w:val="nil"/>
              <w:bottom w:val="single" w:sz="4" w:space="0" w:color="auto"/>
              <w:right w:val="single" w:sz="4" w:space="0" w:color="auto"/>
            </w:tcBorders>
            <w:shd w:val="clear" w:color="000000" w:fill="D8D8D8"/>
            <w:hideMark/>
          </w:tcPr>
          <w:p w14:paraId="6E97F8B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020 22223820</w:t>
            </w:r>
          </w:p>
        </w:tc>
        <w:tc>
          <w:tcPr>
            <w:tcW w:w="1644" w:type="dxa"/>
            <w:gridSpan w:val="2"/>
            <w:tcBorders>
              <w:top w:val="nil"/>
              <w:left w:val="nil"/>
              <w:bottom w:val="single" w:sz="4" w:space="0" w:color="auto"/>
              <w:right w:val="single" w:sz="4" w:space="0" w:color="auto"/>
            </w:tcBorders>
            <w:shd w:val="clear" w:color="000000" w:fill="D8D8D8"/>
            <w:noWrap/>
            <w:hideMark/>
          </w:tcPr>
          <w:p w14:paraId="572E40F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no email</w:t>
            </w:r>
          </w:p>
        </w:tc>
      </w:tr>
      <w:tr w:rsidR="009B2D79" w:rsidRPr="009B2D79" w14:paraId="26D420BA" w14:textId="77777777" w:rsidTr="009B2D79">
        <w:trPr>
          <w:trHeight w:val="315"/>
        </w:trPr>
        <w:tc>
          <w:tcPr>
            <w:tcW w:w="858" w:type="dxa"/>
            <w:vMerge/>
            <w:tcBorders>
              <w:top w:val="nil"/>
              <w:left w:val="nil"/>
              <w:bottom w:val="nil"/>
              <w:right w:val="nil"/>
            </w:tcBorders>
            <w:vAlign w:val="center"/>
            <w:hideMark/>
          </w:tcPr>
          <w:p w14:paraId="4E4D648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single" w:sz="4" w:space="0" w:color="auto"/>
              <w:left w:val="single" w:sz="4" w:space="0" w:color="auto"/>
              <w:bottom w:val="nil"/>
              <w:right w:val="single" w:sz="4" w:space="0" w:color="auto"/>
            </w:tcBorders>
            <w:shd w:val="clear" w:color="000000" w:fill="FFFFFF"/>
            <w:hideMark/>
          </w:tcPr>
          <w:p w14:paraId="0A15D893"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Inspection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032230D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Thoum</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Khamphanith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1B916E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General </w:t>
            </w:r>
          </w:p>
        </w:tc>
        <w:tc>
          <w:tcPr>
            <w:tcW w:w="1361" w:type="dxa"/>
            <w:tcBorders>
              <w:top w:val="nil"/>
              <w:left w:val="nil"/>
              <w:bottom w:val="single" w:sz="4" w:space="0" w:color="auto"/>
              <w:right w:val="single" w:sz="4" w:space="0" w:color="auto"/>
            </w:tcBorders>
            <w:shd w:val="clear" w:color="000000" w:fill="D8D8D8"/>
            <w:hideMark/>
          </w:tcPr>
          <w:p w14:paraId="44B0717D"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FFEA38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C85D0FA" w14:textId="77777777" w:rsidTr="009B2D79">
        <w:trPr>
          <w:trHeight w:val="315"/>
        </w:trPr>
        <w:tc>
          <w:tcPr>
            <w:tcW w:w="858" w:type="dxa"/>
            <w:vMerge/>
            <w:tcBorders>
              <w:top w:val="nil"/>
              <w:left w:val="nil"/>
              <w:bottom w:val="nil"/>
              <w:right w:val="nil"/>
            </w:tcBorders>
            <w:vAlign w:val="center"/>
            <w:hideMark/>
          </w:tcPr>
          <w:p w14:paraId="32F8394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77B9BA4B"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B2CD23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Bounthong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ManAnong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1899BA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noWrap/>
            <w:hideMark/>
          </w:tcPr>
          <w:p w14:paraId="4725A31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020 55534969</w:t>
            </w:r>
          </w:p>
        </w:tc>
        <w:tc>
          <w:tcPr>
            <w:tcW w:w="1644" w:type="dxa"/>
            <w:gridSpan w:val="2"/>
            <w:tcBorders>
              <w:top w:val="nil"/>
              <w:left w:val="nil"/>
              <w:bottom w:val="single" w:sz="4" w:space="0" w:color="auto"/>
              <w:right w:val="single" w:sz="4" w:space="0" w:color="auto"/>
            </w:tcBorders>
            <w:shd w:val="clear" w:color="000000" w:fill="D8D8D8"/>
            <w:noWrap/>
            <w:hideMark/>
          </w:tcPr>
          <w:p w14:paraId="09EFB88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7018F44E" w14:textId="77777777" w:rsidTr="009B2D79">
        <w:trPr>
          <w:trHeight w:val="315"/>
        </w:trPr>
        <w:tc>
          <w:tcPr>
            <w:tcW w:w="858" w:type="dxa"/>
            <w:vMerge/>
            <w:tcBorders>
              <w:top w:val="nil"/>
              <w:left w:val="nil"/>
              <w:bottom w:val="nil"/>
              <w:right w:val="nil"/>
            </w:tcBorders>
            <w:vAlign w:val="center"/>
            <w:hideMark/>
          </w:tcPr>
          <w:p w14:paraId="44AEF5C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0718209A"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3A75BB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Thammavongsa </w:t>
            </w:r>
            <w:proofErr w:type="spellStart"/>
            <w:r w:rsidRPr="009B2D79">
              <w:rPr>
                <w:rFonts w:ascii="Times New Roman" w:hAnsi="Times New Roman"/>
                <w:sz w:val="16"/>
                <w:szCs w:val="16"/>
                <w:lang w:val="en-GB" w:eastAsia="en-GB"/>
              </w:rPr>
              <w:t>Vilaysack</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677001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of Division </w:t>
            </w:r>
          </w:p>
        </w:tc>
        <w:tc>
          <w:tcPr>
            <w:tcW w:w="1361" w:type="dxa"/>
            <w:tcBorders>
              <w:top w:val="nil"/>
              <w:left w:val="nil"/>
              <w:bottom w:val="single" w:sz="4" w:space="0" w:color="auto"/>
              <w:right w:val="single" w:sz="4" w:space="0" w:color="auto"/>
            </w:tcBorders>
            <w:shd w:val="clear" w:color="000000" w:fill="D8D8D8"/>
            <w:noWrap/>
            <w:hideMark/>
          </w:tcPr>
          <w:p w14:paraId="1E4AF5BB"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020 99900444</w:t>
            </w:r>
          </w:p>
        </w:tc>
        <w:tc>
          <w:tcPr>
            <w:tcW w:w="1644" w:type="dxa"/>
            <w:gridSpan w:val="2"/>
            <w:tcBorders>
              <w:top w:val="nil"/>
              <w:left w:val="nil"/>
              <w:bottom w:val="single" w:sz="4" w:space="0" w:color="auto"/>
              <w:right w:val="single" w:sz="4" w:space="0" w:color="auto"/>
            </w:tcBorders>
            <w:shd w:val="clear" w:color="000000" w:fill="D8D8D8"/>
            <w:noWrap/>
            <w:hideMark/>
          </w:tcPr>
          <w:p w14:paraId="3CC1C114"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7" w:history="1">
              <w:r w:rsidR="009B2D79" w:rsidRPr="009B2D79">
                <w:rPr>
                  <w:rFonts w:ascii="Calibri" w:hAnsi="Calibri" w:cs="Calibri"/>
                  <w:color w:val="0563C1"/>
                  <w:sz w:val="16"/>
                  <w:szCs w:val="16"/>
                  <w:u w:val="single"/>
                  <w:lang w:val="en-GB" w:eastAsia="en-GB"/>
                </w:rPr>
                <w:t>Vilaysack.tmvs@gmail.com</w:t>
              </w:r>
            </w:hyperlink>
          </w:p>
        </w:tc>
      </w:tr>
      <w:tr w:rsidR="009B2D79" w:rsidRPr="009B2D79" w14:paraId="27C30248" w14:textId="77777777" w:rsidTr="009B2D79">
        <w:trPr>
          <w:trHeight w:val="360"/>
        </w:trPr>
        <w:tc>
          <w:tcPr>
            <w:tcW w:w="858" w:type="dxa"/>
            <w:vMerge/>
            <w:tcBorders>
              <w:top w:val="nil"/>
              <w:left w:val="nil"/>
              <w:bottom w:val="nil"/>
              <w:right w:val="nil"/>
            </w:tcBorders>
            <w:vAlign w:val="center"/>
            <w:hideMark/>
          </w:tcPr>
          <w:p w14:paraId="08613E97"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15AAC9DA"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40E5D0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Pavath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Philavong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612BAA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Division</w:t>
            </w:r>
          </w:p>
        </w:tc>
        <w:tc>
          <w:tcPr>
            <w:tcW w:w="1361" w:type="dxa"/>
            <w:tcBorders>
              <w:top w:val="nil"/>
              <w:left w:val="nil"/>
              <w:bottom w:val="single" w:sz="4" w:space="0" w:color="auto"/>
              <w:right w:val="single" w:sz="4" w:space="0" w:color="auto"/>
            </w:tcBorders>
            <w:shd w:val="clear" w:color="000000" w:fill="D8D8D8"/>
            <w:noWrap/>
            <w:hideMark/>
          </w:tcPr>
          <w:p w14:paraId="578FFAA7" w14:textId="77777777" w:rsidR="009B2D79" w:rsidRPr="009B2D79" w:rsidRDefault="008E0EF0" w:rsidP="009B2D79">
            <w:pPr>
              <w:spacing w:before="0"/>
              <w:ind w:left="0"/>
              <w:jc w:val="left"/>
              <w:rPr>
                <w:rFonts w:ascii="Calibri" w:hAnsi="Calibri" w:cs="Calibri"/>
                <w:sz w:val="16"/>
                <w:szCs w:val="16"/>
                <w:u w:val="single"/>
                <w:lang w:val="en-GB" w:eastAsia="en-GB"/>
              </w:rPr>
            </w:pPr>
            <w:hyperlink r:id="rId48" w:history="1">
              <w:r w:rsidR="009B2D79" w:rsidRPr="009B2D79">
                <w:rPr>
                  <w:rFonts w:ascii="Calibri" w:hAnsi="Calibri" w:cs="Calibri"/>
                  <w:sz w:val="16"/>
                  <w:szCs w:val="16"/>
                  <w:u w:val="single"/>
                  <w:lang w:val="en-GB" w:eastAsia="en-GB"/>
                </w:rPr>
                <w:t>020 988787888</w:t>
              </w:r>
            </w:hyperlink>
          </w:p>
        </w:tc>
        <w:tc>
          <w:tcPr>
            <w:tcW w:w="1644" w:type="dxa"/>
            <w:gridSpan w:val="2"/>
            <w:tcBorders>
              <w:top w:val="nil"/>
              <w:left w:val="nil"/>
              <w:bottom w:val="single" w:sz="4" w:space="0" w:color="auto"/>
              <w:right w:val="single" w:sz="4" w:space="0" w:color="auto"/>
            </w:tcBorders>
            <w:shd w:val="clear" w:color="000000" w:fill="D8D8D8"/>
            <w:noWrap/>
            <w:hideMark/>
          </w:tcPr>
          <w:p w14:paraId="498FABEA"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49" w:history="1">
              <w:r w:rsidR="009B2D79" w:rsidRPr="009B2D79">
                <w:rPr>
                  <w:rFonts w:ascii="Calibri" w:hAnsi="Calibri" w:cs="Calibri"/>
                  <w:color w:val="0563C1"/>
                  <w:sz w:val="16"/>
                  <w:szCs w:val="16"/>
                  <w:u w:val="single"/>
                  <w:lang w:val="en-GB" w:eastAsia="en-GB"/>
                </w:rPr>
                <w:t>pavathplv@gmail.com</w:t>
              </w:r>
            </w:hyperlink>
          </w:p>
        </w:tc>
      </w:tr>
      <w:tr w:rsidR="009B2D79" w:rsidRPr="009B2D79" w14:paraId="39DA6DA0" w14:textId="77777777" w:rsidTr="009B2D79">
        <w:trPr>
          <w:trHeight w:val="360"/>
        </w:trPr>
        <w:tc>
          <w:tcPr>
            <w:tcW w:w="858" w:type="dxa"/>
            <w:vMerge/>
            <w:tcBorders>
              <w:top w:val="nil"/>
              <w:left w:val="nil"/>
              <w:bottom w:val="nil"/>
              <w:right w:val="nil"/>
            </w:tcBorders>
            <w:vAlign w:val="center"/>
            <w:hideMark/>
          </w:tcPr>
          <w:p w14:paraId="7F3B489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205BB64C"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96D505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Onechan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Phimmaseng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1B0AF9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Division</w:t>
            </w:r>
          </w:p>
        </w:tc>
        <w:tc>
          <w:tcPr>
            <w:tcW w:w="1361" w:type="dxa"/>
            <w:tcBorders>
              <w:top w:val="nil"/>
              <w:left w:val="nil"/>
              <w:bottom w:val="single" w:sz="4" w:space="0" w:color="auto"/>
              <w:right w:val="single" w:sz="4" w:space="0" w:color="auto"/>
            </w:tcBorders>
            <w:shd w:val="clear" w:color="000000" w:fill="D8D8D8"/>
            <w:noWrap/>
            <w:hideMark/>
          </w:tcPr>
          <w:p w14:paraId="224D098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020 55658649</w:t>
            </w:r>
          </w:p>
        </w:tc>
        <w:tc>
          <w:tcPr>
            <w:tcW w:w="1644" w:type="dxa"/>
            <w:gridSpan w:val="2"/>
            <w:tcBorders>
              <w:top w:val="nil"/>
              <w:left w:val="nil"/>
              <w:bottom w:val="nil"/>
              <w:right w:val="nil"/>
            </w:tcBorders>
            <w:shd w:val="clear" w:color="000000" w:fill="D8D8D8"/>
            <w:noWrap/>
            <w:hideMark/>
          </w:tcPr>
          <w:p w14:paraId="00723EA8" w14:textId="77777777" w:rsidR="009B2D79" w:rsidRPr="009B2D79" w:rsidRDefault="009B2D79" w:rsidP="009B2D79">
            <w:pPr>
              <w:spacing w:before="0"/>
              <w:ind w:left="0"/>
              <w:jc w:val="left"/>
              <w:rPr>
                <w:rFonts w:ascii="Calibri" w:hAnsi="Calibri" w:cs="Calibri"/>
                <w:color w:val="000000"/>
                <w:sz w:val="16"/>
                <w:szCs w:val="16"/>
                <w:lang w:val="en-GB" w:eastAsia="en-GB"/>
              </w:rPr>
            </w:pPr>
            <w:r w:rsidRPr="009B2D79">
              <w:rPr>
                <w:rFonts w:ascii="Calibri" w:hAnsi="Calibri" w:cs="Calibri"/>
                <w:color w:val="000000"/>
                <w:sz w:val="16"/>
                <w:szCs w:val="16"/>
                <w:lang w:val="en-GB" w:eastAsia="en-GB"/>
              </w:rPr>
              <w:t> </w:t>
            </w:r>
          </w:p>
        </w:tc>
      </w:tr>
      <w:tr w:rsidR="009B2D79" w:rsidRPr="009B2D79" w14:paraId="316BDC74" w14:textId="77777777" w:rsidTr="009B2D79">
        <w:trPr>
          <w:trHeight w:val="360"/>
        </w:trPr>
        <w:tc>
          <w:tcPr>
            <w:tcW w:w="858" w:type="dxa"/>
            <w:vMerge/>
            <w:tcBorders>
              <w:top w:val="nil"/>
              <w:left w:val="nil"/>
              <w:bottom w:val="nil"/>
              <w:right w:val="nil"/>
            </w:tcBorders>
            <w:vAlign w:val="center"/>
            <w:hideMark/>
          </w:tcPr>
          <w:p w14:paraId="0BAC6E9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711C5A0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7B65B9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Bounma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Vorasarn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9E5822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Division</w:t>
            </w:r>
          </w:p>
        </w:tc>
        <w:tc>
          <w:tcPr>
            <w:tcW w:w="1361" w:type="dxa"/>
            <w:tcBorders>
              <w:top w:val="nil"/>
              <w:left w:val="nil"/>
              <w:bottom w:val="single" w:sz="4" w:space="0" w:color="auto"/>
              <w:right w:val="single" w:sz="4" w:space="0" w:color="auto"/>
            </w:tcBorders>
            <w:shd w:val="clear" w:color="000000" w:fill="D8D8D8"/>
            <w:noWrap/>
            <w:hideMark/>
          </w:tcPr>
          <w:p w14:paraId="54BF167E"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020 56798737</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41CEB112"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0" w:history="1">
              <w:r w:rsidR="009B2D79" w:rsidRPr="009B2D79">
                <w:rPr>
                  <w:rFonts w:ascii="Calibri" w:hAnsi="Calibri" w:cs="Calibri"/>
                  <w:color w:val="0563C1"/>
                  <w:sz w:val="16"/>
                  <w:szCs w:val="16"/>
                  <w:u w:val="single"/>
                  <w:lang w:val="en-GB" w:eastAsia="en-GB"/>
                </w:rPr>
                <w:t>pradovorasarn@hotmail.com</w:t>
              </w:r>
            </w:hyperlink>
          </w:p>
        </w:tc>
      </w:tr>
      <w:tr w:rsidR="009B2D79" w:rsidRPr="009B2D79" w14:paraId="56F5EC7B" w14:textId="77777777" w:rsidTr="009B2D79">
        <w:trPr>
          <w:trHeight w:val="360"/>
        </w:trPr>
        <w:tc>
          <w:tcPr>
            <w:tcW w:w="858" w:type="dxa"/>
            <w:vMerge/>
            <w:tcBorders>
              <w:top w:val="nil"/>
              <w:left w:val="nil"/>
              <w:bottom w:val="nil"/>
              <w:right w:val="nil"/>
            </w:tcBorders>
            <w:vAlign w:val="center"/>
            <w:hideMark/>
          </w:tcPr>
          <w:p w14:paraId="11F50A9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00A4CC8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D481AC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Thongvone </w:t>
            </w:r>
            <w:proofErr w:type="spellStart"/>
            <w:r w:rsidRPr="009B2D79">
              <w:rPr>
                <w:rFonts w:ascii="Times New Roman" w:hAnsi="Times New Roman"/>
                <w:sz w:val="16"/>
                <w:szCs w:val="16"/>
                <w:lang w:val="en-GB" w:eastAsia="en-GB"/>
              </w:rPr>
              <w:t>Leuangphimna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2394C0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Division</w:t>
            </w:r>
          </w:p>
        </w:tc>
        <w:tc>
          <w:tcPr>
            <w:tcW w:w="1361" w:type="dxa"/>
            <w:tcBorders>
              <w:top w:val="nil"/>
              <w:left w:val="nil"/>
              <w:bottom w:val="single" w:sz="4" w:space="0" w:color="auto"/>
              <w:right w:val="single" w:sz="4" w:space="0" w:color="auto"/>
            </w:tcBorders>
            <w:shd w:val="clear" w:color="000000" w:fill="D8D8D8"/>
            <w:noWrap/>
            <w:hideMark/>
          </w:tcPr>
          <w:p w14:paraId="4B26326F"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020 55624037</w:t>
            </w:r>
          </w:p>
        </w:tc>
        <w:tc>
          <w:tcPr>
            <w:tcW w:w="1644" w:type="dxa"/>
            <w:gridSpan w:val="2"/>
            <w:tcBorders>
              <w:top w:val="nil"/>
              <w:left w:val="nil"/>
              <w:bottom w:val="single" w:sz="4" w:space="0" w:color="auto"/>
              <w:right w:val="single" w:sz="4" w:space="0" w:color="auto"/>
            </w:tcBorders>
            <w:shd w:val="clear" w:color="000000" w:fill="D8D8D8"/>
            <w:noWrap/>
            <w:hideMark/>
          </w:tcPr>
          <w:p w14:paraId="1369A544"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1" w:history="1">
              <w:r w:rsidR="009B2D79" w:rsidRPr="009B2D79">
                <w:rPr>
                  <w:rFonts w:ascii="Calibri" w:hAnsi="Calibri" w:cs="Calibri"/>
                  <w:color w:val="0563C1"/>
                  <w:sz w:val="16"/>
                  <w:szCs w:val="16"/>
                  <w:u w:val="single"/>
                  <w:lang w:val="en-GB" w:eastAsia="en-GB"/>
                </w:rPr>
                <w:t>thongvan.64@gmail.com</w:t>
              </w:r>
            </w:hyperlink>
          </w:p>
        </w:tc>
      </w:tr>
      <w:tr w:rsidR="009B2D79" w:rsidRPr="009B2D79" w14:paraId="5A7BC332" w14:textId="77777777" w:rsidTr="009B2D79">
        <w:trPr>
          <w:trHeight w:val="360"/>
        </w:trPr>
        <w:tc>
          <w:tcPr>
            <w:tcW w:w="858" w:type="dxa"/>
            <w:vMerge/>
            <w:tcBorders>
              <w:top w:val="nil"/>
              <w:left w:val="nil"/>
              <w:bottom w:val="nil"/>
              <w:right w:val="nil"/>
            </w:tcBorders>
            <w:vAlign w:val="center"/>
            <w:hideMark/>
          </w:tcPr>
          <w:p w14:paraId="337E0F2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061887F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625C48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Soulinphone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Phetxay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1F27F0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Division</w:t>
            </w:r>
          </w:p>
        </w:tc>
        <w:tc>
          <w:tcPr>
            <w:tcW w:w="1361" w:type="dxa"/>
            <w:tcBorders>
              <w:top w:val="nil"/>
              <w:left w:val="nil"/>
              <w:bottom w:val="single" w:sz="4" w:space="0" w:color="auto"/>
              <w:right w:val="single" w:sz="4" w:space="0" w:color="auto"/>
            </w:tcBorders>
            <w:shd w:val="clear" w:color="000000" w:fill="D8D8D8"/>
            <w:noWrap/>
            <w:hideMark/>
          </w:tcPr>
          <w:p w14:paraId="6EFF60A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020 96978181</w:t>
            </w:r>
          </w:p>
        </w:tc>
        <w:tc>
          <w:tcPr>
            <w:tcW w:w="1644" w:type="dxa"/>
            <w:gridSpan w:val="2"/>
            <w:tcBorders>
              <w:top w:val="nil"/>
              <w:left w:val="nil"/>
              <w:bottom w:val="nil"/>
              <w:right w:val="nil"/>
            </w:tcBorders>
            <w:shd w:val="clear" w:color="000000" w:fill="D8D8D8"/>
            <w:noWrap/>
            <w:hideMark/>
          </w:tcPr>
          <w:p w14:paraId="562B6984" w14:textId="77777777" w:rsidR="009B2D79" w:rsidRPr="009B2D79" w:rsidRDefault="009B2D79" w:rsidP="009B2D79">
            <w:pPr>
              <w:spacing w:before="0"/>
              <w:ind w:left="0"/>
              <w:jc w:val="left"/>
              <w:rPr>
                <w:rFonts w:ascii="Calibri" w:hAnsi="Calibri" w:cs="Calibri"/>
                <w:color w:val="000000"/>
                <w:sz w:val="16"/>
                <w:szCs w:val="16"/>
                <w:lang w:val="en-GB" w:eastAsia="en-GB"/>
              </w:rPr>
            </w:pPr>
            <w:r w:rsidRPr="009B2D79">
              <w:rPr>
                <w:rFonts w:ascii="Calibri" w:hAnsi="Calibri" w:cs="Calibri"/>
                <w:color w:val="000000"/>
                <w:sz w:val="16"/>
                <w:szCs w:val="16"/>
                <w:lang w:val="en-GB" w:eastAsia="en-GB"/>
              </w:rPr>
              <w:t> </w:t>
            </w:r>
          </w:p>
        </w:tc>
      </w:tr>
      <w:tr w:rsidR="009B2D79" w:rsidRPr="009B2D79" w14:paraId="4DFFB4C0" w14:textId="77777777" w:rsidTr="009B2D79">
        <w:trPr>
          <w:trHeight w:val="360"/>
        </w:trPr>
        <w:tc>
          <w:tcPr>
            <w:tcW w:w="858" w:type="dxa"/>
            <w:vMerge/>
            <w:tcBorders>
              <w:top w:val="nil"/>
              <w:left w:val="nil"/>
              <w:bottom w:val="nil"/>
              <w:right w:val="nil"/>
            </w:tcBorders>
            <w:vAlign w:val="center"/>
            <w:hideMark/>
          </w:tcPr>
          <w:p w14:paraId="58FC31A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5E08A68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CE8ABD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Vanhnakhone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Tommay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514E5B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1DBD876E"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020 28224141</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0B015AA9"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2" w:history="1">
              <w:r w:rsidR="009B2D79" w:rsidRPr="009B2D79">
                <w:rPr>
                  <w:rFonts w:ascii="Calibri" w:hAnsi="Calibri" w:cs="Calibri"/>
                  <w:color w:val="0563C1"/>
                  <w:sz w:val="16"/>
                  <w:szCs w:val="16"/>
                  <w:u w:val="single"/>
                  <w:lang w:val="en-GB" w:eastAsia="en-GB"/>
                </w:rPr>
                <w:t>vanhnakhone@gmail.com</w:t>
              </w:r>
            </w:hyperlink>
          </w:p>
        </w:tc>
      </w:tr>
      <w:tr w:rsidR="009B2D79" w:rsidRPr="009B2D79" w14:paraId="33655222" w14:textId="77777777" w:rsidTr="009B2D79">
        <w:trPr>
          <w:trHeight w:val="360"/>
        </w:trPr>
        <w:tc>
          <w:tcPr>
            <w:tcW w:w="858" w:type="dxa"/>
            <w:vMerge/>
            <w:tcBorders>
              <w:top w:val="nil"/>
              <w:left w:val="nil"/>
              <w:bottom w:val="nil"/>
              <w:right w:val="nil"/>
            </w:tcBorders>
            <w:vAlign w:val="center"/>
            <w:hideMark/>
          </w:tcPr>
          <w:p w14:paraId="65C5FBC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775996F9"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 xml:space="preserve">Institute for Financial Information Development </w:t>
            </w:r>
          </w:p>
        </w:tc>
        <w:tc>
          <w:tcPr>
            <w:tcW w:w="1774" w:type="dxa"/>
            <w:gridSpan w:val="2"/>
            <w:tcBorders>
              <w:top w:val="nil"/>
              <w:left w:val="nil"/>
              <w:bottom w:val="single" w:sz="4" w:space="0" w:color="auto"/>
              <w:right w:val="single" w:sz="4" w:space="0" w:color="auto"/>
            </w:tcBorders>
            <w:shd w:val="clear" w:color="000000" w:fill="D8D8D8"/>
            <w:noWrap/>
            <w:hideMark/>
          </w:tcPr>
          <w:p w14:paraId="4301D4C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Bountkeurt</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Inthavongsone</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84DB08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noWrap/>
            <w:hideMark/>
          </w:tcPr>
          <w:p w14:paraId="177A5F7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020 22468878</w:t>
            </w:r>
          </w:p>
        </w:tc>
        <w:tc>
          <w:tcPr>
            <w:tcW w:w="1644" w:type="dxa"/>
            <w:gridSpan w:val="2"/>
            <w:tcBorders>
              <w:top w:val="nil"/>
              <w:left w:val="nil"/>
              <w:bottom w:val="single" w:sz="4" w:space="0" w:color="auto"/>
              <w:right w:val="single" w:sz="4" w:space="0" w:color="auto"/>
            </w:tcBorders>
            <w:shd w:val="clear" w:color="000000" w:fill="D8D8D8"/>
            <w:noWrap/>
            <w:hideMark/>
          </w:tcPr>
          <w:p w14:paraId="4CAD676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523ED81" w14:textId="77777777" w:rsidTr="009B2D79">
        <w:trPr>
          <w:trHeight w:val="360"/>
        </w:trPr>
        <w:tc>
          <w:tcPr>
            <w:tcW w:w="858" w:type="dxa"/>
            <w:vMerge/>
            <w:tcBorders>
              <w:top w:val="nil"/>
              <w:left w:val="nil"/>
              <w:bottom w:val="nil"/>
              <w:right w:val="nil"/>
            </w:tcBorders>
            <w:vAlign w:val="center"/>
            <w:hideMark/>
          </w:tcPr>
          <w:p w14:paraId="510CA928"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DC2565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3766C1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Chanmina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Pamanivong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11E9D2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Head of Database &amp; Application Division</w:t>
            </w:r>
          </w:p>
        </w:tc>
        <w:tc>
          <w:tcPr>
            <w:tcW w:w="1361" w:type="dxa"/>
            <w:tcBorders>
              <w:top w:val="nil"/>
              <w:left w:val="nil"/>
              <w:bottom w:val="single" w:sz="4" w:space="0" w:color="auto"/>
              <w:right w:val="single" w:sz="4" w:space="0" w:color="auto"/>
            </w:tcBorders>
            <w:shd w:val="clear" w:color="000000" w:fill="D8D8D8"/>
            <w:noWrap/>
            <w:hideMark/>
          </w:tcPr>
          <w:p w14:paraId="0E7ED9D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020 55600190</w:t>
            </w:r>
          </w:p>
        </w:tc>
        <w:tc>
          <w:tcPr>
            <w:tcW w:w="1644" w:type="dxa"/>
            <w:gridSpan w:val="2"/>
            <w:tcBorders>
              <w:top w:val="nil"/>
              <w:left w:val="nil"/>
              <w:bottom w:val="single" w:sz="4" w:space="0" w:color="auto"/>
              <w:right w:val="single" w:sz="4" w:space="0" w:color="auto"/>
            </w:tcBorders>
            <w:shd w:val="clear" w:color="000000" w:fill="D8D8D8"/>
            <w:noWrap/>
            <w:hideMark/>
          </w:tcPr>
          <w:p w14:paraId="33783206"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3" w:history="1">
              <w:r w:rsidR="009B2D79" w:rsidRPr="009B2D79">
                <w:rPr>
                  <w:rFonts w:ascii="Calibri" w:hAnsi="Calibri" w:cs="Calibri"/>
                  <w:color w:val="0563C1"/>
                  <w:sz w:val="16"/>
                  <w:szCs w:val="16"/>
                  <w:u w:val="single"/>
                  <w:lang w:val="en-GB" w:eastAsia="en-GB"/>
                </w:rPr>
                <w:t>bobsoyboyd@gmail.com</w:t>
              </w:r>
            </w:hyperlink>
          </w:p>
        </w:tc>
      </w:tr>
      <w:tr w:rsidR="009B2D79" w:rsidRPr="009B2D79" w14:paraId="30433F6D" w14:textId="77777777" w:rsidTr="009B2D79">
        <w:trPr>
          <w:trHeight w:val="360"/>
        </w:trPr>
        <w:tc>
          <w:tcPr>
            <w:tcW w:w="858" w:type="dxa"/>
            <w:vMerge/>
            <w:tcBorders>
              <w:top w:val="nil"/>
              <w:left w:val="nil"/>
              <w:bottom w:val="nil"/>
              <w:right w:val="nil"/>
            </w:tcBorders>
            <w:vAlign w:val="center"/>
            <w:hideMark/>
          </w:tcPr>
          <w:p w14:paraId="6E5B3D7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D5237B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630472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Obsone</w:t>
            </w:r>
            <w:proofErr w:type="spellEnd"/>
            <w:r w:rsidRPr="009B2D79">
              <w:rPr>
                <w:rFonts w:ascii="Times New Roman" w:hAnsi="Times New Roman"/>
                <w:sz w:val="16"/>
                <w:szCs w:val="16"/>
                <w:lang w:val="en-GB" w:eastAsia="en-GB"/>
              </w:rPr>
              <w:t xml:space="preserve"> Boupha</w:t>
            </w:r>
          </w:p>
        </w:tc>
        <w:tc>
          <w:tcPr>
            <w:tcW w:w="2620" w:type="dxa"/>
            <w:gridSpan w:val="2"/>
            <w:tcBorders>
              <w:top w:val="nil"/>
              <w:left w:val="nil"/>
              <w:bottom w:val="single" w:sz="4" w:space="0" w:color="auto"/>
              <w:right w:val="single" w:sz="4" w:space="0" w:color="auto"/>
            </w:tcBorders>
            <w:shd w:val="clear" w:color="000000" w:fill="D8D8D8"/>
            <w:noWrap/>
            <w:hideMark/>
          </w:tcPr>
          <w:p w14:paraId="5526EE5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Division</w:t>
            </w:r>
          </w:p>
        </w:tc>
        <w:tc>
          <w:tcPr>
            <w:tcW w:w="1361" w:type="dxa"/>
            <w:tcBorders>
              <w:top w:val="nil"/>
              <w:left w:val="nil"/>
              <w:bottom w:val="single" w:sz="4" w:space="0" w:color="auto"/>
              <w:right w:val="single" w:sz="4" w:space="0" w:color="auto"/>
            </w:tcBorders>
            <w:shd w:val="clear" w:color="000000" w:fill="D8D8D8"/>
            <w:noWrap/>
            <w:hideMark/>
          </w:tcPr>
          <w:p w14:paraId="5193A3B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020 55676099</w:t>
            </w:r>
          </w:p>
        </w:tc>
        <w:tc>
          <w:tcPr>
            <w:tcW w:w="1644" w:type="dxa"/>
            <w:gridSpan w:val="2"/>
            <w:tcBorders>
              <w:top w:val="nil"/>
              <w:left w:val="nil"/>
              <w:bottom w:val="single" w:sz="4" w:space="0" w:color="auto"/>
              <w:right w:val="single" w:sz="4" w:space="0" w:color="auto"/>
            </w:tcBorders>
            <w:shd w:val="clear" w:color="000000" w:fill="D8D8D8"/>
            <w:noWrap/>
            <w:hideMark/>
          </w:tcPr>
          <w:p w14:paraId="27FD0205"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4" w:history="1">
              <w:r w:rsidR="009B2D79" w:rsidRPr="009B2D79">
                <w:rPr>
                  <w:rFonts w:ascii="Calibri" w:hAnsi="Calibri" w:cs="Calibri"/>
                  <w:color w:val="0563C1"/>
                  <w:sz w:val="16"/>
                  <w:szCs w:val="16"/>
                  <w:u w:val="single"/>
                  <w:lang w:val="en-GB" w:eastAsia="en-GB"/>
                </w:rPr>
                <w:t>obsobebouppha@gmail.com</w:t>
              </w:r>
            </w:hyperlink>
          </w:p>
        </w:tc>
      </w:tr>
      <w:tr w:rsidR="009B2D79" w:rsidRPr="009B2D79" w14:paraId="27BE80F3" w14:textId="77777777" w:rsidTr="009B2D79">
        <w:trPr>
          <w:trHeight w:val="360"/>
        </w:trPr>
        <w:tc>
          <w:tcPr>
            <w:tcW w:w="858" w:type="dxa"/>
            <w:vMerge/>
            <w:tcBorders>
              <w:top w:val="nil"/>
              <w:left w:val="nil"/>
              <w:bottom w:val="nil"/>
              <w:right w:val="nil"/>
            </w:tcBorders>
            <w:vAlign w:val="center"/>
            <w:hideMark/>
          </w:tcPr>
          <w:p w14:paraId="1EE508A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nil"/>
              <w:left w:val="single" w:sz="4" w:space="0" w:color="auto"/>
              <w:bottom w:val="nil"/>
              <w:right w:val="single" w:sz="4" w:space="0" w:color="auto"/>
            </w:tcBorders>
            <w:shd w:val="clear" w:color="000000" w:fill="FFFFFF"/>
            <w:hideMark/>
          </w:tcPr>
          <w:p w14:paraId="5388954D"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Tax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39D4872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Mrs. </w:t>
            </w:r>
            <w:proofErr w:type="spellStart"/>
            <w:r w:rsidRPr="009B2D79">
              <w:rPr>
                <w:rFonts w:ascii="Times New Roman" w:hAnsi="Times New Roman"/>
                <w:sz w:val="16"/>
                <w:szCs w:val="16"/>
                <w:lang w:val="en-GB" w:eastAsia="en-GB"/>
              </w:rPr>
              <w:t>Khonemany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Phimasack</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9510D3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noWrap/>
            <w:hideMark/>
          </w:tcPr>
          <w:p w14:paraId="257536CD"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020 22235998</w:t>
            </w:r>
          </w:p>
        </w:tc>
        <w:tc>
          <w:tcPr>
            <w:tcW w:w="1644" w:type="dxa"/>
            <w:gridSpan w:val="2"/>
            <w:tcBorders>
              <w:top w:val="nil"/>
              <w:left w:val="nil"/>
              <w:bottom w:val="single" w:sz="4" w:space="0" w:color="auto"/>
              <w:right w:val="single" w:sz="4" w:space="0" w:color="auto"/>
            </w:tcBorders>
            <w:shd w:val="clear" w:color="000000" w:fill="D8D8D8"/>
            <w:noWrap/>
            <w:hideMark/>
          </w:tcPr>
          <w:p w14:paraId="1CC409F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CC4C1E7" w14:textId="77777777" w:rsidTr="009B2D79">
        <w:trPr>
          <w:trHeight w:val="360"/>
        </w:trPr>
        <w:tc>
          <w:tcPr>
            <w:tcW w:w="858" w:type="dxa"/>
            <w:vMerge/>
            <w:tcBorders>
              <w:top w:val="nil"/>
              <w:left w:val="nil"/>
              <w:bottom w:val="nil"/>
              <w:right w:val="nil"/>
            </w:tcBorders>
            <w:vAlign w:val="center"/>
            <w:hideMark/>
          </w:tcPr>
          <w:p w14:paraId="5265C3A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25104559"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C41331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Mrs. </w:t>
            </w:r>
            <w:proofErr w:type="spellStart"/>
            <w:r w:rsidRPr="009B2D79">
              <w:rPr>
                <w:rFonts w:ascii="Times New Roman" w:hAnsi="Times New Roman"/>
                <w:sz w:val="16"/>
                <w:szCs w:val="16"/>
                <w:lang w:val="en-GB" w:eastAsia="en-GB"/>
              </w:rPr>
              <w:t>Bounsavanh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Vilaysone</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C519EF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Head of Operation Division</w:t>
            </w:r>
          </w:p>
        </w:tc>
        <w:tc>
          <w:tcPr>
            <w:tcW w:w="1361" w:type="dxa"/>
            <w:tcBorders>
              <w:top w:val="nil"/>
              <w:left w:val="nil"/>
              <w:bottom w:val="single" w:sz="4" w:space="0" w:color="auto"/>
              <w:right w:val="single" w:sz="4" w:space="0" w:color="auto"/>
            </w:tcBorders>
            <w:shd w:val="clear" w:color="000000" w:fill="D8D8D8"/>
            <w:noWrap/>
            <w:hideMark/>
          </w:tcPr>
          <w:p w14:paraId="124C712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2056669795</w:t>
            </w:r>
          </w:p>
        </w:tc>
        <w:tc>
          <w:tcPr>
            <w:tcW w:w="1644" w:type="dxa"/>
            <w:gridSpan w:val="2"/>
            <w:tcBorders>
              <w:top w:val="nil"/>
              <w:left w:val="nil"/>
              <w:bottom w:val="single" w:sz="4" w:space="0" w:color="auto"/>
              <w:right w:val="single" w:sz="4" w:space="0" w:color="auto"/>
            </w:tcBorders>
            <w:shd w:val="clear" w:color="000000" w:fill="D8D8D8"/>
            <w:noWrap/>
            <w:hideMark/>
          </w:tcPr>
          <w:p w14:paraId="199CBB2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xml:space="preserve"> bounvls@gmail.com</w:t>
            </w:r>
          </w:p>
        </w:tc>
      </w:tr>
      <w:tr w:rsidR="009B2D79" w:rsidRPr="009B2D79" w14:paraId="41F499C2" w14:textId="77777777" w:rsidTr="009B2D79">
        <w:trPr>
          <w:trHeight w:val="360"/>
        </w:trPr>
        <w:tc>
          <w:tcPr>
            <w:tcW w:w="858" w:type="dxa"/>
            <w:vMerge/>
            <w:tcBorders>
              <w:top w:val="nil"/>
              <w:left w:val="nil"/>
              <w:bottom w:val="nil"/>
              <w:right w:val="nil"/>
            </w:tcBorders>
            <w:vAlign w:val="center"/>
            <w:hideMark/>
          </w:tcPr>
          <w:p w14:paraId="134F82A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6C53077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85179A7" w14:textId="77777777" w:rsidR="009B2D79" w:rsidRPr="00D5285E" w:rsidRDefault="00310D44" w:rsidP="009B2D79">
            <w:pPr>
              <w:spacing w:before="0"/>
              <w:ind w:left="0"/>
              <w:jc w:val="left"/>
              <w:rPr>
                <w:rFonts w:ascii="Times New Roman" w:hAnsi="Times New Roman"/>
                <w:sz w:val="16"/>
                <w:szCs w:val="16"/>
                <w:lang w:val="pt-PT" w:eastAsia="en-GB"/>
              </w:rPr>
            </w:pPr>
            <w:r w:rsidRPr="00310D44">
              <w:rPr>
                <w:rFonts w:ascii="Times New Roman" w:hAnsi="Times New Roman"/>
                <w:sz w:val="16"/>
                <w:szCs w:val="16"/>
                <w:lang w:val="pt-PT" w:eastAsia="en-GB"/>
              </w:rPr>
              <w:t xml:space="preserve">Ms. Avina Luang A math </w:t>
            </w:r>
          </w:p>
        </w:tc>
        <w:tc>
          <w:tcPr>
            <w:tcW w:w="2620" w:type="dxa"/>
            <w:gridSpan w:val="2"/>
            <w:tcBorders>
              <w:top w:val="nil"/>
              <w:left w:val="nil"/>
              <w:bottom w:val="single" w:sz="4" w:space="0" w:color="auto"/>
              <w:right w:val="single" w:sz="4" w:space="0" w:color="auto"/>
            </w:tcBorders>
            <w:shd w:val="clear" w:color="000000" w:fill="D8D8D8"/>
            <w:noWrap/>
            <w:hideMark/>
          </w:tcPr>
          <w:p w14:paraId="78B4E26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ICT Division</w:t>
            </w:r>
          </w:p>
        </w:tc>
        <w:tc>
          <w:tcPr>
            <w:tcW w:w="1361" w:type="dxa"/>
            <w:tcBorders>
              <w:top w:val="nil"/>
              <w:left w:val="nil"/>
              <w:bottom w:val="single" w:sz="4" w:space="0" w:color="auto"/>
              <w:right w:val="single" w:sz="4" w:space="0" w:color="auto"/>
            </w:tcBorders>
            <w:shd w:val="clear" w:color="000000" w:fill="D8D8D8"/>
            <w:noWrap/>
            <w:hideMark/>
          </w:tcPr>
          <w:p w14:paraId="4E5E17A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2022200410</w:t>
            </w:r>
          </w:p>
        </w:tc>
        <w:tc>
          <w:tcPr>
            <w:tcW w:w="1644" w:type="dxa"/>
            <w:gridSpan w:val="2"/>
            <w:tcBorders>
              <w:top w:val="nil"/>
              <w:left w:val="nil"/>
              <w:bottom w:val="single" w:sz="4" w:space="0" w:color="auto"/>
              <w:right w:val="single" w:sz="4" w:space="0" w:color="auto"/>
            </w:tcBorders>
            <w:shd w:val="clear" w:color="000000" w:fill="D8D8D8"/>
            <w:noWrap/>
            <w:hideMark/>
          </w:tcPr>
          <w:p w14:paraId="0ABE4F4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xml:space="preserve"> avina@yahoo.com</w:t>
            </w:r>
          </w:p>
        </w:tc>
      </w:tr>
      <w:tr w:rsidR="009B2D79" w:rsidRPr="009B2D79" w14:paraId="3FE2DBCF" w14:textId="77777777" w:rsidTr="009B2D79">
        <w:trPr>
          <w:trHeight w:val="360"/>
        </w:trPr>
        <w:tc>
          <w:tcPr>
            <w:tcW w:w="858" w:type="dxa"/>
            <w:vMerge/>
            <w:tcBorders>
              <w:top w:val="nil"/>
              <w:left w:val="nil"/>
              <w:bottom w:val="nil"/>
              <w:right w:val="nil"/>
            </w:tcBorders>
            <w:vAlign w:val="center"/>
            <w:hideMark/>
          </w:tcPr>
          <w:p w14:paraId="5FBB731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353AAAAC"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6B24B3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Phouthasack</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Phommachack</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0FD83A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Revenue Collection Division</w:t>
            </w:r>
          </w:p>
        </w:tc>
        <w:tc>
          <w:tcPr>
            <w:tcW w:w="1361" w:type="dxa"/>
            <w:tcBorders>
              <w:top w:val="nil"/>
              <w:left w:val="nil"/>
              <w:bottom w:val="single" w:sz="4" w:space="0" w:color="auto"/>
              <w:right w:val="single" w:sz="4" w:space="0" w:color="auto"/>
            </w:tcBorders>
            <w:shd w:val="clear" w:color="000000" w:fill="D8D8D8"/>
            <w:noWrap/>
            <w:hideMark/>
          </w:tcPr>
          <w:p w14:paraId="38B0A0B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020 22235888</w:t>
            </w:r>
          </w:p>
        </w:tc>
        <w:tc>
          <w:tcPr>
            <w:tcW w:w="1644" w:type="dxa"/>
            <w:gridSpan w:val="2"/>
            <w:tcBorders>
              <w:top w:val="nil"/>
              <w:left w:val="nil"/>
              <w:bottom w:val="single" w:sz="4" w:space="0" w:color="auto"/>
              <w:right w:val="single" w:sz="4" w:space="0" w:color="auto"/>
            </w:tcBorders>
            <w:shd w:val="clear" w:color="000000" w:fill="D8D8D8"/>
            <w:noWrap/>
            <w:hideMark/>
          </w:tcPr>
          <w:p w14:paraId="6B1280C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xml:space="preserve"> phoutdm@gmail.com</w:t>
            </w:r>
          </w:p>
        </w:tc>
      </w:tr>
      <w:tr w:rsidR="009B2D79" w:rsidRPr="009B2D79" w14:paraId="6BE39B85" w14:textId="77777777" w:rsidTr="009B2D79">
        <w:trPr>
          <w:trHeight w:val="360"/>
        </w:trPr>
        <w:tc>
          <w:tcPr>
            <w:tcW w:w="858" w:type="dxa"/>
            <w:vMerge/>
            <w:tcBorders>
              <w:top w:val="nil"/>
              <w:left w:val="nil"/>
              <w:bottom w:val="nil"/>
              <w:right w:val="nil"/>
            </w:tcBorders>
            <w:vAlign w:val="center"/>
            <w:hideMark/>
          </w:tcPr>
          <w:p w14:paraId="7D1770B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074CC2A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6D438F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Vaxeng</w:t>
            </w:r>
            <w:proofErr w:type="spellEnd"/>
            <w:r w:rsidRPr="009B2D79">
              <w:rPr>
                <w:rFonts w:ascii="Times New Roman" w:hAnsi="Times New Roman"/>
                <w:sz w:val="16"/>
                <w:szCs w:val="16"/>
                <w:lang w:val="en-GB" w:eastAsia="en-GB"/>
              </w:rPr>
              <w:t xml:space="preserve"> Her</w:t>
            </w:r>
          </w:p>
        </w:tc>
        <w:tc>
          <w:tcPr>
            <w:tcW w:w="2620" w:type="dxa"/>
            <w:gridSpan w:val="2"/>
            <w:tcBorders>
              <w:top w:val="nil"/>
              <w:left w:val="nil"/>
              <w:bottom w:val="single" w:sz="4" w:space="0" w:color="auto"/>
              <w:right w:val="single" w:sz="4" w:space="0" w:color="auto"/>
            </w:tcBorders>
            <w:shd w:val="clear" w:color="000000" w:fill="D8D8D8"/>
            <w:noWrap/>
            <w:hideMark/>
          </w:tcPr>
          <w:p w14:paraId="369938D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IT Division</w:t>
            </w:r>
          </w:p>
        </w:tc>
        <w:tc>
          <w:tcPr>
            <w:tcW w:w="1361" w:type="dxa"/>
            <w:tcBorders>
              <w:top w:val="nil"/>
              <w:left w:val="nil"/>
              <w:bottom w:val="single" w:sz="4" w:space="0" w:color="auto"/>
              <w:right w:val="single" w:sz="4" w:space="0" w:color="auto"/>
            </w:tcBorders>
            <w:shd w:val="clear" w:color="000000" w:fill="D8D8D8"/>
            <w:noWrap/>
            <w:hideMark/>
          </w:tcPr>
          <w:p w14:paraId="2F2647E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020 23435363</w:t>
            </w:r>
          </w:p>
        </w:tc>
        <w:tc>
          <w:tcPr>
            <w:tcW w:w="1644" w:type="dxa"/>
            <w:gridSpan w:val="2"/>
            <w:tcBorders>
              <w:top w:val="nil"/>
              <w:left w:val="nil"/>
              <w:bottom w:val="single" w:sz="4" w:space="0" w:color="auto"/>
              <w:right w:val="single" w:sz="4" w:space="0" w:color="auto"/>
            </w:tcBorders>
            <w:shd w:val="clear" w:color="000000" w:fill="D8D8D8"/>
            <w:noWrap/>
            <w:hideMark/>
          </w:tcPr>
          <w:p w14:paraId="6AA2354C"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5" w:history="1">
              <w:r w:rsidR="009B2D79" w:rsidRPr="009B2D79">
                <w:rPr>
                  <w:rFonts w:ascii="Calibri" w:hAnsi="Calibri" w:cs="Calibri"/>
                  <w:color w:val="0563C1"/>
                  <w:sz w:val="16"/>
                  <w:szCs w:val="16"/>
                  <w:u w:val="single"/>
                  <w:lang w:val="en-GB" w:eastAsia="en-GB"/>
                </w:rPr>
                <w:t>It-taxdept@hotmail.com</w:t>
              </w:r>
            </w:hyperlink>
          </w:p>
        </w:tc>
      </w:tr>
      <w:tr w:rsidR="009B2D79" w:rsidRPr="009B2D79" w14:paraId="60ADA5D1" w14:textId="77777777" w:rsidTr="009B2D79">
        <w:trPr>
          <w:trHeight w:val="360"/>
        </w:trPr>
        <w:tc>
          <w:tcPr>
            <w:tcW w:w="858" w:type="dxa"/>
            <w:vMerge/>
            <w:tcBorders>
              <w:top w:val="nil"/>
              <w:left w:val="nil"/>
              <w:bottom w:val="nil"/>
              <w:right w:val="nil"/>
            </w:tcBorders>
            <w:vAlign w:val="center"/>
            <w:hideMark/>
          </w:tcPr>
          <w:p w14:paraId="15D2214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395339E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8E0DA4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Anouvong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Bouaphan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5220E89"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Depputy</w:t>
            </w:r>
            <w:proofErr w:type="spellEnd"/>
            <w:r w:rsidRPr="009B2D79">
              <w:rPr>
                <w:rFonts w:ascii="Times New Roman" w:hAnsi="Times New Roman"/>
                <w:sz w:val="16"/>
                <w:szCs w:val="16"/>
                <w:lang w:val="en-GB" w:eastAsia="en-GB"/>
              </w:rPr>
              <w:t xml:space="preserve"> Director of Tax Revenue Service Division</w:t>
            </w:r>
          </w:p>
        </w:tc>
        <w:tc>
          <w:tcPr>
            <w:tcW w:w="1361" w:type="dxa"/>
            <w:tcBorders>
              <w:top w:val="nil"/>
              <w:left w:val="nil"/>
              <w:bottom w:val="single" w:sz="4" w:space="0" w:color="auto"/>
              <w:right w:val="single" w:sz="4" w:space="0" w:color="auto"/>
            </w:tcBorders>
            <w:shd w:val="clear" w:color="000000" w:fill="D8D8D8"/>
            <w:noWrap/>
            <w:hideMark/>
          </w:tcPr>
          <w:p w14:paraId="3694819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7A3BBC2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04C067D" w14:textId="77777777" w:rsidTr="009B2D79">
        <w:trPr>
          <w:trHeight w:val="360"/>
        </w:trPr>
        <w:tc>
          <w:tcPr>
            <w:tcW w:w="858" w:type="dxa"/>
            <w:vMerge/>
            <w:tcBorders>
              <w:top w:val="nil"/>
              <w:left w:val="nil"/>
              <w:bottom w:val="nil"/>
              <w:right w:val="nil"/>
            </w:tcBorders>
            <w:vAlign w:val="center"/>
            <w:hideMark/>
          </w:tcPr>
          <w:p w14:paraId="00BF1CC5"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3EBF5CE0"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E5AD6C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Mr. Vileth Kinnavong</w:t>
            </w:r>
          </w:p>
        </w:tc>
        <w:tc>
          <w:tcPr>
            <w:tcW w:w="2620" w:type="dxa"/>
            <w:gridSpan w:val="2"/>
            <w:tcBorders>
              <w:top w:val="nil"/>
              <w:left w:val="nil"/>
              <w:bottom w:val="single" w:sz="4" w:space="0" w:color="auto"/>
              <w:right w:val="single" w:sz="4" w:space="0" w:color="auto"/>
            </w:tcBorders>
            <w:shd w:val="clear" w:color="000000" w:fill="D8D8D8"/>
            <w:noWrap/>
            <w:hideMark/>
          </w:tcPr>
          <w:p w14:paraId="0DEDF6E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of Planning and International </w:t>
            </w:r>
            <w:proofErr w:type="spellStart"/>
            <w:r w:rsidRPr="009B2D79">
              <w:rPr>
                <w:rFonts w:ascii="Times New Roman" w:hAnsi="Times New Roman"/>
                <w:sz w:val="16"/>
                <w:szCs w:val="16"/>
                <w:lang w:val="en-GB" w:eastAsia="en-GB"/>
              </w:rPr>
              <w:t>Coporation</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7D2572E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020 22220256</w:t>
            </w:r>
          </w:p>
        </w:tc>
        <w:tc>
          <w:tcPr>
            <w:tcW w:w="1644" w:type="dxa"/>
            <w:gridSpan w:val="2"/>
            <w:tcBorders>
              <w:top w:val="nil"/>
              <w:left w:val="nil"/>
              <w:bottom w:val="single" w:sz="4" w:space="0" w:color="auto"/>
              <w:right w:val="single" w:sz="4" w:space="0" w:color="auto"/>
            </w:tcBorders>
            <w:shd w:val="clear" w:color="000000" w:fill="D8D8D8"/>
            <w:noWrap/>
            <w:hideMark/>
          </w:tcPr>
          <w:p w14:paraId="20B6CFBB"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6" w:history="1">
              <w:r w:rsidR="009B2D79" w:rsidRPr="009B2D79">
                <w:rPr>
                  <w:rFonts w:ascii="Calibri" w:hAnsi="Calibri" w:cs="Calibri"/>
                  <w:color w:val="0563C1"/>
                  <w:sz w:val="16"/>
                  <w:szCs w:val="16"/>
                  <w:u w:val="single"/>
                  <w:lang w:val="en-GB" w:eastAsia="en-GB"/>
                </w:rPr>
                <w:t xml:space="preserve">vilethk@gmail.com </w:t>
              </w:r>
            </w:hyperlink>
          </w:p>
        </w:tc>
      </w:tr>
      <w:tr w:rsidR="009B2D79" w:rsidRPr="009B2D79" w14:paraId="7CEE0A41" w14:textId="77777777" w:rsidTr="009B2D79">
        <w:trPr>
          <w:trHeight w:val="360"/>
        </w:trPr>
        <w:tc>
          <w:tcPr>
            <w:tcW w:w="858" w:type="dxa"/>
            <w:vMerge/>
            <w:tcBorders>
              <w:top w:val="nil"/>
              <w:left w:val="nil"/>
              <w:bottom w:val="nil"/>
              <w:right w:val="nil"/>
            </w:tcBorders>
            <w:vAlign w:val="center"/>
            <w:hideMark/>
          </w:tcPr>
          <w:p w14:paraId="1FA19CD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1609A24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AA2E83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Souphanh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Vilavong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6B353D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Post Filing Division</w:t>
            </w:r>
          </w:p>
        </w:tc>
        <w:tc>
          <w:tcPr>
            <w:tcW w:w="1361" w:type="dxa"/>
            <w:tcBorders>
              <w:top w:val="nil"/>
              <w:left w:val="nil"/>
              <w:bottom w:val="single" w:sz="4" w:space="0" w:color="auto"/>
              <w:right w:val="single" w:sz="4" w:space="0" w:color="auto"/>
            </w:tcBorders>
            <w:shd w:val="clear" w:color="000000" w:fill="D8D8D8"/>
            <w:noWrap/>
            <w:hideMark/>
          </w:tcPr>
          <w:p w14:paraId="48A3E1A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020 55830248</w:t>
            </w:r>
          </w:p>
        </w:tc>
        <w:tc>
          <w:tcPr>
            <w:tcW w:w="1644" w:type="dxa"/>
            <w:gridSpan w:val="2"/>
            <w:tcBorders>
              <w:top w:val="nil"/>
              <w:left w:val="nil"/>
              <w:bottom w:val="nil"/>
              <w:right w:val="nil"/>
            </w:tcBorders>
            <w:shd w:val="clear" w:color="000000" w:fill="D8D8D8"/>
            <w:noWrap/>
            <w:hideMark/>
          </w:tcPr>
          <w:p w14:paraId="5214A440"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7" w:history="1">
              <w:r w:rsidR="009B2D79" w:rsidRPr="009B2D79">
                <w:rPr>
                  <w:rFonts w:ascii="Calibri" w:hAnsi="Calibri" w:cs="Calibri"/>
                  <w:color w:val="0563C1"/>
                  <w:sz w:val="16"/>
                  <w:szCs w:val="16"/>
                  <w:u w:val="single"/>
                  <w:lang w:val="en-GB" w:eastAsia="en-GB"/>
                </w:rPr>
                <w:t xml:space="preserve">souphanhvilavong@gmail.com </w:t>
              </w:r>
            </w:hyperlink>
          </w:p>
        </w:tc>
      </w:tr>
      <w:tr w:rsidR="009B2D79" w:rsidRPr="009B2D79" w14:paraId="4B288FE5" w14:textId="77777777" w:rsidTr="009B2D79">
        <w:trPr>
          <w:trHeight w:val="360"/>
        </w:trPr>
        <w:tc>
          <w:tcPr>
            <w:tcW w:w="858" w:type="dxa"/>
            <w:vMerge/>
            <w:tcBorders>
              <w:top w:val="nil"/>
              <w:left w:val="nil"/>
              <w:bottom w:val="nil"/>
              <w:right w:val="nil"/>
            </w:tcBorders>
            <w:vAlign w:val="center"/>
            <w:hideMark/>
          </w:tcPr>
          <w:p w14:paraId="530C6C1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1E9C117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456CAE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Phaypany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Choummaly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0B32DD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of Planning and International </w:t>
            </w:r>
            <w:proofErr w:type="spellStart"/>
            <w:r w:rsidRPr="009B2D79">
              <w:rPr>
                <w:rFonts w:ascii="Times New Roman" w:hAnsi="Times New Roman"/>
                <w:sz w:val="16"/>
                <w:szCs w:val="16"/>
                <w:lang w:val="en-GB" w:eastAsia="en-GB"/>
              </w:rPr>
              <w:t>Coporation</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24F1E80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020 56660616</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6F5FD984"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8" w:history="1">
              <w:r w:rsidR="009B2D79" w:rsidRPr="009B2D79">
                <w:rPr>
                  <w:rFonts w:ascii="Calibri" w:hAnsi="Calibri" w:cs="Calibri"/>
                  <w:color w:val="0563C1"/>
                  <w:sz w:val="16"/>
                  <w:szCs w:val="16"/>
                  <w:u w:val="single"/>
                  <w:lang w:val="en-GB" w:eastAsia="en-GB"/>
                </w:rPr>
                <w:t>linakowa@iuj.ac.jp</w:t>
              </w:r>
            </w:hyperlink>
          </w:p>
        </w:tc>
      </w:tr>
      <w:tr w:rsidR="009B2D79" w:rsidRPr="009B2D79" w14:paraId="26590959" w14:textId="77777777" w:rsidTr="009B2D79">
        <w:trPr>
          <w:trHeight w:val="360"/>
        </w:trPr>
        <w:tc>
          <w:tcPr>
            <w:tcW w:w="858" w:type="dxa"/>
            <w:vMerge/>
            <w:tcBorders>
              <w:top w:val="nil"/>
              <w:left w:val="nil"/>
              <w:bottom w:val="nil"/>
              <w:right w:val="nil"/>
            </w:tcBorders>
            <w:vAlign w:val="center"/>
            <w:hideMark/>
          </w:tcPr>
          <w:p w14:paraId="6E25103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1EED0260"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580ED6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Dalaphone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Zamountry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E212C3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w:t>
            </w:r>
            <w:proofErr w:type="spellStart"/>
            <w:r w:rsidRPr="009B2D79">
              <w:rPr>
                <w:rFonts w:ascii="Times New Roman" w:hAnsi="Times New Roman"/>
                <w:sz w:val="16"/>
                <w:szCs w:val="16"/>
                <w:lang w:val="en-GB" w:eastAsia="en-GB"/>
              </w:rPr>
              <w:t>Officerof</w:t>
            </w:r>
            <w:proofErr w:type="spellEnd"/>
            <w:r w:rsidRPr="009B2D79">
              <w:rPr>
                <w:rFonts w:ascii="Times New Roman" w:hAnsi="Times New Roman"/>
                <w:sz w:val="16"/>
                <w:szCs w:val="16"/>
                <w:lang w:val="en-GB" w:eastAsia="en-GB"/>
              </w:rPr>
              <w:t xml:space="preserve"> Planning and International </w:t>
            </w:r>
            <w:proofErr w:type="spellStart"/>
            <w:r w:rsidRPr="009B2D79">
              <w:rPr>
                <w:rFonts w:ascii="Times New Roman" w:hAnsi="Times New Roman"/>
                <w:sz w:val="16"/>
                <w:szCs w:val="16"/>
                <w:lang w:val="en-GB" w:eastAsia="en-GB"/>
              </w:rPr>
              <w:t>Coporation</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19A9131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020 52300890</w:t>
            </w:r>
          </w:p>
        </w:tc>
        <w:tc>
          <w:tcPr>
            <w:tcW w:w="1644" w:type="dxa"/>
            <w:gridSpan w:val="2"/>
            <w:tcBorders>
              <w:top w:val="nil"/>
              <w:left w:val="nil"/>
              <w:bottom w:val="single" w:sz="4" w:space="0" w:color="auto"/>
              <w:right w:val="single" w:sz="4" w:space="0" w:color="auto"/>
            </w:tcBorders>
            <w:shd w:val="clear" w:color="000000" w:fill="D8D8D8"/>
            <w:noWrap/>
            <w:hideMark/>
          </w:tcPr>
          <w:p w14:paraId="064F2C0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7EE3D89" w14:textId="77777777" w:rsidTr="009B2D79">
        <w:trPr>
          <w:trHeight w:val="360"/>
        </w:trPr>
        <w:tc>
          <w:tcPr>
            <w:tcW w:w="858" w:type="dxa"/>
            <w:vMerge/>
            <w:tcBorders>
              <w:top w:val="nil"/>
              <w:left w:val="nil"/>
              <w:bottom w:val="nil"/>
              <w:right w:val="nil"/>
            </w:tcBorders>
            <w:vAlign w:val="center"/>
            <w:hideMark/>
          </w:tcPr>
          <w:p w14:paraId="40C8580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single" w:sz="4" w:space="0" w:color="auto"/>
              <w:left w:val="single" w:sz="4" w:space="0" w:color="auto"/>
              <w:bottom w:val="nil"/>
              <w:right w:val="single" w:sz="4" w:space="0" w:color="auto"/>
            </w:tcBorders>
            <w:shd w:val="clear" w:color="auto" w:fill="auto"/>
            <w:hideMark/>
          </w:tcPr>
          <w:p w14:paraId="60E5BCF6"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Tax Division</w:t>
            </w:r>
            <w:r w:rsidRPr="009B2D79">
              <w:rPr>
                <w:rFonts w:ascii="Times New Roman" w:hAnsi="Times New Roman"/>
                <w:sz w:val="16"/>
                <w:szCs w:val="16"/>
                <w:lang w:val="en-GB" w:eastAsia="en-GB"/>
              </w:rPr>
              <w:br/>
              <w:t>VTE Capital</w:t>
            </w:r>
          </w:p>
        </w:tc>
        <w:tc>
          <w:tcPr>
            <w:tcW w:w="1774" w:type="dxa"/>
            <w:gridSpan w:val="2"/>
            <w:tcBorders>
              <w:top w:val="nil"/>
              <w:left w:val="nil"/>
              <w:bottom w:val="single" w:sz="4" w:space="0" w:color="auto"/>
              <w:right w:val="single" w:sz="4" w:space="0" w:color="auto"/>
            </w:tcBorders>
            <w:shd w:val="clear" w:color="000000" w:fill="D8D8D8"/>
            <w:noWrap/>
            <w:hideMark/>
          </w:tcPr>
          <w:p w14:paraId="688F20F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Vongthong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Khamkikeo</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5F0069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Head of </w:t>
            </w:r>
            <w:proofErr w:type="spellStart"/>
            <w:r w:rsidRPr="009B2D79">
              <w:rPr>
                <w:rFonts w:ascii="Times New Roman" w:hAnsi="Times New Roman"/>
                <w:sz w:val="16"/>
                <w:szCs w:val="16"/>
                <w:lang w:val="en-GB" w:eastAsia="en-GB"/>
              </w:rPr>
              <w:t>Personel</w:t>
            </w:r>
            <w:proofErr w:type="spellEnd"/>
            <w:r w:rsidRPr="009B2D79">
              <w:rPr>
                <w:rFonts w:ascii="Times New Roman" w:hAnsi="Times New Roman"/>
                <w:sz w:val="16"/>
                <w:szCs w:val="16"/>
                <w:lang w:val="en-GB" w:eastAsia="en-GB"/>
              </w:rPr>
              <w:t>, Administration and Finance Division</w:t>
            </w:r>
          </w:p>
        </w:tc>
        <w:tc>
          <w:tcPr>
            <w:tcW w:w="1361" w:type="dxa"/>
            <w:tcBorders>
              <w:top w:val="nil"/>
              <w:left w:val="nil"/>
              <w:bottom w:val="single" w:sz="4" w:space="0" w:color="auto"/>
              <w:right w:val="single" w:sz="4" w:space="0" w:color="auto"/>
            </w:tcBorders>
            <w:shd w:val="clear" w:color="000000" w:fill="D8D8D8"/>
            <w:noWrap/>
            <w:hideMark/>
          </w:tcPr>
          <w:p w14:paraId="7439691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020 22215689</w:t>
            </w:r>
          </w:p>
        </w:tc>
        <w:tc>
          <w:tcPr>
            <w:tcW w:w="1644" w:type="dxa"/>
            <w:gridSpan w:val="2"/>
            <w:tcBorders>
              <w:top w:val="nil"/>
              <w:left w:val="nil"/>
              <w:bottom w:val="single" w:sz="4" w:space="0" w:color="auto"/>
              <w:right w:val="single" w:sz="4" w:space="0" w:color="auto"/>
            </w:tcBorders>
            <w:shd w:val="clear" w:color="000000" w:fill="D8D8D8"/>
            <w:noWrap/>
            <w:hideMark/>
          </w:tcPr>
          <w:p w14:paraId="59811422"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59" w:history="1">
              <w:r w:rsidR="009B2D79" w:rsidRPr="009B2D79">
                <w:rPr>
                  <w:rFonts w:ascii="Calibri" w:hAnsi="Calibri" w:cs="Calibri"/>
                  <w:color w:val="0563C1"/>
                  <w:sz w:val="16"/>
                  <w:szCs w:val="16"/>
                  <w:u w:val="single"/>
                  <w:lang w:val="en-GB" w:eastAsia="en-GB"/>
                </w:rPr>
                <w:t xml:space="preserve">vongthongcck@hotmail.com </w:t>
              </w:r>
            </w:hyperlink>
          </w:p>
        </w:tc>
      </w:tr>
      <w:tr w:rsidR="009B2D79" w:rsidRPr="009B2D79" w14:paraId="70B3F0E3" w14:textId="77777777" w:rsidTr="009B2D79">
        <w:trPr>
          <w:trHeight w:val="360"/>
        </w:trPr>
        <w:tc>
          <w:tcPr>
            <w:tcW w:w="858" w:type="dxa"/>
            <w:vMerge/>
            <w:tcBorders>
              <w:top w:val="nil"/>
              <w:left w:val="nil"/>
              <w:bottom w:val="nil"/>
              <w:right w:val="nil"/>
            </w:tcBorders>
            <w:vAlign w:val="center"/>
            <w:hideMark/>
          </w:tcPr>
          <w:p w14:paraId="19BB7AC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4862CFA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1C4466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Lattana</w:t>
            </w:r>
            <w:proofErr w:type="spellEnd"/>
            <w:r w:rsidRPr="009B2D79">
              <w:rPr>
                <w:rFonts w:ascii="Times New Roman" w:hAnsi="Times New Roman"/>
                <w:sz w:val="16"/>
                <w:szCs w:val="16"/>
                <w:lang w:val="en-GB" w:eastAsia="en-GB"/>
              </w:rPr>
              <w:t xml:space="preserve"> Vanya</w:t>
            </w:r>
          </w:p>
        </w:tc>
        <w:tc>
          <w:tcPr>
            <w:tcW w:w="2620" w:type="dxa"/>
            <w:gridSpan w:val="2"/>
            <w:tcBorders>
              <w:top w:val="nil"/>
              <w:left w:val="nil"/>
              <w:bottom w:val="single" w:sz="4" w:space="0" w:color="auto"/>
              <w:right w:val="single" w:sz="4" w:space="0" w:color="auto"/>
            </w:tcBorders>
            <w:shd w:val="clear" w:color="000000" w:fill="D8D8D8"/>
            <w:noWrap/>
            <w:hideMark/>
          </w:tcPr>
          <w:p w14:paraId="31CEB5D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Head of </w:t>
            </w:r>
            <w:proofErr w:type="spellStart"/>
            <w:r w:rsidRPr="009B2D79">
              <w:rPr>
                <w:rFonts w:ascii="Times New Roman" w:hAnsi="Times New Roman"/>
                <w:sz w:val="16"/>
                <w:szCs w:val="16"/>
                <w:lang w:val="en-GB" w:eastAsia="en-GB"/>
              </w:rPr>
              <w:t>Personel</w:t>
            </w:r>
            <w:proofErr w:type="spellEnd"/>
            <w:r w:rsidRPr="009B2D79">
              <w:rPr>
                <w:rFonts w:ascii="Times New Roman" w:hAnsi="Times New Roman"/>
                <w:sz w:val="16"/>
                <w:szCs w:val="16"/>
                <w:lang w:val="en-GB" w:eastAsia="en-GB"/>
              </w:rPr>
              <w:t>, Administration and Finance Division</w:t>
            </w:r>
          </w:p>
        </w:tc>
        <w:tc>
          <w:tcPr>
            <w:tcW w:w="1361" w:type="dxa"/>
            <w:tcBorders>
              <w:top w:val="nil"/>
              <w:left w:val="nil"/>
              <w:bottom w:val="single" w:sz="4" w:space="0" w:color="auto"/>
              <w:right w:val="single" w:sz="4" w:space="0" w:color="auto"/>
            </w:tcBorders>
            <w:shd w:val="clear" w:color="000000" w:fill="D8D8D8"/>
            <w:noWrap/>
            <w:hideMark/>
          </w:tcPr>
          <w:p w14:paraId="6223B93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020 22228051</w:t>
            </w:r>
          </w:p>
        </w:tc>
        <w:tc>
          <w:tcPr>
            <w:tcW w:w="1644" w:type="dxa"/>
            <w:gridSpan w:val="2"/>
            <w:tcBorders>
              <w:top w:val="nil"/>
              <w:left w:val="nil"/>
              <w:bottom w:val="single" w:sz="4" w:space="0" w:color="auto"/>
              <w:right w:val="single" w:sz="4" w:space="0" w:color="auto"/>
            </w:tcBorders>
            <w:shd w:val="clear" w:color="000000" w:fill="D8D8D8"/>
            <w:noWrap/>
            <w:hideMark/>
          </w:tcPr>
          <w:p w14:paraId="0F84B22C"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0" w:history="1">
              <w:r w:rsidR="009B2D79" w:rsidRPr="009B2D79">
                <w:rPr>
                  <w:rFonts w:ascii="Calibri" w:hAnsi="Calibri" w:cs="Calibri"/>
                  <w:color w:val="0563C1"/>
                  <w:sz w:val="16"/>
                  <w:szCs w:val="16"/>
                  <w:u w:val="single"/>
                  <w:lang w:val="en-GB" w:eastAsia="en-GB"/>
                </w:rPr>
                <w:t xml:space="preserve">Rattana1166@gmail.com </w:t>
              </w:r>
            </w:hyperlink>
          </w:p>
        </w:tc>
      </w:tr>
      <w:tr w:rsidR="009B2D79" w:rsidRPr="009B2D79" w14:paraId="281CC8C2" w14:textId="77777777" w:rsidTr="009B2D79">
        <w:trPr>
          <w:trHeight w:val="315"/>
        </w:trPr>
        <w:tc>
          <w:tcPr>
            <w:tcW w:w="858" w:type="dxa"/>
            <w:vMerge/>
            <w:tcBorders>
              <w:top w:val="nil"/>
              <w:left w:val="nil"/>
              <w:bottom w:val="nil"/>
              <w:right w:val="nil"/>
            </w:tcBorders>
            <w:vAlign w:val="center"/>
            <w:hideMark/>
          </w:tcPr>
          <w:p w14:paraId="422D296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99B2944"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Accounting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308AFA68"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Somsanouk</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Sinamountry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EB5466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6B5B3A2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020 2228598</w:t>
            </w:r>
          </w:p>
        </w:tc>
        <w:tc>
          <w:tcPr>
            <w:tcW w:w="1644" w:type="dxa"/>
            <w:gridSpan w:val="2"/>
            <w:tcBorders>
              <w:top w:val="nil"/>
              <w:left w:val="nil"/>
              <w:bottom w:val="single" w:sz="4" w:space="0" w:color="auto"/>
              <w:right w:val="single" w:sz="4" w:space="0" w:color="auto"/>
            </w:tcBorders>
            <w:shd w:val="clear" w:color="000000" w:fill="D8D8D8"/>
            <w:noWrap/>
            <w:hideMark/>
          </w:tcPr>
          <w:p w14:paraId="25D2EEB8"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1" w:history="1">
              <w:r w:rsidR="009B2D79" w:rsidRPr="009B2D79">
                <w:rPr>
                  <w:rFonts w:ascii="Calibri" w:hAnsi="Calibri" w:cs="Calibri"/>
                  <w:color w:val="0563C1"/>
                  <w:sz w:val="16"/>
                  <w:szCs w:val="16"/>
                  <w:u w:val="single"/>
                  <w:lang w:val="en-GB" w:eastAsia="en-GB"/>
                </w:rPr>
                <w:t>somsanouk@gmail.com</w:t>
              </w:r>
            </w:hyperlink>
          </w:p>
        </w:tc>
      </w:tr>
      <w:tr w:rsidR="009B2D79" w:rsidRPr="009B2D79" w14:paraId="0033E6BE" w14:textId="77777777" w:rsidTr="009B2D79">
        <w:trPr>
          <w:trHeight w:val="360"/>
        </w:trPr>
        <w:tc>
          <w:tcPr>
            <w:tcW w:w="858" w:type="dxa"/>
            <w:vMerge/>
            <w:tcBorders>
              <w:top w:val="nil"/>
              <w:left w:val="nil"/>
              <w:bottom w:val="nil"/>
              <w:right w:val="nil"/>
            </w:tcBorders>
            <w:vAlign w:val="center"/>
            <w:hideMark/>
          </w:tcPr>
          <w:p w14:paraId="734E91F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8439D1C"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4EEFAF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Chintanakone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Soysithat</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tha</w:t>
            </w:r>
            <w:proofErr w:type="spellEnd"/>
            <w:r w:rsidRPr="009B2D79">
              <w:rPr>
                <w:rFonts w:ascii="Times New Roman" w:hAnsi="Times New Roman"/>
                <w:sz w:val="16"/>
                <w:szCs w:val="16"/>
                <w:lang w:val="en-GB" w:eastAsia="en-GB"/>
              </w:rPr>
              <w:t xml:space="preserve"> </w:t>
            </w:r>
          </w:p>
        </w:tc>
        <w:tc>
          <w:tcPr>
            <w:tcW w:w="2620" w:type="dxa"/>
            <w:gridSpan w:val="2"/>
            <w:tcBorders>
              <w:top w:val="nil"/>
              <w:left w:val="nil"/>
              <w:bottom w:val="single" w:sz="4" w:space="0" w:color="auto"/>
              <w:right w:val="single" w:sz="4" w:space="0" w:color="auto"/>
            </w:tcBorders>
            <w:shd w:val="clear" w:color="000000" w:fill="D8D8D8"/>
            <w:noWrap/>
            <w:hideMark/>
          </w:tcPr>
          <w:p w14:paraId="1F1D92C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of State </w:t>
            </w:r>
            <w:proofErr w:type="spellStart"/>
            <w:r w:rsidRPr="009B2D79">
              <w:rPr>
                <w:rFonts w:ascii="Times New Roman" w:hAnsi="Times New Roman"/>
                <w:sz w:val="16"/>
                <w:szCs w:val="16"/>
                <w:lang w:val="en-GB" w:eastAsia="en-GB"/>
              </w:rPr>
              <w:t>Accouting</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4C94514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02022880880</w:t>
            </w:r>
          </w:p>
        </w:tc>
        <w:tc>
          <w:tcPr>
            <w:tcW w:w="1644" w:type="dxa"/>
            <w:gridSpan w:val="2"/>
            <w:tcBorders>
              <w:top w:val="nil"/>
              <w:left w:val="nil"/>
              <w:bottom w:val="single" w:sz="4" w:space="0" w:color="auto"/>
              <w:right w:val="single" w:sz="4" w:space="0" w:color="auto"/>
            </w:tcBorders>
            <w:shd w:val="clear" w:color="000000" w:fill="D8D8D8"/>
            <w:noWrap/>
            <w:hideMark/>
          </w:tcPr>
          <w:p w14:paraId="70FEF618"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2" w:history="1">
              <w:r w:rsidR="009B2D79" w:rsidRPr="009B2D79">
                <w:rPr>
                  <w:rFonts w:ascii="Calibri" w:hAnsi="Calibri" w:cs="Calibri"/>
                  <w:color w:val="0563C1"/>
                  <w:sz w:val="16"/>
                  <w:szCs w:val="16"/>
                  <w:u w:val="single"/>
                  <w:lang w:val="en-GB" w:eastAsia="en-GB"/>
                </w:rPr>
                <w:t>chintanakone@gmail.com</w:t>
              </w:r>
            </w:hyperlink>
          </w:p>
        </w:tc>
      </w:tr>
      <w:tr w:rsidR="009B2D79" w:rsidRPr="009B2D79" w14:paraId="47E2A260" w14:textId="77777777" w:rsidTr="009B2D79">
        <w:trPr>
          <w:trHeight w:val="360"/>
        </w:trPr>
        <w:tc>
          <w:tcPr>
            <w:tcW w:w="858" w:type="dxa"/>
            <w:vMerge/>
            <w:tcBorders>
              <w:top w:val="nil"/>
              <w:left w:val="nil"/>
              <w:bottom w:val="nil"/>
              <w:right w:val="nil"/>
            </w:tcBorders>
            <w:vAlign w:val="center"/>
            <w:hideMark/>
          </w:tcPr>
          <w:p w14:paraId="6227A96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69B2FA9"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A803AB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Anouluck</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Onkhamtai</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458590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of State </w:t>
            </w:r>
            <w:proofErr w:type="spellStart"/>
            <w:r w:rsidRPr="009B2D79">
              <w:rPr>
                <w:rFonts w:ascii="Times New Roman" w:hAnsi="Times New Roman"/>
                <w:sz w:val="16"/>
                <w:szCs w:val="16"/>
                <w:lang w:val="en-GB" w:eastAsia="en-GB"/>
              </w:rPr>
              <w:t>Accouting</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1C5CAC1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020 55601235</w:t>
            </w:r>
          </w:p>
        </w:tc>
        <w:tc>
          <w:tcPr>
            <w:tcW w:w="1644" w:type="dxa"/>
            <w:gridSpan w:val="2"/>
            <w:tcBorders>
              <w:top w:val="nil"/>
              <w:left w:val="nil"/>
              <w:bottom w:val="single" w:sz="4" w:space="0" w:color="auto"/>
              <w:right w:val="single" w:sz="4" w:space="0" w:color="auto"/>
            </w:tcBorders>
            <w:shd w:val="clear" w:color="000000" w:fill="D8D8D8"/>
            <w:noWrap/>
            <w:hideMark/>
          </w:tcPr>
          <w:p w14:paraId="2A422DC5"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r w:rsidR="009B2D79" w:rsidRPr="009B2D79" w14:paraId="4CBA184F" w14:textId="77777777" w:rsidTr="009B2D79">
        <w:trPr>
          <w:trHeight w:val="360"/>
        </w:trPr>
        <w:tc>
          <w:tcPr>
            <w:tcW w:w="858" w:type="dxa"/>
            <w:vMerge/>
            <w:tcBorders>
              <w:top w:val="nil"/>
              <w:left w:val="nil"/>
              <w:bottom w:val="nil"/>
              <w:right w:val="nil"/>
            </w:tcBorders>
            <w:vAlign w:val="center"/>
            <w:hideMark/>
          </w:tcPr>
          <w:p w14:paraId="5C7C257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1B682AD"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1BFFA0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Thiphavong </w:t>
            </w:r>
            <w:proofErr w:type="spellStart"/>
            <w:r w:rsidRPr="009B2D79">
              <w:rPr>
                <w:rFonts w:ascii="Times New Roman" w:hAnsi="Times New Roman"/>
                <w:sz w:val="16"/>
                <w:szCs w:val="16"/>
                <w:lang w:val="en-GB" w:eastAsia="en-GB"/>
              </w:rPr>
              <w:t>Vongsengdeuan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CE75D1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of State </w:t>
            </w:r>
            <w:proofErr w:type="spellStart"/>
            <w:r w:rsidRPr="009B2D79">
              <w:rPr>
                <w:rFonts w:ascii="Times New Roman" w:hAnsi="Times New Roman"/>
                <w:sz w:val="16"/>
                <w:szCs w:val="16"/>
                <w:lang w:val="en-GB" w:eastAsia="en-GB"/>
              </w:rPr>
              <w:t>Accouting</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02EC36D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020 55014331</w:t>
            </w:r>
          </w:p>
        </w:tc>
        <w:tc>
          <w:tcPr>
            <w:tcW w:w="1644" w:type="dxa"/>
            <w:gridSpan w:val="2"/>
            <w:tcBorders>
              <w:top w:val="nil"/>
              <w:left w:val="nil"/>
              <w:bottom w:val="single" w:sz="4" w:space="0" w:color="auto"/>
              <w:right w:val="single" w:sz="4" w:space="0" w:color="auto"/>
            </w:tcBorders>
            <w:shd w:val="clear" w:color="000000" w:fill="D8D8D8"/>
            <w:noWrap/>
            <w:hideMark/>
          </w:tcPr>
          <w:p w14:paraId="3B01BCF0"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3" w:history="1">
              <w:r w:rsidR="009B2D79" w:rsidRPr="009B2D79">
                <w:rPr>
                  <w:rFonts w:ascii="Calibri" w:hAnsi="Calibri" w:cs="Calibri"/>
                  <w:color w:val="0563C1"/>
                  <w:sz w:val="16"/>
                  <w:szCs w:val="16"/>
                  <w:u w:val="single"/>
                  <w:lang w:val="en-GB" w:eastAsia="en-GB"/>
                </w:rPr>
                <w:t>tpv-joy@hotmail.com</w:t>
              </w:r>
            </w:hyperlink>
          </w:p>
        </w:tc>
      </w:tr>
      <w:tr w:rsidR="009B2D79" w:rsidRPr="009B2D79" w14:paraId="45F70322" w14:textId="77777777" w:rsidTr="009B2D79">
        <w:trPr>
          <w:trHeight w:val="360"/>
        </w:trPr>
        <w:tc>
          <w:tcPr>
            <w:tcW w:w="858" w:type="dxa"/>
            <w:vMerge/>
            <w:tcBorders>
              <w:top w:val="nil"/>
              <w:left w:val="nil"/>
              <w:bottom w:val="nil"/>
              <w:right w:val="nil"/>
            </w:tcBorders>
            <w:vAlign w:val="center"/>
            <w:hideMark/>
          </w:tcPr>
          <w:p w14:paraId="1A43665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14:paraId="26BAEB8F"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State Assets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6BEB846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Phouthasinh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Heuanthavong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543006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noWrap/>
            <w:hideMark/>
          </w:tcPr>
          <w:p w14:paraId="3673C7BD"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020 22226329</w:t>
            </w:r>
          </w:p>
        </w:tc>
        <w:tc>
          <w:tcPr>
            <w:tcW w:w="1644" w:type="dxa"/>
            <w:gridSpan w:val="2"/>
            <w:tcBorders>
              <w:top w:val="nil"/>
              <w:left w:val="nil"/>
              <w:bottom w:val="single" w:sz="4" w:space="0" w:color="auto"/>
              <w:right w:val="single" w:sz="4" w:space="0" w:color="auto"/>
            </w:tcBorders>
            <w:shd w:val="clear" w:color="000000" w:fill="D8D8D8"/>
            <w:noWrap/>
            <w:hideMark/>
          </w:tcPr>
          <w:p w14:paraId="12C26059"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r w:rsidR="009B2D79" w:rsidRPr="009B2D79" w14:paraId="728A8C64" w14:textId="77777777" w:rsidTr="009B2D79">
        <w:trPr>
          <w:trHeight w:val="360"/>
        </w:trPr>
        <w:tc>
          <w:tcPr>
            <w:tcW w:w="858" w:type="dxa"/>
            <w:vMerge/>
            <w:tcBorders>
              <w:top w:val="nil"/>
              <w:left w:val="nil"/>
              <w:bottom w:val="nil"/>
              <w:right w:val="nil"/>
            </w:tcBorders>
            <w:vAlign w:val="center"/>
            <w:hideMark/>
          </w:tcPr>
          <w:p w14:paraId="3040102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4B8C273"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F08692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Vongphasith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Silavong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0B7D46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Division</w:t>
            </w:r>
          </w:p>
        </w:tc>
        <w:tc>
          <w:tcPr>
            <w:tcW w:w="1361" w:type="dxa"/>
            <w:tcBorders>
              <w:top w:val="nil"/>
              <w:left w:val="nil"/>
              <w:bottom w:val="single" w:sz="4" w:space="0" w:color="auto"/>
              <w:right w:val="single" w:sz="4" w:space="0" w:color="auto"/>
            </w:tcBorders>
            <w:shd w:val="clear" w:color="000000" w:fill="D8D8D8"/>
            <w:noWrap/>
            <w:hideMark/>
          </w:tcPr>
          <w:p w14:paraId="075CC40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020 22008889</w:t>
            </w:r>
          </w:p>
        </w:tc>
        <w:tc>
          <w:tcPr>
            <w:tcW w:w="1644" w:type="dxa"/>
            <w:gridSpan w:val="2"/>
            <w:tcBorders>
              <w:top w:val="nil"/>
              <w:left w:val="nil"/>
              <w:bottom w:val="single" w:sz="4" w:space="0" w:color="auto"/>
              <w:right w:val="single" w:sz="4" w:space="0" w:color="auto"/>
            </w:tcBorders>
            <w:shd w:val="clear" w:color="000000" w:fill="D8D8D8"/>
            <w:noWrap/>
            <w:hideMark/>
          </w:tcPr>
          <w:p w14:paraId="0CD8C1AC"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4" w:history="1">
              <w:r w:rsidR="009B2D79" w:rsidRPr="009B2D79">
                <w:rPr>
                  <w:rFonts w:ascii="Calibri" w:hAnsi="Calibri" w:cs="Calibri"/>
                  <w:color w:val="0563C1"/>
                  <w:sz w:val="16"/>
                  <w:szCs w:val="16"/>
                  <w:u w:val="single"/>
                  <w:lang w:val="en-GB" w:eastAsia="en-GB"/>
                </w:rPr>
                <w:t>sith_silavong@yahoo.com</w:t>
              </w:r>
            </w:hyperlink>
          </w:p>
        </w:tc>
      </w:tr>
      <w:tr w:rsidR="009B2D79" w:rsidRPr="009B2D79" w14:paraId="43EEE83A" w14:textId="77777777" w:rsidTr="009B2D79">
        <w:trPr>
          <w:trHeight w:val="360"/>
        </w:trPr>
        <w:tc>
          <w:tcPr>
            <w:tcW w:w="858" w:type="dxa"/>
            <w:vMerge/>
            <w:tcBorders>
              <w:top w:val="nil"/>
              <w:left w:val="nil"/>
              <w:bottom w:val="nil"/>
              <w:right w:val="nil"/>
            </w:tcBorders>
            <w:vAlign w:val="center"/>
            <w:hideMark/>
          </w:tcPr>
          <w:p w14:paraId="4838DF4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48DA5F83"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C8F11A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Namseng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Xathousinh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7A6526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Human Resource and Administration</w:t>
            </w:r>
          </w:p>
        </w:tc>
        <w:tc>
          <w:tcPr>
            <w:tcW w:w="1361" w:type="dxa"/>
            <w:tcBorders>
              <w:top w:val="nil"/>
              <w:left w:val="nil"/>
              <w:bottom w:val="single" w:sz="4" w:space="0" w:color="auto"/>
              <w:right w:val="single" w:sz="4" w:space="0" w:color="auto"/>
            </w:tcBorders>
            <w:shd w:val="clear" w:color="000000" w:fill="D8D8D8"/>
            <w:noWrap/>
            <w:hideMark/>
          </w:tcPr>
          <w:p w14:paraId="62B3D53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020 99990923</w:t>
            </w:r>
          </w:p>
        </w:tc>
        <w:tc>
          <w:tcPr>
            <w:tcW w:w="1644" w:type="dxa"/>
            <w:gridSpan w:val="2"/>
            <w:tcBorders>
              <w:top w:val="nil"/>
              <w:left w:val="nil"/>
              <w:bottom w:val="single" w:sz="4" w:space="0" w:color="auto"/>
              <w:right w:val="single" w:sz="4" w:space="0" w:color="auto"/>
            </w:tcBorders>
            <w:shd w:val="clear" w:color="000000" w:fill="D8D8D8"/>
            <w:noWrap/>
            <w:hideMark/>
          </w:tcPr>
          <w:p w14:paraId="280787BB"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5" w:history="1">
              <w:r w:rsidR="009B2D79" w:rsidRPr="009B2D79">
                <w:rPr>
                  <w:rFonts w:ascii="Calibri" w:hAnsi="Calibri" w:cs="Calibri"/>
                  <w:color w:val="0563C1"/>
                  <w:sz w:val="16"/>
                  <w:szCs w:val="16"/>
                  <w:u w:val="single"/>
                  <w:lang w:val="en-GB" w:eastAsia="en-GB"/>
                </w:rPr>
                <w:t>namseng@yahoo.com</w:t>
              </w:r>
            </w:hyperlink>
          </w:p>
        </w:tc>
      </w:tr>
      <w:tr w:rsidR="009B2D79" w:rsidRPr="009B2D79" w14:paraId="4E8032BE" w14:textId="77777777" w:rsidTr="009B2D79">
        <w:trPr>
          <w:trHeight w:val="360"/>
        </w:trPr>
        <w:tc>
          <w:tcPr>
            <w:tcW w:w="858" w:type="dxa"/>
            <w:vMerge/>
            <w:tcBorders>
              <w:top w:val="nil"/>
              <w:left w:val="nil"/>
              <w:bottom w:val="nil"/>
              <w:right w:val="nil"/>
            </w:tcBorders>
            <w:vAlign w:val="center"/>
            <w:hideMark/>
          </w:tcPr>
          <w:p w14:paraId="3F4FC40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721F000D"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A51DA9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Anousone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Khotpathip</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13B09F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70F9933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192241D"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6" w:history="1">
              <w:r w:rsidR="009B2D79" w:rsidRPr="009B2D79">
                <w:rPr>
                  <w:rFonts w:ascii="Calibri" w:hAnsi="Calibri" w:cs="Calibri"/>
                  <w:color w:val="0563C1"/>
                  <w:sz w:val="16"/>
                  <w:szCs w:val="16"/>
                  <w:u w:val="single"/>
                  <w:lang w:val="en-GB" w:eastAsia="en-GB"/>
                </w:rPr>
                <w:t>anousone8-8@hotmail.com</w:t>
              </w:r>
            </w:hyperlink>
          </w:p>
        </w:tc>
      </w:tr>
      <w:tr w:rsidR="009B2D79" w:rsidRPr="009B2D79" w14:paraId="1E22996E" w14:textId="77777777" w:rsidTr="009B2D79">
        <w:trPr>
          <w:trHeight w:val="360"/>
        </w:trPr>
        <w:tc>
          <w:tcPr>
            <w:tcW w:w="858" w:type="dxa"/>
            <w:vMerge/>
            <w:tcBorders>
              <w:top w:val="nil"/>
              <w:left w:val="nil"/>
              <w:bottom w:val="nil"/>
              <w:right w:val="nil"/>
            </w:tcBorders>
            <w:vAlign w:val="center"/>
            <w:hideMark/>
          </w:tcPr>
          <w:p w14:paraId="2727846F"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32104EE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6AF865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Phetsouvanh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Keovongsack</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6C1F86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5A63226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020 58547237</w:t>
            </w:r>
          </w:p>
        </w:tc>
        <w:tc>
          <w:tcPr>
            <w:tcW w:w="1644" w:type="dxa"/>
            <w:gridSpan w:val="2"/>
            <w:tcBorders>
              <w:top w:val="nil"/>
              <w:left w:val="nil"/>
              <w:bottom w:val="single" w:sz="4" w:space="0" w:color="auto"/>
              <w:right w:val="single" w:sz="4" w:space="0" w:color="auto"/>
            </w:tcBorders>
            <w:shd w:val="clear" w:color="000000" w:fill="D8D8D8"/>
            <w:noWrap/>
            <w:hideMark/>
          </w:tcPr>
          <w:p w14:paraId="282B3F2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no email</w:t>
            </w:r>
          </w:p>
        </w:tc>
      </w:tr>
      <w:tr w:rsidR="009B2D79" w:rsidRPr="009B2D79" w14:paraId="1E61BEE8" w14:textId="77777777" w:rsidTr="009B2D79">
        <w:trPr>
          <w:trHeight w:val="360"/>
        </w:trPr>
        <w:tc>
          <w:tcPr>
            <w:tcW w:w="858" w:type="dxa"/>
            <w:vMerge/>
            <w:tcBorders>
              <w:top w:val="nil"/>
              <w:left w:val="nil"/>
              <w:bottom w:val="nil"/>
              <w:right w:val="nil"/>
            </w:tcBorders>
            <w:vAlign w:val="center"/>
            <w:hideMark/>
          </w:tcPr>
          <w:p w14:paraId="3064D7C5"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nil"/>
              <w:left w:val="single" w:sz="4" w:space="0" w:color="auto"/>
              <w:bottom w:val="nil"/>
              <w:right w:val="single" w:sz="4" w:space="0" w:color="auto"/>
            </w:tcBorders>
            <w:shd w:val="clear" w:color="000000" w:fill="FFFFFF"/>
            <w:hideMark/>
          </w:tcPr>
          <w:p w14:paraId="27B66CFF"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SOEs and Insurance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1C80309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Somxay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Keovandy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CD5661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Insurance Division</w:t>
            </w:r>
          </w:p>
        </w:tc>
        <w:tc>
          <w:tcPr>
            <w:tcW w:w="1361" w:type="dxa"/>
            <w:tcBorders>
              <w:top w:val="nil"/>
              <w:left w:val="nil"/>
              <w:bottom w:val="single" w:sz="4" w:space="0" w:color="auto"/>
              <w:right w:val="single" w:sz="4" w:space="0" w:color="auto"/>
            </w:tcBorders>
            <w:shd w:val="clear" w:color="000000" w:fill="D8D8D8"/>
            <w:noWrap/>
            <w:hideMark/>
          </w:tcPr>
          <w:p w14:paraId="21BACB5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020 28989888</w:t>
            </w:r>
          </w:p>
        </w:tc>
        <w:tc>
          <w:tcPr>
            <w:tcW w:w="1644" w:type="dxa"/>
            <w:gridSpan w:val="2"/>
            <w:tcBorders>
              <w:top w:val="nil"/>
              <w:left w:val="nil"/>
              <w:bottom w:val="single" w:sz="4" w:space="0" w:color="auto"/>
              <w:right w:val="single" w:sz="4" w:space="0" w:color="auto"/>
            </w:tcBorders>
            <w:shd w:val="clear" w:color="000000" w:fill="D8D8D8"/>
            <w:noWrap/>
            <w:hideMark/>
          </w:tcPr>
          <w:p w14:paraId="16177EA2"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7" w:history="1">
              <w:r w:rsidR="009B2D79" w:rsidRPr="009B2D79">
                <w:rPr>
                  <w:rFonts w:ascii="Calibri" w:hAnsi="Calibri" w:cs="Calibri"/>
                  <w:color w:val="0563C1"/>
                  <w:sz w:val="16"/>
                  <w:szCs w:val="16"/>
                  <w:u w:val="single"/>
                  <w:lang w:val="en-GB" w:eastAsia="en-GB"/>
                </w:rPr>
                <w:t xml:space="preserve">somxay.keovandy@gmail.com </w:t>
              </w:r>
            </w:hyperlink>
          </w:p>
        </w:tc>
      </w:tr>
      <w:tr w:rsidR="009B2D79" w:rsidRPr="009B2D79" w14:paraId="11978322" w14:textId="77777777" w:rsidTr="009B2D79">
        <w:trPr>
          <w:trHeight w:val="360"/>
        </w:trPr>
        <w:tc>
          <w:tcPr>
            <w:tcW w:w="858" w:type="dxa"/>
            <w:vMerge/>
            <w:tcBorders>
              <w:top w:val="nil"/>
              <w:left w:val="nil"/>
              <w:bottom w:val="nil"/>
              <w:right w:val="nil"/>
            </w:tcBorders>
            <w:vAlign w:val="center"/>
            <w:hideMark/>
          </w:tcPr>
          <w:p w14:paraId="26E58AA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4F04B6E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2E9A96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Somphavanh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Sihapanya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914234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Chief Division</w:t>
            </w:r>
          </w:p>
        </w:tc>
        <w:tc>
          <w:tcPr>
            <w:tcW w:w="1361" w:type="dxa"/>
            <w:tcBorders>
              <w:top w:val="nil"/>
              <w:left w:val="nil"/>
              <w:bottom w:val="single" w:sz="4" w:space="0" w:color="auto"/>
              <w:right w:val="single" w:sz="4" w:space="0" w:color="auto"/>
            </w:tcBorders>
            <w:shd w:val="clear" w:color="000000" w:fill="D8D8D8"/>
            <w:noWrap/>
            <w:hideMark/>
          </w:tcPr>
          <w:p w14:paraId="7499BB8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020 28242428</w:t>
            </w:r>
          </w:p>
        </w:tc>
        <w:tc>
          <w:tcPr>
            <w:tcW w:w="1644" w:type="dxa"/>
            <w:gridSpan w:val="2"/>
            <w:tcBorders>
              <w:top w:val="nil"/>
              <w:left w:val="nil"/>
              <w:bottom w:val="single" w:sz="4" w:space="0" w:color="auto"/>
              <w:right w:val="single" w:sz="4" w:space="0" w:color="auto"/>
            </w:tcBorders>
            <w:shd w:val="clear" w:color="000000" w:fill="D8D8D8"/>
            <w:noWrap/>
            <w:hideMark/>
          </w:tcPr>
          <w:p w14:paraId="48BCE484"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8" w:history="1">
              <w:r w:rsidR="009B2D79" w:rsidRPr="009B2D79">
                <w:rPr>
                  <w:rFonts w:ascii="Calibri" w:hAnsi="Calibri" w:cs="Calibri"/>
                  <w:color w:val="0563C1"/>
                  <w:sz w:val="16"/>
                  <w:szCs w:val="16"/>
                  <w:u w:val="single"/>
                  <w:lang w:val="en-GB" w:eastAsia="en-GB"/>
                </w:rPr>
                <w:t xml:space="preserve">somphavanhsom@gmail.com </w:t>
              </w:r>
            </w:hyperlink>
          </w:p>
        </w:tc>
      </w:tr>
      <w:tr w:rsidR="009B2D79" w:rsidRPr="009B2D79" w14:paraId="2C09DFF2" w14:textId="77777777" w:rsidTr="009B2D79">
        <w:trPr>
          <w:trHeight w:val="315"/>
        </w:trPr>
        <w:tc>
          <w:tcPr>
            <w:tcW w:w="858" w:type="dxa"/>
            <w:vMerge/>
            <w:tcBorders>
              <w:top w:val="nil"/>
              <w:left w:val="nil"/>
              <w:bottom w:val="nil"/>
              <w:right w:val="nil"/>
            </w:tcBorders>
            <w:vAlign w:val="center"/>
            <w:hideMark/>
          </w:tcPr>
          <w:p w14:paraId="7C8E6765"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7E2188CC"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Customs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6789E4B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SoySouaykham</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Phannouvong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018C60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Division</w:t>
            </w:r>
          </w:p>
        </w:tc>
        <w:tc>
          <w:tcPr>
            <w:tcW w:w="1361" w:type="dxa"/>
            <w:tcBorders>
              <w:top w:val="nil"/>
              <w:left w:val="nil"/>
              <w:bottom w:val="single" w:sz="4" w:space="0" w:color="auto"/>
              <w:right w:val="single" w:sz="4" w:space="0" w:color="auto"/>
            </w:tcBorders>
            <w:shd w:val="clear" w:color="000000" w:fill="D8D8D8"/>
            <w:noWrap/>
            <w:hideMark/>
          </w:tcPr>
          <w:p w14:paraId="4172E50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020 55489053</w:t>
            </w:r>
          </w:p>
        </w:tc>
        <w:tc>
          <w:tcPr>
            <w:tcW w:w="1644" w:type="dxa"/>
            <w:gridSpan w:val="2"/>
            <w:tcBorders>
              <w:top w:val="nil"/>
              <w:left w:val="nil"/>
              <w:bottom w:val="single" w:sz="4" w:space="0" w:color="auto"/>
              <w:right w:val="single" w:sz="4" w:space="0" w:color="auto"/>
            </w:tcBorders>
            <w:shd w:val="clear" w:color="000000" w:fill="D8D8D8"/>
            <w:noWrap/>
            <w:hideMark/>
          </w:tcPr>
          <w:p w14:paraId="6FC9CEA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no email</w:t>
            </w:r>
          </w:p>
        </w:tc>
      </w:tr>
      <w:tr w:rsidR="009B2D79" w:rsidRPr="009B2D79" w14:paraId="62BA398D" w14:textId="77777777" w:rsidTr="009B2D79">
        <w:trPr>
          <w:trHeight w:val="319"/>
        </w:trPr>
        <w:tc>
          <w:tcPr>
            <w:tcW w:w="858" w:type="dxa"/>
            <w:vMerge/>
            <w:tcBorders>
              <w:top w:val="nil"/>
              <w:left w:val="nil"/>
              <w:bottom w:val="nil"/>
              <w:right w:val="nil"/>
            </w:tcBorders>
            <w:vAlign w:val="center"/>
            <w:hideMark/>
          </w:tcPr>
          <w:p w14:paraId="11E10362"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04B907C"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DF29C4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Bouasingkham</w:t>
            </w:r>
            <w:proofErr w:type="spellEnd"/>
            <w:r w:rsidRPr="009B2D79">
              <w:rPr>
                <w:rFonts w:ascii="Times New Roman" w:hAnsi="Times New Roman"/>
                <w:sz w:val="16"/>
                <w:szCs w:val="16"/>
                <w:lang w:val="en-GB" w:eastAsia="en-GB"/>
              </w:rPr>
              <w:t xml:space="preserve"> Soulaxay</w:t>
            </w:r>
          </w:p>
        </w:tc>
        <w:tc>
          <w:tcPr>
            <w:tcW w:w="2620" w:type="dxa"/>
            <w:gridSpan w:val="2"/>
            <w:tcBorders>
              <w:top w:val="nil"/>
              <w:left w:val="nil"/>
              <w:bottom w:val="single" w:sz="4" w:space="0" w:color="auto"/>
              <w:right w:val="single" w:sz="4" w:space="0" w:color="auto"/>
            </w:tcBorders>
            <w:shd w:val="clear" w:color="000000" w:fill="D8D8D8"/>
            <w:noWrap/>
            <w:hideMark/>
          </w:tcPr>
          <w:p w14:paraId="0F61D7E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Section</w:t>
            </w:r>
          </w:p>
        </w:tc>
        <w:tc>
          <w:tcPr>
            <w:tcW w:w="1361" w:type="dxa"/>
            <w:tcBorders>
              <w:top w:val="nil"/>
              <w:left w:val="nil"/>
              <w:bottom w:val="single" w:sz="4" w:space="0" w:color="auto"/>
              <w:right w:val="single" w:sz="4" w:space="0" w:color="auto"/>
            </w:tcBorders>
            <w:shd w:val="clear" w:color="000000" w:fill="D8D8D8"/>
            <w:noWrap/>
            <w:hideMark/>
          </w:tcPr>
          <w:p w14:paraId="37A3F90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020 55413459</w:t>
            </w:r>
          </w:p>
        </w:tc>
        <w:tc>
          <w:tcPr>
            <w:tcW w:w="1644" w:type="dxa"/>
            <w:gridSpan w:val="2"/>
            <w:tcBorders>
              <w:top w:val="nil"/>
              <w:left w:val="nil"/>
              <w:bottom w:val="single" w:sz="4" w:space="0" w:color="auto"/>
              <w:right w:val="single" w:sz="4" w:space="0" w:color="auto"/>
            </w:tcBorders>
            <w:shd w:val="clear" w:color="000000" w:fill="D8D8D8"/>
            <w:noWrap/>
            <w:hideMark/>
          </w:tcPr>
          <w:p w14:paraId="2894778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no email</w:t>
            </w:r>
          </w:p>
        </w:tc>
      </w:tr>
      <w:tr w:rsidR="009B2D79" w:rsidRPr="009B2D79" w14:paraId="34A02DF0" w14:textId="77777777" w:rsidTr="009B2D79">
        <w:trPr>
          <w:trHeight w:val="360"/>
        </w:trPr>
        <w:tc>
          <w:tcPr>
            <w:tcW w:w="858" w:type="dxa"/>
            <w:vMerge/>
            <w:tcBorders>
              <w:top w:val="nil"/>
              <w:left w:val="nil"/>
              <w:bottom w:val="nil"/>
              <w:right w:val="nil"/>
            </w:tcBorders>
            <w:vAlign w:val="center"/>
            <w:hideMark/>
          </w:tcPr>
          <w:p w14:paraId="1D3EC95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CBDDBE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AA9FE9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Sanya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Khamsone</w:t>
            </w:r>
            <w:proofErr w:type="spellEnd"/>
            <w:r w:rsidRPr="009B2D79">
              <w:rPr>
                <w:rFonts w:ascii="Times New Roman" w:hAnsi="Times New Roman"/>
                <w:sz w:val="16"/>
                <w:szCs w:val="16"/>
                <w:lang w:val="en-GB" w:eastAsia="en-GB"/>
              </w:rPr>
              <w:t xml:space="preserve"> </w:t>
            </w:r>
          </w:p>
        </w:tc>
        <w:tc>
          <w:tcPr>
            <w:tcW w:w="2620" w:type="dxa"/>
            <w:gridSpan w:val="2"/>
            <w:tcBorders>
              <w:top w:val="nil"/>
              <w:left w:val="nil"/>
              <w:bottom w:val="single" w:sz="4" w:space="0" w:color="auto"/>
              <w:right w:val="single" w:sz="4" w:space="0" w:color="auto"/>
            </w:tcBorders>
            <w:shd w:val="clear" w:color="000000" w:fill="D8D8D8"/>
            <w:noWrap/>
            <w:hideMark/>
          </w:tcPr>
          <w:p w14:paraId="1698C03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of International </w:t>
            </w:r>
            <w:proofErr w:type="spellStart"/>
            <w:r w:rsidRPr="009B2D79">
              <w:rPr>
                <w:rFonts w:ascii="Times New Roman" w:hAnsi="Times New Roman"/>
                <w:sz w:val="16"/>
                <w:szCs w:val="16"/>
                <w:lang w:val="en-GB" w:eastAsia="en-GB"/>
              </w:rPr>
              <w:t>coporation</w:t>
            </w:r>
            <w:proofErr w:type="spellEnd"/>
            <w:r w:rsidRPr="009B2D79">
              <w:rPr>
                <w:rFonts w:ascii="Times New Roman" w:hAnsi="Times New Roman"/>
                <w:sz w:val="16"/>
                <w:szCs w:val="16"/>
                <w:lang w:val="en-GB" w:eastAsia="en-GB"/>
              </w:rPr>
              <w:t xml:space="preserve"> Division</w:t>
            </w:r>
          </w:p>
        </w:tc>
        <w:tc>
          <w:tcPr>
            <w:tcW w:w="1361" w:type="dxa"/>
            <w:tcBorders>
              <w:top w:val="nil"/>
              <w:left w:val="nil"/>
              <w:bottom w:val="single" w:sz="4" w:space="0" w:color="auto"/>
              <w:right w:val="single" w:sz="4" w:space="0" w:color="auto"/>
            </w:tcBorders>
            <w:shd w:val="clear" w:color="000000" w:fill="D8D8D8"/>
            <w:noWrap/>
            <w:hideMark/>
          </w:tcPr>
          <w:p w14:paraId="7D13FF1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020 56788787</w:t>
            </w:r>
          </w:p>
        </w:tc>
        <w:tc>
          <w:tcPr>
            <w:tcW w:w="1644" w:type="dxa"/>
            <w:gridSpan w:val="2"/>
            <w:tcBorders>
              <w:top w:val="nil"/>
              <w:left w:val="nil"/>
              <w:bottom w:val="single" w:sz="4" w:space="0" w:color="auto"/>
              <w:right w:val="single" w:sz="4" w:space="0" w:color="auto"/>
            </w:tcBorders>
            <w:shd w:val="clear" w:color="000000" w:fill="D8D8D8"/>
            <w:noWrap/>
            <w:hideMark/>
          </w:tcPr>
          <w:p w14:paraId="032EC74B"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69" w:history="1">
              <w:r w:rsidR="009B2D79" w:rsidRPr="009B2D79">
                <w:rPr>
                  <w:rFonts w:ascii="Calibri" w:hAnsi="Calibri" w:cs="Calibri"/>
                  <w:color w:val="0563C1"/>
                  <w:sz w:val="16"/>
                  <w:szCs w:val="16"/>
                  <w:u w:val="single"/>
                  <w:lang w:val="en-GB" w:eastAsia="en-GB"/>
                </w:rPr>
                <w:t>customs.sanya@gmail.com</w:t>
              </w:r>
            </w:hyperlink>
          </w:p>
        </w:tc>
      </w:tr>
      <w:tr w:rsidR="009B2D79" w:rsidRPr="009B2D79" w14:paraId="52A221E9" w14:textId="77777777" w:rsidTr="009B2D79">
        <w:trPr>
          <w:trHeight w:val="360"/>
        </w:trPr>
        <w:tc>
          <w:tcPr>
            <w:tcW w:w="858" w:type="dxa"/>
            <w:vMerge/>
            <w:tcBorders>
              <w:top w:val="nil"/>
              <w:left w:val="nil"/>
              <w:bottom w:val="nil"/>
              <w:right w:val="nil"/>
            </w:tcBorders>
            <w:vAlign w:val="center"/>
            <w:hideMark/>
          </w:tcPr>
          <w:p w14:paraId="000F11A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D26013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60AC13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Anisara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Somboukhan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5A2BDE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of </w:t>
            </w:r>
            <w:proofErr w:type="spellStart"/>
            <w:r w:rsidRPr="009B2D79">
              <w:rPr>
                <w:rFonts w:ascii="Times New Roman" w:hAnsi="Times New Roman"/>
                <w:sz w:val="16"/>
                <w:szCs w:val="16"/>
                <w:lang w:val="en-GB" w:eastAsia="en-GB"/>
              </w:rPr>
              <w:t>Persanel</w:t>
            </w:r>
            <w:proofErr w:type="spellEnd"/>
            <w:r w:rsidRPr="009B2D79">
              <w:rPr>
                <w:rFonts w:ascii="Times New Roman" w:hAnsi="Times New Roman"/>
                <w:sz w:val="16"/>
                <w:szCs w:val="16"/>
                <w:lang w:val="en-GB" w:eastAsia="en-GB"/>
              </w:rPr>
              <w:t>, Admin, Finance Division</w:t>
            </w:r>
          </w:p>
        </w:tc>
        <w:tc>
          <w:tcPr>
            <w:tcW w:w="1361" w:type="dxa"/>
            <w:tcBorders>
              <w:top w:val="nil"/>
              <w:left w:val="nil"/>
              <w:bottom w:val="single" w:sz="4" w:space="0" w:color="auto"/>
              <w:right w:val="single" w:sz="4" w:space="0" w:color="auto"/>
            </w:tcBorders>
            <w:shd w:val="clear" w:color="000000" w:fill="D8D8D8"/>
            <w:noWrap/>
            <w:hideMark/>
          </w:tcPr>
          <w:p w14:paraId="3F5C5B3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020 222 7868</w:t>
            </w:r>
          </w:p>
        </w:tc>
        <w:tc>
          <w:tcPr>
            <w:tcW w:w="1644" w:type="dxa"/>
            <w:gridSpan w:val="2"/>
            <w:tcBorders>
              <w:top w:val="nil"/>
              <w:left w:val="nil"/>
              <w:bottom w:val="single" w:sz="4" w:space="0" w:color="auto"/>
              <w:right w:val="single" w:sz="4" w:space="0" w:color="auto"/>
            </w:tcBorders>
            <w:shd w:val="clear" w:color="000000" w:fill="D8D8D8"/>
            <w:noWrap/>
            <w:hideMark/>
          </w:tcPr>
          <w:p w14:paraId="55239F46"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0" w:history="1">
              <w:r w:rsidR="009B2D79" w:rsidRPr="009B2D79">
                <w:rPr>
                  <w:rFonts w:ascii="Calibri" w:hAnsi="Calibri" w:cs="Calibri"/>
                  <w:color w:val="0563C1"/>
                  <w:sz w:val="16"/>
                  <w:szCs w:val="16"/>
                  <w:u w:val="single"/>
                  <w:lang w:val="en-GB" w:eastAsia="en-GB"/>
                </w:rPr>
                <w:t>ninganisara@gmail.com; laocustoms.icd@gmail.com</w:t>
              </w:r>
            </w:hyperlink>
          </w:p>
        </w:tc>
      </w:tr>
      <w:tr w:rsidR="009B2D79" w:rsidRPr="009B2D79" w14:paraId="3F168639" w14:textId="77777777" w:rsidTr="009B2D79">
        <w:trPr>
          <w:trHeight w:val="945"/>
        </w:trPr>
        <w:tc>
          <w:tcPr>
            <w:tcW w:w="858" w:type="dxa"/>
            <w:tcBorders>
              <w:top w:val="nil"/>
              <w:left w:val="nil"/>
              <w:bottom w:val="nil"/>
              <w:right w:val="nil"/>
            </w:tcBorders>
            <w:shd w:val="clear" w:color="000000" w:fill="B4C6E7"/>
            <w:hideMark/>
          </w:tcPr>
          <w:p w14:paraId="30FBCD8C"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tcBorders>
              <w:top w:val="nil"/>
              <w:left w:val="single" w:sz="4" w:space="0" w:color="auto"/>
              <w:bottom w:val="nil"/>
              <w:right w:val="single" w:sz="4" w:space="0" w:color="auto"/>
            </w:tcBorders>
            <w:shd w:val="clear" w:color="auto" w:fill="auto"/>
            <w:hideMark/>
          </w:tcPr>
          <w:p w14:paraId="47094EE6"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External Finance and Debt Management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4B249BA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Soumiva</w:t>
            </w:r>
            <w:proofErr w:type="spellEnd"/>
            <w:r w:rsidRPr="009B2D79">
              <w:rPr>
                <w:rFonts w:ascii="Times New Roman" w:hAnsi="Times New Roman"/>
                <w:sz w:val="16"/>
                <w:szCs w:val="16"/>
                <w:lang w:val="en-GB" w:eastAsia="en-GB"/>
              </w:rPr>
              <w:t xml:space="preserve"> Viengkeo</w:t>
            </w:r>
          </w:p>
        </w:tc>
        <w:tc>
          <w:tcPr>
            <w:tcW w:w="2620" w:type="dxa"/>
            <w:gridSpan w:val="2"/>
            <w:tcBorders>
              <w:top w:val="nil"/>
              <w:left w:val="nil"/>
              <w:bottom w:val="single" w:sz="4" w:space="0" w:color="auto"/>
              <w:right w:val="single" w:sz="4" w:space="0" w:color="auto"/>
            </w:tcBorders>
            <w:shd w:val="clear" w:color="000000" w:fill="D8D8D8"/>
            <w:noWrap/>
            <w:hideMark/>
          </w:tcPr>
          <w:p w14:paraId="567353A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215D9B5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020 98226969</w:t>
            </w:r>
          </w:p>
        </w:tc>
        <w:tc>
          <w:tcPr>
            <w:tcW w:w="1644" w:type="dxa"/>
            <w:gridSpan w:val="2"/>
            <w:tcBorders>
              <w:top w:val="nil"/>
              <w:left w:val="nil"/>
              <w:bottom w:val="single" w:sz="4" w:space="0" w:color="auto"/>
              <w:right w:val="single" w:sz="4" w:space="0" w:color="auto"/>
            </w:tcBorders>
            <w:shd w:val="clear" w:color="000000" w:fill="D8D8D8"/>
            <w:noWrap/>
            <w:hideMark/>
          </w:tcPr>
          <w:p w14:paraId="1F1D38BE"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r w:rsidR="009B2D79" w:rsidRPr="009B2D79" w14:paraId="78151522" w14:textId="77777777" w:rsidTr="009B2D79">
        <w:trPr>
          <w:trHeight w:val="630"/>
        </w:trPr>
        <w:tc>
          <w:tcPr>
            <w:tcW w:w="858" w:type="dxa"/>
            <w:tcBorders>
              <w:top w:val="nil"/>
              <w:left w:val="nil"/>
              <w:bottom w:val="nil"/>
              <w:right w:val="nil"/>
            </w:tcBorders>
            <w:shd w:val="clear" w:color="000000" w:fill="B4C6E7"/>
            <w:hideMark/>
          </w:tcPr>
          <w:p w14:paraId="5E281132"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tcBorders>
              <w:top w:val="single" w:sz="4" w:space="0" w:color="auto"/>
              <w:left w:val="single" w:sz="4" w:space="0" w:color="auto"/>
              <w:bottom w:val="nil"/>
              <w:right w:val="single" w:sz="4" w:space="0" w:color="auto"/>
            </w:tcBorders>
            <w:shd w:val="clear" w:color="auto" w:fill="auto"/>
            <w:hideMark/>
          </w:tcPr>
          <w:p w14:paraId="422898DC"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Personnel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2A7D06C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Soudalath </w:t>
            </w:r>
            <w:proofErr w:type="spellStart"/>
            <w:r w:rsidRPr="009B2D79">
              <w:rPr>
                <w:rFonts w:ascii="Times New Roman" w:hAnsi="Times New Roman"/>
                <w:sz w:val="16"/>
                <w:szCs w:val="16"/>
                <w:lang w:val="en-GB" w:eastAsia="en-GB"/>
              </w:rPr>
              <w:t>Vithaxay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97954B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Personnel Management Division</w:t>
            </w:r>
          </w:p>
        </w:tc>
        <w:tc>
          <w:tcPr>
            <w:tcW w:w="1361" w:type="dxa"/>
            <w:tcBorders>
              <w:top w:val="nil"/>
              <w:left w:val="nil"/>
              <w:bottom w:val="single" w:sz="4" w:space="0" w:color="auto"/>
              <w:right w:val="single" w:sz="4" w:space="0" w:color="auto"/>
            </w:tcBorders>
            <w:shd w:val="clear" w:color="000000" w:fill="D8D8D8"/>
            <w:noWrap/>
            <w:hideMark/>
          </w:tcPr>
          <w:p w14:paraId="5EB2A25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020 55604050</w:t>
            </w:r>
          </w:p>
        </w:tc>
        <w:tc>
          <w:tcPr>
            <w:tcW w:w="1644" w:type="dxa"/>
            <w:gridSpan w:val="2"/>
            <w:tcBorders>
              <w:top w:val="nil"/>
              <w:left w:val="nil"/>
              <w:bottom w:val="single" w:sz="4" w:space="0" w:color="auto"/>
              <w:right w:val="single" w:sz="4" w:space="0" w:color="auto"/>
            </w:tcBorders>
            <w:shd w:val="clear" w:color="000000" w:fill="D8D8D8"/>
            <w:noWrap/>
            <w:hideMark/>
          </w:tcPr>
          <w:p w14:paraId="060B3C4D"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r w:rsidR="009B2D79" w:rsidRPr="009B2D79" w14:paraId="246E56A9" w14:textId="77777777" w:rsidTr="009B2D79">
        <w:trPr>
          <w:trHeight w:val="630"/>
        </w:trPr>
        <w:tc>
          <w:tcPr>
            <w:tcW w:w="858" w:type="dxa"/>
            <w:tcBorders>
              <w:top w:val="nil"/>
              <w:left w:val="nil"/>
              <w:bottom w:val="nil"/>
              <w:right w:val="nil"/>
            </w:tcBorders>
            <w:shd w:val="clear" w:color="000000" w:fill="B4C6E7"/>
            <w:hideMark/>
          </w:tcPr>
          <w:p w14:paraId="5BD8BE46"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tcBorders>
              <w:top w:val="single" w:sz="4" w:space="0" w:color="auto"/>
              <w:left w:val="single" w:sz="4" w:space="0" w:color="auto"/>
              <w:bottom w:val="nil"/>
              <w:right w:val="single" w:sz="4" w:space="0" w:color="auto"/>
            </w:tcBorders>
            <w:shd w:val="clear" w:color="auto" w:fill="auto"/>
            <w:hideMark/>
          </w:tcPr>
          <w:p w14:paraId="25086643"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Personnel Division</w:t>
            </w:r>
            <w:r w:rsidRPr="009B2D79">
              <w:rPr>
                <w:rFonts w:ascii="Times New Roman" w:hAnsi="Times New Roman"/>
                <w:sz w:val="16"/>
                <w:szCs w:val="16"/>
                <w:lang w:val="en-GB" w:eastAsia="en-GB"/>
              </w:rPr>
              <w:br/>
              <w:t>VTE Capital</w:t>
            </w:r>
          </w:p>
        </w:tc>
        <w:tc>
          <w:tcPr>
            <w:tcW w:w="1774" w:type="dxa"/>
            <w:gridSpan w:val="2"/>
            <w:tcBorders>
              <w:top w:val="nil"/>
              <w:left w:val="nil"/>
              <w:bottom w:val="single" w:sz="4" w:space="0" w:color="auto"/>
              <w:right w:val="single" w:sz="4" w:space="0" w:color="auto"/>
            </w:tcBorders>
            <w:shd w:val="clear" w:color="000000" w:fill="D8D8D8"/>
            <w:noWrap/>
            <w:hideMark/>
          </w:tcPr>
          <w:p w14:paraId="4E47E23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Chanthavy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Yoysaikham</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6BE5BE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361" w:type="dxa"/>
            <w:tcBorders>
              <w:top w:val="nil"/>
              <w:left w:val="nil"/>
              <w:bottom w:val="single" w:sz="4" w:space="0" w:color="auto"/>
              <w:right w:val="single" w:sz="4" w:space="0" w:color="auto"/>
            </w:tcBorders>
            <w:shd w:val="clear" w:color="000000" w:fill="D8D8D8"/>
            <w:noWrap/>
            <w:hideMark/>
          </w:tcPr>
          <w:p w14:paraId="3FD98E4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020 22098545</w:t>
            </w:r>
          </w:p>
        </w:tc>
        <w:tc>
          <w:tcPr>
            <w:tcW w:w="1644" w:type="dxa"/>
            <w:gridSpan w:val="2"/>
            <w:tcBorders>
              <w:top w:val="nil"/>
              <w:left w:val="nil"/>
              <w:bottom w:val="single" w:sz="4" w:space="0" w:color="auto"/>
              <w:right w:val="single" w:sz="4" w:space="0" w:color="auto"/>
            </w:tcBorders>
            <w:shd w:val="clear" w:color="000000" w:fill="D8D8D8"/>
            <w:noWrap/>
            <w:hideMark/>
          </w:tcPr>
          <w:p w14:paraId="18342B50"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r w:rsidR="009B2D79" w:rsidRPr="009B2D79" w14:paraId="77E64933" w14:textId="77777777" w:rsidTr="00CC2B5D">
        <w:trPr>
          <w:trHeight w:val="630"/>
        </w:trPr>
        <w:tc>
          <w:tcPr>
            <w:tcW w:w="858" w:type="dxa"/>
            <w:tcBorders>
              <w:top w:val="nil"/>
              <w:left w:val="nil"/>
              <w:bottom w:val="nil"/>
              <w:right w:val="nil"/>
            </w:tcBorders>
            <w:shd w:val="clear" w:color="000000" w:fill="B4C6E7"/>
            <w:hideMark/>
          </w:tcPr>
          <w:p w14:paraId="37FF4685"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w:t>
            </w:r>
          </w:p>
        </w:tc>
        <w:tc>
          <w:tcPr>
            <w:tcW w:w="1276" w:type="dxa"/>
            <w:tcBorders>
              <w:top w:val="single" w:sz="4" w:space="0" w:color="auto"/>
              <w:left w:val="single" w:sz="4" w:space="0" w:color="auto"/>
              <w:bottom w:val="nil"/>
              <w:right w:val="single" w:sz="4" w:space="0" w:color="auto"/>
            </w:tcBorders>
            <w:shd w:val="clear" w:color="auto" w:fill="auto"/>
            <w:hideMark/>
          </w:tcPr>
          <w:p w14:paraId="57412DD6"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Finance Division</w:t>
            </w:r>
            <w:r w:rsidRPr="009B2D79">
              <w:rPr>
                <w:rFonts w:ascii="Times New Roman" w:hAnsi="Times New Roman"/>
                <w:sz w:val="16"/>
                <w:szCs w:val="16"/>
                <w:lang w:val="en-GB" w:eastAsia="en-GB"/>
              </w:rPr>
              <w:br/>
              <w:t>VTE Capital</w:t>
            </w:r>
          </w:p>
        </w:tc>
        <w:tc>
          <w:tcPr>
            <w:tcW w:w="1774" w:type="dxa"/>
            <w:gridSpan w:val="2"/>
            <w:tcBorders>
              <w:top w:val="nil"/>
              <w:left w:val="nil"/>
              <w:bottom w:val="single" w:sz="4" w:space="0" w:color="auto"/>
              <w:right w:val="single" w:sz="4" w:space="0" w:color="auto"/>
            </w:tcBorders>
            <w:shd w:val="clear" w:color="000000" w:fill="D8D8D8"/>
            <w:noWrap/>
            <w:hideMark/>
          </w:tcPr>
          <w:p w14:paraId="7A885C8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Phouangsy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Phaolavanh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C53B06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361" w:type="dxa"/>
            <w:tcBorders>
              <w:top w:val="nil"/>
              <w:left w:val="nil"/>
              <w:bottom w:val="single" w:sz="4" w:space="0" w:color="auto"/>
              <w:right w:val="single" w:sz="4" w:space="0" w:color="auto"/>
            </w:tcBorders>
            <w:shd w:val="clear" w:color="000000" w:fill="D8D8D8"/>
            <w:noWrap/>
            <w:hideMark/>
          </w:tcPr>
          <w:p w14:paraId="11A3C40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020 22222395</w:t>
            </w:r>
          </w:p>
        </w:tc>
        <w:tc>
          <w:tcPr>
            <w:tcW w:w="1644" w:type="dxa"/>
            <w:gridSpan w:val="2"/>
            <w:tcBorders>
              <w:top w:val="nil"/>
              <w:left w:val="nil"/>
              <w:bottom w:val="single" w:sz="4" w:space="0" w:color="auto"/>
              <w:right w:val="single" w:sz="4" w:space="0" w:color="auto"/>
            </w:tcBorders>
            <w:shd w:val="clear" w:color="000000" w:fill="D8D8D8"/>
            <w:noWrap/>
            <w:hideMark/>
          </w:tcPr>
          <w:p w14:paraId="52A3FB23"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r w:rsidR="009B2D79" w:rsidRPr="009B2D79" w14:paraId="3A69A188" w14:textId="77777777" w:rsidTr="00CC2B5D">
        <w:trPr>
          <w:trHeight w:val="315"/>
        </w:trPr>
        <w:tc>
          <w:tcPr>
            <w:tcW w:w="858" w:type="dxa"/>
            <w:vMerge w:val="restart"/>
            <w:tcBorders>
              <w:top w:val="single" w:sz="4" w:space="0" w:color="auto"/>
              <w:left w:val="nil"/>
              <w:bottom w:val="single" w:sz="4" w:space="0" w:color="000000"/>
              <w:right w:val="single" w:sz="4" w:space="0" w:color="auto"/>
            </w:tcBorders>
            <w:shd w:val="clear" w:color="000000" w:fill="B3C6E7"/>
            <w:hideMark/>
          </w:tcPr>
          <w:p w14:paraId="58932169"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SAO</w:t>
            </w:r>
          </w:p>
        </w:tc>
        <w:tc>
          <w:tcPr>
            <w:tcW w:w="1276" w:type="dxa"/>
            <w:vMerge w:val="restart"/>
            <w:tcBorders>
              <w:top w:val="single" w:sz="4" w:space="0" w:color="auto"/>
              <w:left w:val="single" w:sz="4" w:space="0" w:color="auto"/>
              <w:bottom w:val="nil"/>
              <w:right w:val="single" w:sz="4" w:space="0" w:color="auto"/>
            </w:tcBorders>
            <w:shd w:val="clear" w:color="auto" w:fill="auto"/>
            <w:hideMark/>
          </w:tcPr>
          <w:p w14:paraId="1F75AAF7"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Audit Results Quality Assurance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002C75D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Anousith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Soukhathammavong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4B15DB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noWrap/>
            <w:hideMark/>
          </w:tcPr>
          <w:p w14:paraId="63663B6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020 22331145</w:t>
            </w:r>
          </w:p>
        </w:tc>
        <w:tc>
          <w:tcPr>
            <w:tcW w:w="1644" w:type="dxa"/>
            <w:gridSpan w:val="2"/>
            <w:tcBorders>
              <w:top w:val="single" w:sz="4" w:space="0" w:color="auto"/>
              <w:left w:val="nil"/>
              <w:bottom w:val="single" w:sz="4" w:space="0" w:color="auto"/>
              <w:right w:val="single" w:sz="4" w:space="0" w:color="auto"/>
            </w:tcBorders>
            <w:shd w:val="clear" w:color="000000" w:fill="D8D8D8"/>
            <w:hideMark/>
          </w:tcPr>
          <w:p w14:paraId="6401F6E5"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1" w:history="1">
              <w:r w:rsidR="009B2D79" w:rsidRPr="009B2D79">
                <w:rPr>
                  <w:rFonts w:ascii="Calibri" w:hAnsi="Calibri" w:cs="Calibri"/>
                  <w:color w:val="0563C1"/>
                  <w:sz w:val="16"/>
                  <w:szCs w:val="16"/>
                  <w:u w:val="single"/>
                  <w:lang w:val="en-GB" w:eastAsia="en-GB"/>
                </w:rPr>
                <w:t xml:space="preserve">anousith_b@yahoo.com </w:t>
              </w:r>
            </w:hyperlink>
          </w:p>
        </w:tc>
      </w:tr>
      <w:tr w:rsidR="009B2D79" w:rsidRPr="009B2D79" w14:paraId="49CA1DD5" w14:textId="77777777" w:rsidTr="00CC2B5D">
        <w:trPr>
          <w:trHeight w:val="360"/>
        </w:trPr>
        <w:tc>
          <w:tcPr>
            <w:tcW w:w="858" w:type="dxa"/>
            <w:vMerge/>
            <w:tcBorders>
              <w:top w:val="single" w:sz="4" w:space="0" w:color="auto"/>
              <w:left w:val="nil"/>
              <w:bottom w:val="single" w:sz="4" w:space="0" w:color="000000"/>
              <w:right w:val="single" w:sz="4" w:space="0" w:color="auto"/>
            </w:tcBorders>
            <w:vAlign w:val="center"/>
            <w:hideMark/>
          </w:tcPr>
          <w:p w14:paraId="0166BF4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5DC54E6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55D9B0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Xayyo</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Heangnimoon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3128B5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1978F41C" w14:textId="77777777" w:rsidR="009B2D79" w:rsidRPr="009B2D79" w:rsidRDefault="008E0EF0" w:rsidP="009B2D79">
            <w:pPr>
              <w:spacing w:before="0"/>
              <w:ind w:left="0"/>
              <w:jc w:val="left"/>
              <w:rPr>
                <w:rFonts w:ascii="Calibri" w:hAnsi="Calibri" w:cs="Calibri"/>
                <w:sz w:val="16"/>
                <w:szCs w:val="16"/>
                <w:u w:val="single"/>
                <w:lang w:val="en-GB" w:eastAsia="en-GB"/>
              </w:rPr>
            </w:pPr>
            <w:hyperlink r:id="rId72" w:history="1">
              <w:r w:rsidR="009B2D79" w:rsidRPr="009B2D79">
                <w:rPr>
                  <w:rFonts w:ascii="Calibri" w:hAnsi="Calibri" w:cs="Calibri"/>
                  <w:sz w:val="16"/>
                  <w:szCs w:val="16"/>
                  <w:u w:val="single"/>
                  <w:lang w:val="en-GB" w:eastAsia="en-GB"/>
                </w:rPr>
                <w:t>020 22239392</w:t>
              </w:r>
            </w:hyperlink>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503985AD"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3" w:history="1">
              <w:r w:rsidR="009B2D79" w:rsidRPr="009B2D79">
                <w:rPr>
                  <w:rFonts w:ascii="Calibri" w:hAnsi="Calibri" w:cs="Calibri"/>
                  <w:color w:val="0563C1"/>
                  <w:sz w:val="16"/>
                  <w:szCs w:val="16"/>
                  <w:u w:val="single"/>
                  <w:lang w:val="en-GB" w:eastAsia="en-GB"/>
                </w:rPr>
                <w:t>senyphet_yui@hotmail.com</w:t>
              </w:r>
            </w:hyperlink>
          </w:p>
        </w:tc>
      </w:tr>
      <w:tr w:rsidR="009B2D79" w:rsidRPr="009B2D79" w14:paraId="461F3C6E" w14:textId="77777777" w:rsidTr="009B2D79">
        <w:trPr>
          <w:trHeight w:val="360"/>
        </w:trPr>
        <w:tc>
          <w:tcPr>
            <w:tcW w:w="858" w:type="dxa"/>
            <w:vMerge/>
            <w:tcBorders>
              <w:top w:val="single" w:sz="4" w:space="0" w:color="auto"/>
              <w:left w:val="nil"/>
              <w:bottom w:val="single" w:sz="4" w:space="0" w:color="000000"/>
              <w:right w:val="single" w:sz="4" w:space="0" w:color="auto"/>
            </w:tcBorders>
            <w:vAlign w:val="center"/>
            <w:hideMark/>
          </w:tcPr>
          <w:p w14:paraId="69E7420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67DC011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E22E2A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Senyphet</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Syhavong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B5E71A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 of Audit Division</w:t>
            </w:r>
          </w:p>
        </w:tc>
        <w:tc>
          <w:tcPr>
            <w:tcW w:w="1361" w:type="dxa"/>
            <w:tcBorders>
              <w:top w:val="nil"/>
              <w:left w:val="nil"/>
              <w:bottom w:val="single" w:sz="4" w:space="0" w:color="auto"/>
              <w:right w:val="single" w:sz="4" w:space="0" w:color="auto"/>
            </w:tcBorders>
            <w:shd w:val="clear" w:color="000000" w:fill="D8D8D8"/>
            <w:noWrap/>
            <w:hideMark/>
          </w:tcPr>
          <w:p w14:paraId="113A9159" w14:textId="77777777" w:rsidR="009B2D79" w:rsidRPr="009B2D79" w:rsidRDefault="008E0EF0" w:rsidP="009B2D79">
            <w:pPr>
              <w:spacing w:before="0"/>
              <w:ind w:left="0"/>
              <w:jc w:val="left"/>
              <w:rPr>
                <w:rFonts w:ascii="Calibri" w:hAnsi="Calibri" w:cs="Calibri"/>
                <w:sz w:val="16"/>
                <w:szCs w:val="16"/>
                <w:u w:val="single"/>
                <w:lang w:val="en-GB" w:eastAsia="en-GB"/>
              </w:rPr>
            </w:pPr>
            <w:hyperlink r:id="rId74" w:history="1">
              <w:r w:rsidR="009B2D79" w:rsidRPr="009B2D79">
                <w:rPr>
                  <w:rFonts w:ascii="Calibri" w:hAnsi="Calibri" w:cs="Calibri"/>
                  <w:sz w:val="16"/>
                  <w:szCs w:val="16"/>
                  <w:u w:val="single"/>
                  <w:lang w:val="en-GB" w:eastAsia="en-GB"/>
                </w:rPr>
                <w:t>020 22335161</w:t>
              </w:r>
            </w:hyperlink>
          </w:p>
        </w:tc>
        <w:tc>
          <w:tcPr>
            <w:tcW w:w="1644" w:type="dxa"/>
            <w:gridSpan w:val="2"/>
            <w:tcBorders>
              <w:top w:val="nil"/>
              <w:left w:val="nil"/>
              <w:bottom w:val="single" w:sz="4" w:space="0" w:color="auto"/>
              <w:right w:val="single" w:sz="4" w:space="0" w:color="auto"/>
            </w:tcBorders>
            <w:shd w:val="clear" w:color="000000" w:fill="D8D8D8"/>
            <w:noWrap/>
            <w:hideMark/>
          </w:tcPr>
          <w:p w14:paraId="0EE6C4F9"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5" w:history="1">
              <w:r w:rsidR="009B2D79" w:rsidRPr="009B2D79">
                <w:rPr>
                  <w:rFonts w:ascii="Calibri" w:hAnsi="Calibri" w:cs="Calibri"/>
                  <w:color w:val="0563C1"/>
                  <w:sz w:val="16"/>
                  <w:szCs w:val="16"/>
                  <w:u w:val="single"/>
                  <w:lang w:val="en-GB" w:eastAsia="en-GB"/>
                </w:rPr>
                <w:t xml:space="preserve">vart8ce@gmail.com </w:t>
              </w:r>
            </w:hyperlink>
          </w:p>
        </w:tc>
      </w:tr>
      <w:tr w:rsidR="009B2D79" w:rsidRPr="009B2D79" w14:paraId="12EF0C67" w14:textId="77777777" w:rsidTr="009B2D79">
        <w:trPr>
          <w:trHeight w:val="360"/>
        </w:trPr>
        <w:tc>
          <w:tcPr>
            <w:tcW w:w="858" w:type="dxa"/>
            <w:vMerge/>
            <w:tcBorders>
              <w:top w:val="single" w:sz="4" w:space="0" w:color="auto"/>
              <w:left w:val="nil"/>
              <w:bottom w:val="single" w:sz="4" w:space="0" w:color="000000"/>
              <w:right w:val="single" w:sz="4" w:space="0" w:color="auto"/>
            </w:tcBorders>
            <w:vAlign w:val="center"/>
            <w:hideMark/>
          </w:tcPr>
          <w:p w14:paraId="375E15B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2F74BBF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C5BD77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Soutsavanh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Manachit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A649BF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Evaluation Division</w:t>
            </w:r>
          </w:p>
        </w:tc>
        <w:tc>
          <w:tcPr>
            <w:tcW w:w="1361" w:type="dxa"/>
            <w:tcBorders>
              <w:top w:val="nil"/>
              <w:left w:val="nil"/>
              <w:bottom w:val="single" w:sz="4" w:space="0" w:color="auto"/>
              <w:right w:val="single" w:sz="4" w:space="0" w:color="auto"/>
            </w:tcBorders>
            <w:shd w:val="clear" w:color="000000" w:fill="D8D8D8"/>
            <w:noWrap/>
            <w:hideMark/>
          </w:tcPr>
          <w:p w14:paraId="60BFEFA7"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E59B7DA" w14:textId="77777777" w:rsidR="009B2D79" w:rsidRPr="009B2D79" w:rsidRDefault="009B2D79" w:rsidP="009B2D79">
            <w:pPr>
              <w:spacing w:before="0"/>
              <w:ind w:left="0"/>
              <w:jc w:val="left"/>
              <w:rPr>
                <w:rFonts w:ascii="Calibri" w:hAnsi="Calibri" w:cs="Calibri"/>
                <w:color w:val="0563C1"/>
                <w:sz w:val="16"/>
                <w:szCs w:val="16"/>
                <w:u w:val="single"/>
                <w:lang w:val="en-GB" w:eastAsia="en-GB"/>
              </w:rPr>
            </w:pPr>
            <w:r w:rsidRPr="009B2D79">
              <w:rPr>
                <w:rFonts w:ascii="Calibri" w:hAnsi="Calibri" w:cs="Calibri"/>
                <w:color w:val="0563C1"/>
                <w:sz w:val="16"/>
                <w:szCs w:val="16"/>
                <w:u w:val="single"/>
                <w:lang w:val="en-GB" w:eastAsia="en-GB"/>
              </w:rPr>
              <w:t> </w:t>
            </w:r>
          </w:p>
        </w:tc>
      </w:tr>
      <w:tr w:rsidR="009B2D79" w:rsidRPr="009B2D79" w14:paraId="116E349D" w14:textId="77777777" w:rsidTr="009B2D79">
        <w:trPr>
          <w:trHeight w:val="360"/>
        </w:trPr>
        <w:tc>
          <w:tcPr>
            <w:tcW w:w="858" w:type="dxa"/>
            <w:vMerge/>
            <w:tcBorders>
              <w:top w:val="single" w:sz="4" w:space="0" w:color="auto"/>
              <w:left w:val="nil"/>
              <w:bottom w:val="single" w:sz="4" w:space="0" w:color="000000"/>
              <w:right w:val="single" w:sz="4" w:space="0" w:color="auto"/>
            </w:tcBorders>
            <w:vAlign w:val="center"/>
            <w:hideMark/>
          </w:tcPr>
          <w:p w14:paraId="77BB759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6D9B78E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079F56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Chanphayvanh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Khounsackda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1C784B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Division</w:t>
            </w:r>
          </w:p>
        </w:tc>
        <w:tc>
          <w:tcPr>
            <w:tcW w:w="1361" w:type="dxa"/>
            <w:tcBorders>
              <w:top w:val="nil"/>
              <w:left w:val="nil"/>
              <w:bottom w:val="single" w:sz="4" w:space="0" w:color="auto"/>
              <w:right w:val="single" w:sz="4" w:space="0" w:color="auto"/>
            </w:tcBorders>
            <w:shd w:val="clear" w:color="000000" w:fill="D8D8D8"/>
            <w:noWrap/>
            <w:hideMark/>
          </w:tcPr>
          <w:p w14:paraId="3E3C6C8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020 96641444</w:t>
            </w:r>
          </w:p>
        </w:tc>
        <w:tc>
          <w:tcPr>
            <w:tcW w:w="1644" w:type="dxa"/>
            <w:gridSpan w:val="2"/>
            <w:tcBorders>
              <w:top w:val="nil"/>
              <w:left w:val="nil"/>
              <w:bottom w:val="single" w:sz="4" w:space="0" w:color="auto"/>
              <w:right w:val="single" w:sz="4" w:space="0" w:color="auto"/>
            </w:tcBorders>
            <w:shd w:val="clear" w:color="000000" w:fill="D8D8D8"/>
            <w:noWrap/>
            <w:hideMark/>
          </w:tcPr>
          <w:p w14:paraId="2F1D485F" w14:textId="77777777" w:rsidR="009B2D79" w:rsidRPr="009B2D79" w:rsidRDefault="009B2D79" w:rsidP="009B2D79">
            <w:pPr>
              <w:spacing w:before="0"/>
              <w:ind w:left="0"/>
              <w:jc w:val="left"/>
              <w:rPr>
                <w:rFonts w:ascii="Calibri" w:hAnsi="Calibri" w:cs="Calibri"/>
                <w:color w:val="0563C1"/>
                <w:sz w:val="16"/>
                <w:szCs w:val="16"/>
                <w:u w:val="single"/>
                <w:lang w:val="en-GB" w:eastAsia="en-GB"/>
              </w:rPr>
            </w:pPr>
            <w:r w:rsidRPr="009B2D79">
              <w:rPr>
                <w:rFonts w:ascii="Calibri" w:hAnsi="Calibri" w:cs="Calibri"/>
                <w:color w:val="0563C1"/>
                <w:sz w:val="16"/>
                <w:szCs w:val="16"/>
                <w:u w:val="single"/>
                <w:lang w:val="en-GB" w:eastAsia="en-GB"/>
              </w:rPr>
              <w:t> </w:t>
            </w:r>
          </w:p>
        </w:tc>
      </w:tr>
      <w:tr w:rsidR="009B2D79" w:rsidRPr="009B2D79" w14:paraId="464340DC" w14:textId="77777777" w:rsidTr="009B2D79">
        <w:trPr>
          <w:trHeight w:val="360"/>
        </w:trPr>
        <w:tc>
          <w:tcPr>
            <w:tcW w:w="858" w:type="dxa"/>
            <w:vMerge/>
            <w:tcBorders>
              <w:top w:val="single" w:sz="4" w:space="0" w:color="auto"/>
              <w:left w:val="nil"/>
              <w:bottom w:val="single" w:sz="4" w:space="0" w:color="000000"/>
              <w:right w:val="single" w:sz="4" w:space="0" w:color="auto"/>
            </w:tcBorders>
            <w:vAlign w:val="center"/>
            <w:hideMark/>
          </w:tcPr>
          <w:p w14:paraId="4BE5252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30D02DC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D78090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Sohanith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Xaykhouson</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0FE0E3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6D73CC7C"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0E78AAF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9548395" w14:textId="77777777" w:rsidTr="009B2D79">
        <w:trPr>
          <w:trHeight w:val="360"/>
        </w:trPr>
        <w:tc>
          <w:tcPr>
            <w:tcW w:w="858" w:type="dxa"/>
            <w:vMerge w:val="restart"/>
            <w:tcBorders>
              <w:top w:val="nil"/>
              <w:left w:val="nil"/>
              <w:bottom w:val="nil"/>
              <w:right w:val="single" w:sz="4" w:space="0" w:color="auto"/>
            </w:tcBorders>
            <w:shd w:val="clear" w:color="000000" w:fill="B3C6E7"/>
            <w:hideMark/>
          </w:tcPr>
          <w:p w14:paraId="1D1C192E"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lastRenderedPageBreak/>
              <w:t>NA</w:t>
            </w:r>
          </w:p>
        </w:tc>
        <w:tc>
          <w:tcPr>
            <w:tcW w:w="1276" w:type="dxa"/>
            <w:vMerge w:val="restart"/>
            <w:tcBorders>
              <w:top w:val="single" w:sz="4" w:space="0" w:color="auto"/>
              <w:left w:val="single" w:sz="4" w:space="0" w:color="auto"/>
              <w:bottom w:val="nil"/>
              <w:right w:val="single" w:sz="4" w:space="0" w:color="auto"/>
            </w:tcBorders>
            <w:shd w:val="clear" w:color="000000" w:fill="FFFFFF"/>
            <w:hideMark/>
          </w:tcPr>
          <w:p w14:paraId="59FECAB5"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 xml:space="preserve">Banking, </w:t>
            </w:r>
            <w:proofErr w:type="spellStart"/>
            <w:proofErr w:type="gramStart"/>
            <w:r w:rsidRPr="009B2D79">
              <w:rPr>
                <w:rFonts w:ascii="Times New Roman" w:hAnsi="Times New Roman"/>
                <w:sz w:val="16"/>
                <w:szCs w:val="16"/>
                <w:lang w:val="en-GB" w:eastAsia="en-GB"/>
              </w:rPr>
              <w:t>Finance,and</w:t>
            </w:r>
            <w:proofErr w:type="spellEnd"/>
            <w:proofErr w:type="gramEnd"/>
            <w:r w:rsidRPr="009B2D79">
              <w:rPr>
                <w:rFonts w:ascii="Times New Roman" w:hAnsi="Times New Roman"/>
                <w:sz w:val="16"/>
                <w:szCs w:val="16"/>
                <w:lang w:val="en-GB" w:eastAsia="en-GB"/>
              </w:rPr>
              <w:t xml:space="preserve"> Auditing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1EB3692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Khamphounh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Phengthireth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3D5F07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General</w:t>
            </w:r>
          </w:p>
        </w:tc>
        <w:tc>
          <w:tcPr>
            <w:tcW w:w="1361" w:type="dxa"/>
            <w:tcBorders>
              <w:top w:val="nil"/>
              <w:left w:val="nil"/>
              <w:bottom w:val="single" w:sz="4" w:space="0" w:color="auto"/>
              <w:right w:val="single" w:sz="4" w:space="0" w:color="auto"/>
            </w:tcBorders>
            <w:shd w:val="clear" w:color="000000" w:fill="D8D8D8"/>
            <w:noWrap/>
            <w:hideMark/>
          </w:tcPr>
          <w:p w14:paraId="21778D6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020 55634654</w:t>
            </w:r>
          </w:p>
        </w:tc>
        <w:tc>
          <w:tcPr>
            <w:tcW w:w="1644" w:type="dxa"/>
            <w:gridSpan w:val="2"/>
            <w:tcBorders>
              <w:top w:val="nil"/>
              <w:left w:val="nil"/>
              <w:bottom w:val="single" w:sz="4" w:space="0" w:color="auto"/>
              <w:right w:val="single" w:sz="4" w:space="0" w:color="auto"/>
            </w:tcBorders>
            <w:shd w:val="clear" w:color="000000" w:fill="D8D8D8"/>
            <w:noWrap/>
            <w:hideMark/>
          </w:tcPr>
          <w:p w14:paraId="02797A4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85D6877" w14:textId="77777777" w:rsidTr="009B2D79">
        <w:trPr>
          <w:trHeight w:val="379"/>
        </w:trPr>
        <w:tc>
          <w:tcPr>
            <w:tcW w:w="858" w:type="dxa"/>
            <w:vMerge/>
            <w:tcBorders>
              <w:top w:val="nil"/>
              <w:left w:val="nil"/>
              <w:bottom w:val="nil"/>
              <w:right w:val="single" w:sz="4" w:space="0" w:color="auto"/>
            </w:tcBorders>
            <w:vAlign w:val="center"/>
            <w:hideMark/>
          </w:tcPr>
          <w:p w14:paraId="0A48AEC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21666D0B"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171F84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Souksakhone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Sitthibandith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C4E47A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of Banking, </w:t>
            </w:r>
            <w:proofErr w:type="spellStart"/>
            <w:proofErr w:type="gramStart"/>
            <w:r w:rsidRPr="009B2D79">
              <w:rPr>
                <w:rFonts w:ascii="Times New Roman" w:hAnsi="Times New Roman"/>
                <w:sz w:val="16"/>
                <w:szCs w:val="16"/>
                <w:lang w:val="en-GB" w:eastAsia="en-GB"/>
              </w:rPr>
              <w:t>Finance,and</w:t>
            </w:r>
            <w:proofErr w:type="spellEnd"/>
            <w:proofErr w:type="gramEnd"/>
            <w:r w:rsidRPr="009B2D79">
              <w:rPr>
                <w:rFonts w:ascii="Times New Roman" w:hAnsi="Times New Roman"/>
                <w:sz w:val="16"/>
                <w:szCs w:val="16"/>
                <w:lang w:val="en-GB" w:eastAsia="en-GB"/>
              </w:rPr>
              <w:t xml:space="preserve"> Auditing Division</w:t>
            </w:r>
          </w:p>
        </w:tc>
        <w:tc>
          <w:tcPr>
            <w:tcW w:w="1361" w:type="dxa"/>
            <w:tcBorders>
              <w:top w:val="nil"/>
              <w:left w:val="nil"/>
              <w:bottom w:val="single" w:sz="4" w:space="0" w:color="auto"/>
              <w:right w:val="single" w:sz="4" w:space="0" w:color="auto"/>
            </w:tcBorders>
            <w:shd w:val="clear" w:color="000000" w:fill="D8D8D8"/>
            <w:noWrap/>
            <w:hideMark/>
          </w:tcPr>
          <w:p w14:paraId="221EE04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020 22242220</w:t>
            </w:r>
          </w:p>
        </w:tc>
        <w:tc>
          <w:tcPr>
            <w:tcW w:w="1644" w:type="dxa"/>
            <w:gridSpan w:val="2"/>
            <w:tcBorders>
              <w:top w:val="nil"/>
              <w:left w:val="nil"/>
              <w:bottom w:val="single" w:sz="4" w:space="0" w:color="auto"/>
              <w:right w:val="single" w:sz="4" w:space="0" w:color="auto"/>
            </w:tcBorders>
            <w:shd w:val="clear" w:color="000000" w:fill="D8D8D8"/>
            <w:noWrap/>
            <w:hideMark/>
          </w:tcPr>
          <w:p w14:paraId="158FCAA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70219D7" w14:textId="77777777" w:rsidTr="009B2D79">
        <w:trPr>
          <w:trHeight w:val="379"/>
        </w:trPr>
        <w:tc>
          <w:tcPr>
            <w:tcW w:w="858" w:type="dxa"/>
            <w:vMerge/>
            <w:tcBorders>
              <w:top w:val="nil"/>
              <w:left w:val="nil"/>
              <w:bottom w:val="nil"/>
              <w:right w:val="single" w:sz="4" w:space="0" w:color="auto"/>
            </w:tcBorders>
            <w:vAlign w:val="center"/>
            <w:hideMark/>
          </w:tcPr>
          <w:p w14:paraId="427D7F3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6387111D"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FA86A1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Anousone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Phommaxay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AFAC50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 of Statistic Division</w:t>
            </w:r>
          </w:p>
        </w:tc>
        <w:tc>
          <w:tcPr>
            <w:tcW w:w="1361" w:type="dxa"/>
            <w:tcBorders>
              <w:top w:val="nil"/>
              <w:left w:val="nil"/>
              <w:bottom w:val="single" w:sz="4" w:space="0" w:color="auto"/>
              <w:right w:val="single" w:sz="4" w:space="0" w:color="auto"/>
            </w:tcBorders>
            <w:shd w:val="clear" w:color="000000" w:fill="D8D8D8"/>
            <w:noWrap/>
            <w:hideMark/>
          </w:tcPr>
          <w:p w14:paraId="5166759D"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62BAE57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C75C877" w14:textId="77777777" w:rsidTr="009B2D79">
        <w:trPr>
          <w:trHeight w:val="360"/>
        </w:trPr>
        <w:tc>
          <w:tcPr>
            <w:tcW w:w="858" w:type="dxa"/>
            <w:vMerge/>
            <w:tcBorders>
              <w:top w:val="nil"/>
              <w:left w:val="nil"/>
              <w:bottom w:val="nil"/>
              <w:right w:val="single" w:sz="4" w:space="0" w:color="auto"/>
            </w:tcBorders>
            <w:vAlign w:val="center"/>
            <w:hideMark/>
          </w:tcPr>
          <w:p w14:paraId="66A6208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0E39AEB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5F0384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Vannasone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Lamxai</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BAC1CE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14DD1E8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020 77566499</w:t>
            </w:r>
          </w:p>
        </w:tc>
        <w:tc>
          <w:tcPr>
            <w:tcW w:w="1644" w:type="dxa"/>
            <w:gridSpan w:val="2"/>
            <w:tcBorders>
              <w:top w:val="nil"/>
              <w:left w:val="nil"/>
              <w:bottom w:val="single" w:sz="4" w:space="0" w:color="auto"/>
              <w:right w:val="single" w:sz="4" w:space="0" w:color="auto"/>
            </w:tcBorders>
            <w:shd w:val="clear" w:color="000000" w:fill="D8D8D8"/>
            <w:noWrap/>
            <w:hideMark/>
          </w:tcPr>
          <w:p w14:paraId="01E9412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9764EB7" w14:textId="77777777" w:rsidTr="009B2D79">
        <w:trPr>
          <w:trHeight w:val="360"/>
        </w:trPr>
        <w:tc>
          <w:tcPr>
            <w:tcW w:w="858" w:type="dxa"/>
            <w:vMerge/>
            <w:tcBorders>
              <w:top w:val="nil"/>
              <w:left w:val="nil"/>
              <w:bottom w:val="nil"/>
              <w:right w:val="single" w:sz="4" w:space="0" w:color="auto"/>
            </w:tcBorders>
            <w:vAlign w:val="center"/>
            <w:hideMark/>
          </w:tcPr>
          <w:p w14:paraId="7D985FC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599EA73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681A7B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Simphan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Luengmixay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70B32C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73A7D15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020 99560106</w:t>
            </w:r>
          </w:p>
        </w:tc>
        <w:tc>
          <w:tcPr>
            <w:tcW w:w="1644" w:type="dxa"/>
            <w:gridSpan w:val="2"/>
            <w:tcBorders>
              <w:top w:val="nil"/>
              <w:left w:val="nil"/>
              <w:bottom w:val="single" w:sz="4" w:space="0" w:color="auto"/>
              <w:right w:val="single" w:sz="4" w:space="0" w:color="auto"/>
            </w:tcBorders>
            <w:shd w:val="clear" w:color="000000" w:fill="D8D8D8"/>
            <w:noWrap/>
            <w:hideMark/>
          </w:tcPr>
          <w:p w14:paraId="0816B04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2FC05F0" w14:textId="77777777" w:rsidTr="009B2D79">
        <w:trPr>
          <w:trHeight w:val="360"/>
        </w:trPr>
        <w:tc>
          <w:tcPr>
            <w:tcW w:w="858" w:type="dxa"/>
            <w:vMerge/>
            <w:tcBorders>
              <w:top w:val="nil"/>
              <w:left w:val="nil"/>
              <w:bottom w:val="nil"/>
              <w:right w:val="single" w:sz="4" w:space="0" w:color="auto"/>
            </w:tcBorders>
            <w:vAlign w:val="center"/>
            <w:hideMark/>
          </w:tcPr>
          <w:p w14:paraId="7AB6AD0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4D18CA9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B2210F3"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proofErr w:type="gramStart"/>
            <w:r w:rsidRPr="009B2D79">
              <w:rPr>
                <w:rFonts w:ascii="Times New Roman" w:hAnsi="Times New Roman"/>
                <w:sz w:val="16"/>
                <w:szCs w:val="16"/>
                <w:lang w:val="en-GB" w:eastAsia="en-GB"/>
              </w:rPr>
              <w:t>Mr.Vilath</w:t>
            </w:r>
            <w:proofErr w:type="spellEnd"/>
            <w:proofErr w:type="gram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Sihabout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4F1164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5FF0F0D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9537D5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169DDFFE" w14:textId="77777777" w:rsidTr="009B2D79">
        <w:trPr>
          <w:trHeight w:val="360"/>
        </w:trPr>
        <w:tc>
          <w:tcPr>
            <w:tcW w:w="858" w:type="dxa"/>
            <w:vMerge/>
            <w:tcBorders>
              <w:top w:val="nil"/>
              <w:left w:val="nil"/>
              <w:bottom w:val="nil"/>
              <w:right w:val="single" w:sz="4" w:space="0" w:color="auto"/>
            </w:tcBorders>
            <w:vAlign w:val="center"/>
            <w:hideMark/>
          </w:tcPr>
          <w:p w14:paraId="297C9CC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2C97814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B46FB0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Tingmai</w:t>
            </w:r>
            <w:proofErr w:type="spellEnd"/>
            <w:r w:rsidRPr="009B2D79">
              <w:rPr>
                <w:rFonts w:ascii="Times New Roman" w:hAnsi="Times New Roman"/>
                <w:sz w:val="16"/>
                <w:szCs w:val="16"/>
                <w:lang w:val="en-GB" w:eastAsia="en-GB"/>
              </w:rPr>
              <w:t xml:space="preserve"> Vilaythong</w:t>
            </w:r>
          </w:p>
        </w:tc>
        <w:tc>
          <w:tcPr>
            <w:tcW w:w="2620" w:type="dxa"/>
            <w:gridSpan w:val="2"/>
            <w:tcBorders>
              <w:top w:val="nil"/>
              <w:left w:val="nil"/>
              <w:bottom w:val="single" w:sz="4" w:space="0" w:color="auto"/>
              <w:right w:val="single" w:sz="4" w:space="0" w:color="auto"/>
            </w:tcBorders>
            <w:shd w:val="clear" w:color="000000" w:fill="D8D8D8"/>
            <w:noWrap/>
            <w:hideMark/>
          </w:tcPr>
          <w:p w14:paraId="7D18EF8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40AA839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020 55889030</w:t>
            </w:r>
          </w:p>
        </w:tc>
        <w:tc>
          <w:tcPr>
            <w:tcW w:w="1644" w:type="dxa"/>
            <w:gridSpan w:val="2"/>
            <w:tcBorders>
              <w:top w:val="nil"/>
              <w:left w:val="nil"/>
              <w:bottom w:val="single" w:sz="4" w:space="0" w:color="auto"/>
              <w:right w:val="single" w:sz="4" w:space="0" w:color="auto"/>
            </w:tcBorders>
            <w:shd w:val="clear" w:color="000000" w:fill="D8D8D8"/>
            <w:noWrap/>
            <w:hideMark/>
          </w:tcPr>
          <w:p w14:paraId="6886CE1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7F7E47AC" w14:textId="77777777" w:rsidTr="009B2D79">
        <w:trPr>
          <w:trHeight w:val="300"/>
        </w:trPr>
        <w:tc>
          <w:tcPr>
            <w:tcW w:w="858" w:type="dxa"/>
            <w:vMerge w:val="restart"/>
            <w:tcBorders>
              <w:top w:val="single" w:sz="4" w:space="0" w:color="auto"/>
              <w:left w:val="nil"/>
              <w:bottom w:val="single" w:sz="4" w:space="0" w:color="000000"/>
              <w:right w:val="single" w:sz="4" w:space="0" w:color="auto"/>
            </w:tcBorders>
            <w:shd w:val="clear" w:color="000000" w:fill="B3C6E7"/>
            <w:hideMark/>
          </w:tcPr>
          <w:p w14:paraId="41A6C241"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MPWT</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5770D2F"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Finance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3341882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Sisomthong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Phomthavixay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412512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General</w:t>
            </w:r>
          </w:p>
        </w:tc>
        <w:tc>
          <w:tcPr>
            <w:tcW w:w="1361" w:type="dxa"/>
            <w:tcBorders>
              <w:top w:val="nil"/>
              <w:left w:val="nil"/>
              <w:bottom w:val="single" w:sz="4" w:space="0" w:color="auto"/>
              <w:right w:val="single" w:sz="4" w:space="0" w:color="auto"/>
            </w:tcBorders>
            <w:shd w:val="clear" w:color="000000" w:fill="D8D8D8"/>
            <w:noWrap/>
            <w:hideMark/>
          </w:tcPr>
          <w:p w14:paraId="7DC1574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020 55500745</w:t>
            </w:r>
          </w:p>
        </w:tc>
        <w:tc>
          <w:tcPr>
            <w:tcW w:w="1644" w:type="dxa"/>
            <w:gridSpan w:val="2"/>
            <w:tcBorders>
              <w:top w:val="nil"/>
              <w:left w:val="nil"/>
              <w:bottom w:val="single" w:sz="4" w:space="0" w:color="auto"/>
              <w:right w:val="single" w:sz="4" w:space="0" w:color="auto"/>
            </w:tcBorders>
            <w:shd w:val="clear" w:color="000000" w:fill="D8D8D8"/>
            <w:noWrap/>
            <w:hideMark/>
          </w:tcPr>
          <w:p w14:paraId="7D3F467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96D5BF2" w14:textId="77777777" w:rsidTr="009B2D79">
        <w:trPr>
          <w:trHeight w:val="300"/>
        </w:trPr>
        <w:tc>
          <w:tcPr>
            <w:tcW w:w="858" w:type="dxa"/>
            <w:vMerge/>
            <w:tcBorders>
              <w:top w:val="single" w:sz="4" w:space="0" w:color="auto"/>
              <w:left w:val="nil"/>
              <w:bottom w:val="single" w:sz="4" w:space="0" w:color="000000"/>
              <w:right w:val="single" w:sz="4" w:space="0" w:color="auto"/>
            </w:tcBorders>
            <w:vAlign w:val="center"/>
            <w:hideMark/>
          </w:tcPr>
          <w:p w14:paraId="2A907D9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42F8159"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D81E53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Keoviengsavanh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Khamkhosy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B44079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2BE3E8B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020 55608470</w:t>
            </w:r>
          </w:p>
        </w:tc>
        <w:tc>
          <w:tcPr>
            <w:tcW w:w="1644" w:type="dxa"/>
            <w:gridSpan w:val="2"/>
            <w:tcBorders>
              <w:top w:val="nil"/>
              <w:left w:val="nil"/>
              <w:bottom w:val="single" w:sz="4" w:space="0" w:color="auto"/>
              <w:right w:val="single" w:sz="4" w:space="0" w:color="auto"/>
            </w:tcBorders>
            <w:shd w:val="clear" w:color="000000" w:fill="D8D8D8"/>
            <w:noWrap/>
            <w:hideMark/>
          </w:tcPr>
          <w:p w14:paraId="6162E16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7408C08C" w14:textId="77777777" w:rsidTr="009B2D79">
        <w:trPr>
          <w:trHeight w:val="300"/>
        </w:trPr>
        <w:tc>
          <w:tcPr>
            <w:tcW w:w="858" w:type="dxa"/>
            <w:vMerge/>
            <w:tcBorders>
              <w:top w:val="single" w:sz="4" w:space="0" w:color="auto"/>
              <w:left w:val="nil"/>
              <w:bottom w:val="single" w:sz="4" w:space="0" w:color="000000"/>
              <w:right w:val="single" w:sz="4" w:space="0" w:color="auto"/>
            </w:tcBorders>
            <w:vAlign w:val="center"/>
            <w:hideMark/>
          </w:tcPr>
          <w:p w14:paraId="636D299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DE1FF3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208CE0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Thongdeun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Khammany</w:t>
            </w:r>
            <w:proofErr w:type="spellEnd"/>
            <w:r w:rsidRPr="009B2D79">
              <w:rPr>
                <w:rFonts w:ascii="Times New Roman" w:hAnsi="Times New Roman"/>
                <w:sz w:val="16"/>
                <w:szCs w:val="16"/>
                <w:lang w:val="en-GB" w:eastAsia="en-GB"/>
              </w:rPr>
              <w:t xml:space="preserve"> </w:t>
            </w:r>
          </w:p>
        </w:tc>
        <w:tc>
          <w:tcPr>
            <w:tcW w:w="2620" w:type="dxa"/>
            <w:gridSpan w:val="2"/>
            <w:tcBorders>
              <w:top w:val="nil"/>
              <w:left w:val="nil"/>
              <w:bottom w:val="single" w:sz="4" w:space="0" w:color="auto"/>
              <w:right w:val="single" w:sz="4" w:space="0" w:color="auto"/>
            </w:tcBorders>
            <w:shd w:val="clear" w:color="000000" w:fill="D8D8D8"/>
            <w:noWrap/>
            <w:hideMark/>
          </w:tcPr>
          <w:p w14:paraId="76D3BAE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33B709A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020 98999992</w:t>
            </w:r>
          </w:p>
        </w:tc>
        <w:tc>
          <w:tcPr>
            <w:tcW w:w="1644" w:type="dxa"/>
            <w:gridSpan w:val="2"/>
            <w:tcBorders>
              <w:top w:val="nil"/>
              <w:left w:val="nil"/>
              <w:bottom w:val="single" w:sz="4" w:space="0" w:color="auto"/>
              <w:right w:val="single" w:sz="4" w:space="0" w:color="auto"/>
            </w:tcBorders>
            <w:shd w:val="clear" w:color="000000" w:fill="D8D8D8"/>
            <w:hideMark/>
          </w:tcPr>
          <w:p w14:paraId="0FF98FA7"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6" w:history="1">
              <w:r w:rsidR="009B2D79" w:rsidRPr="009B2D79">
                <w:rPr>
                  <w:rFonts w:ascii="Calibri" w:hAnsi="Calibri" w:cs="Calibri"/>
                  <w:color w:val="0563C1"/>
                  <w:sz w:val="16"/>
                  <w:szCs w:val="16"/>
                  <w:u w:val="single"/>
                  <w:lang w:val="en-GB" w:eastAsia="en-GB"/>
                </w:rPr>
                <w:t>Thongdeun@yahoo.com</w:t>
              </w:r>
              <w:r w:rsidR="009B2D79" w:rsidRPr="009B2D79">
                <w:rPr>
                  <w:rFonts w:ascii="Calibri" w:hAnsi="Calibri" w:cs="Calibri"/>
                  <w:color w:val="0563C1"/>
                  <w:sz w:val="16"/>
                  <w:szCs w:val="16"/>
                  <w:u w:val="single"/>
                  <w:lang w:val="en-GB" w:eastAsia="en-GB"/>
                </w:rPr>
                <w:br/>
              </w:r>
            </w:hyperlink>
          </w:p>
        </w:tc>
      </w:tr>
      <w:tr w:rsidR="009B2D79" w:rsidRPr="009B2D79" w14:paraId="44D70282" w14:textId="77777777" w:rsidTr="009B2D79">
        <w:trPr>
          <w:trHeight w:val="315"/>
        </w:trPr>
        <w:tc>
          <w:tcPr>
            <w:tcW w:w="858" w:type="dxa"/>
            <w:vMerge/>
            <w:tcBorders>
              <w:top w:val="single" w:sz="4" w:space="0" w:color="auto"/>
              <w:left w:val="nil"/>
              <w:bottom w:val="single" w:sz="4" w:space="0" w:color="000000"/>
              <w:right w:val="single" w:sz="4" w:space="0" w:color="auto"/>
            </w:tcBorders>
            <w:vAlign w:val="center"/>
            <w:hideMark/>
          </w:tcPr>
          <w:p w14:paraId="0ECFB49F"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150F1A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95489B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Vannasone</w:t>
            </w:r>
            <w:proofErr w:type="spellEnd"/>
            <w:r w:rsidRPr="009B2D79">
              <w:rPr>
                <w:rFonts w:ascii="Times New Roman" w:hAnsi="Times New Roman"/>
                <w:sz w:val="16"/>
                <w:szCs w:val="16"/>
                <w:lang w:val="en-GB" w:eastAsia="en-GB"/>
              </w:rPr>
              <w:t xml:space="preserve"> K </w:t>
            </w:r>
            <w:proofErr w:type="spellStart"/>
            <w:r w:rsidRPr="009B2D79">
              <w:rPr>
                <w:rFonts w:ascii="Times New Roman" w:hAnsi="Times New Roman"/>
                <w:sz w:val="16"/>
                <w:szCs w:val="16"/>
                <w:lang w:val="en-GB" w:eastAsia="en-GB"/>
              </w:rPr>
              <w:t>Thepvongsa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B33DB5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Finance Division</w:t>
            </w:r>
          </w:p>
        </w:tc>
        <w:tc>
          <w:tcPr>
            <w:tcW w:w="1361" w:type="dxa"/>
            <w:tcBorders>
              <w:top w:val="nil"/>
              <w:left w:val="nil"/>
              <w:bottom w:val="single" w:sz="4" w:space="0" w:color="auto"/>
              <w:right w:val="single" w:sz="4" w:space="0" w:color="auto"/>
            </w:tcBorders>
            <w:shd w:val="clear" w:color="000000" w:fill="D8D8D8"/>
            <w:noWrap/>
            <w:hideMark/>
          </w:tcPr>
          <w:p w14:paraId="7F736D3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020 2204215</w:t>
            </w:r>
          </w:p>
        </w:tc>
        <w:tc>
          <w:tcPr>
            <w:tcW w:w="1644" w:type="dxa"/>
            <w:gridSpan w:val="2"/>
            <w:tcBorders>
              <w:top w:val="nil"/>
              <w:left w:val="nil"/>
              <w:bottom w:val="single" w:sz="4" w:space="0" w:color="auto"/>
              <w:right w:val="single" w:sz="4" w:space="0" w:color="auto"/>
            </w:tcBorders>
            <w:shd w:val="clear" w:color="000000" w:fill="D8D8D8"/>
            <w:noWrap/>
            <w:hideMark/>
          </w:tcPr>
          <w:p w14:paraId="0A32403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1D1BEE77" w14:textId="77777777" w:rsidTr="009B2D79">
        <w:trPr>
          <w:trHeight w:val="315"/>
        </w:trPr>
        <w:tc>
          <w:tcPr>
            <w:tcW w:w="858" w:type="dxa"/>
            <w:vMerge/>
            <w:tcBorders>
              <w:top w:val="single" w:sz="4" w:space="0" w:color="auto"/>
              <w:left w:val="nil"/>
              <w:bottom w:val="single" w:sz="4" w:space="0" w:color="000000"/>
              <w:right w:val="single" w:sz="4" w:space="0" w:color="auto"/>
            </w:tcBorders>
            <w:vAlign w:val="center"/>
            <w:hideMark/>
          </w:tcPr>
          <w:p w14:paraId="0787FE5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735CDB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620B09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Oun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Xayavongkaisone</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F23F1B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Accounting Division</w:t>
            </w:r>
          </w:p>
        </w:tc>
        <w:tc>
          <w:tcPr>
            <w:tcW w:w="1361" w:type="dxa"/>
            <w:tcBorders>
              <w:top w:val="nil"/>
              <w:left w:val="nil"/>
              <w:bottom w:val="single" w:sz="4" w:space="0" w:color="auto"/>
              <w:right w:val="single" w:sz="4" w:space="0" w:color="auto"/>
            </w:tcBorders>
            <w:shd w:val="clear" w:color="000000" w:fill="D8D8D8"/>
            <w:noWrap/>
            <w:hideMark/>
          </w:tcPr>
          <w:p w14:paraId="40FCD74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020 29988678</w:t>
            </w:r>
          </w:p>
        </w:tc>
        <w:tc>
          <w:tcPr>
            <w:tcW w:w="1644" w:type="dxa"/>
            <w:gridSpan w:val="2"/>
            <w:tcBorders>
              <w:top w:val="nil"/>
              <w:left w:val="nil"/>
              <w:bottom w:val="single" w:sz="4" w:space="0" w:color="auto"/>
              <w:right w:val="single" w:sz="4" w:space="0" w:color="auto"/>
            </w:tcBorders>
            <w:shd w:val="clear" w:color="000000" w:fill="D8D8D8"/>
            <w:noWrap/>
            <w:hideMark/>
          </w:tcPr>
          <w:p w14:paraId="3EDC1B9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79188E9" w14:textId="77777777" w:rsidTr="009B2D79">
        <w:trPr>
          <w:trHeight w:val="315"/>
        </w:trPr>
        <w:tc>
          <w:tcPr>
            <w:tcW w:w="858" w:type="dxa"/>
            <w:vMerge/>
            <w:tcBorders>
              <w:top w:val="single" w:sz="4" w:space="0" w:color="auto"/>
              <w:left w:val="nil"/>
              <w:bottom w:val="single" w:sz="4" w:space="0" w:color="000000"/>
              <w:right w:val="single" w:sz="4" w:space="0" w:color="auto"/>
            </w:tcBorders>
            <w:vAlign w:val="center"/>
            <w:hideMark/>
          </w:tcPr>
          <w:p w14:paraId="539806F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A4F6934"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383A9F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Souksavanh </w:t>
            </w:r>
            <w:proofErr w:type="spellStart"/>
            <w:r w:rsidRPr="009B2D79">
              <w:rPr>
                <w:rFonts w:ascii="Times New Roman" w:hAnsi="Times New Roman"/>
                <w:sz w:val="16"/>
                <w:szCs w:val="16"/>
                <w:lang w:val="en-GB" w:eastAsia="en-GB"/>
              </w:rPr>
              <w:t>Mahaxay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D1C137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09229E0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020 23786610</w:t>
            </w:r>
          </w:p>
        </w:tc>
        <w:tc>
          <w:tcPr>
            <w:tcW w:w="1644" w:type="dxa"/>
            <w:gridSpan w:val="2"/>
            <w:tcBorders>
              <w:top w:val="nil"/>
              <w:left w:val="nil"/>
              <w:bottom w:val="single" w:sz="4" w:space="0" w:color="auto"/>
              <w:right w:val="single" w:sz="4" w:space="0" w:color="auto"/>
            </w:tcBorders>
            <w:shd w:val="clear" w:color="000000" w:fill="D8D8D8"/>
            <w:noWrap/>
            <w:hideMark/>
          </w:tcPr>
          <w:p w14:paraId="10166E4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1237E7E6" w14:textId="77777777" w:rsidTr="009B2D79">
        <w:trPr>
          <w:trHeight w:val="315"/>
        </w:trPr>
        <w:tc>
          <w:tcPr>
            <w:tcW w:w="858" w:type="dxa"/>
            <w:tcBorders>
              <w:top w:val="nil"/>
              <w:left w:val="single" w:sz="4" w:space="0" w:color="auto"/>
              <w:bottom w:val="nil"/>
              <w:right w:val="single" w:sz="4" w:space="0" w:color="auto"/>
            </w:tcBorders>
            <w:shd w:val="clear" w:color="000000" w:fill="B3C6E7"/>
            <w:hideMark/>
          </w:tcPr>
          <w:p w14:paraId="353E3ACC"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 xml:space="preserve">BCEL </w:t>
            </w:r>
          </w:p>
        </w:tc>
        <w:tc>
          <w:tcPr>
            <w:tcW w:w="1276" w:type="dxa"/>
            <w:tcBorders>
              <w:top w:val="nil"/>
              <w:left w:val="nil"/>
              <w:bottom w:val="single" w:sz="4" w:space="0" w:color="auto"/>
              <w:right w:val="single" w:sz="4" w:space="0" w:color="auto"/>
            </w:tcBorders>
            <w:shd w:val="clear" w:color="000000" w:fill="FFFFFF"/>
            <w:hideMark/>
          </w:tcPr>
          <w:p w14:paraId="2F626A05"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774" w:type="dxa"/>
            <w:gridSpan w:val="2"/>
            <w:tcBorders>
              <w:top w:val="nil"/>
              <w:left w:val="nil"/>
              <w:bottom w:val="single" w:sz="4" w:space="0" w:color="auto"/>
              <w:right w:val="single" w:sz="4" w:space="0" w:color="auto"/>
            </w:tcBorders>
            <w:shd w:val="clear" w:color="000000" w:fill="D8D8D8"/>
            <w:noWrap/>
            <w:hideMark/>
          </w:tcPr>
          <w:p w14:paraId="6D8A075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Lachay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Khanpravong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348D0C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Managing Director  </w:t>
            </w:r>
          </w:p>
        </w:tc>
        <w:tc>
          <w:tcPr>
            <w:tcW w:w="1361" w:type="dxa"/>
            <w:tcBorders>
              <w:top w:val="nil"/>
              <w:left w:val="nil"/>
              <w:bottom w:val="single" w:sz="4" w:space="0" w:color="auto"/>
              <w:right w:val="single" w:sz="4" w:space="0" w:color="auto"/>
            </w:tcBorders>
            <w:shd w:val="clear" w:color="000000" w:fill="D8D8D8"/>
            <w:noWrap/>
            <w:hideMark/>
          </w:tcPr>
          <w:p w14:paraId="7B7D337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0D2CFEC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9021BFA" w14:textId="77777777" w:rsidTr="009B2D79">
        <w:trPr>
          <w:trHeight w:val="315"/>
        </w:trPr>
        <w:tc>
          <w:tcPr>
            <w:tcW w:w="858" w:type="dxa"/>
            <w:vMerge w:val="restart"/>
            <w:tcBorders>
              <w:top w:val="single" w:sz="4" w:space="0" w:color="auto"/>
              <w:left w:val="single" w:sz="4" w:space="0" w:color="auto"/>
              <w:bottom w:val="nil"/>
              <w:right w:val="single" w:sz="4" w:space="0" w:color="auto"/>
            </w:tcBorders>
            <w:shd w:val="clear" w:color="000000" w:fill="B3C6E7"/>
            <w:hideMark/>
          </w:tcPr>
          <w:p w14:paraId="05C82BD7"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MOES</w:t>
            </w:r>
          </w:p>
        </w:tc>
        <w:tc>
          <w:tcPr>
            <w:tcW w:w="1276" w:type="dxa"/>
            <w:vMerge w:val="restart"/>
            <w:tcBorders>
              <w:top w:val="nil"/>
              <w:left w:val="single" w:sz="4" w:space="0" w:color="auto"/>
              <w:bottom w:val="nil"/>
              <w:right w:val="single" w:sz="4" w:space="0" w:color="auto"/>
            </w:tcBorders>
            <w:shd w:val="clear" w:color="000000" w:fill="FFFFFF"/>
            <w:hideMark/>
          </w:tcPr>
          <w:p w14:paraId="6B467CF1"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Finance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0A341F5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Mrs. Dara </w:t>
            </w:r>
            <w:proofErr w:type="spellStart"/>
            <w:r w:rsidRPr="009B2D79">
              <w:rPr>
                <w:rFonts w:ascii="Times New Roman" w:hAnsi="Times New Roman"/>
                <w:sz w:val="16"/>
                <w:szCs w:val="16"/>
                <w:lang w:val="en-GB" w:eastAsia="en-GB"/>
              </w:rPr>
              <w:t>Prakonekham</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CA314C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Acting Director General</w:t>
            </w:r>
          </w:p>
        </w:tc>
        <w:tc>
          <w:tcPr>
            <w:tcW w:w="1361" w:type="dxa"/>
            <w:tcBorders>
              <w:top w:val="nil"/>
              <w:left w:val="nil"/>
              <w:bottom w:val="single" w:sz="4" w:space="0" w:color="auto"/>
              <w:right w:val="single" w:sz="4" w:space="0" w:color="auto"/>
            </w:tcBorders>
            <w:shd w:val="clear" w:color="000000" w:fill="D8D8D8"/>
            <w:noWrap/>
            <w:hideMark/>
          </w:tcPr>
          <w:p w14:paraId="6760539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7574482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17663826" w14:textId="77777777" w:rsidTr="009B2D79">
        <w:trPr>
          <w:trHeight w:val="315"/>
        </w:trPr>
        <w:tc>
          <w:tcPr>
            <w:tcW w:w="858" w:type="dxa"/>
            <w:vMerge/>
            <w:tcBorders>
              <w:top w:val="single" w:sz="4" w:space="0" w:color="auto"/>
              <w:left w:val="single" w:sz="4" w:space="0" w:color="auto"/>
              <w:bottom w:val="nil"/>
              <w:right w:val="single" w:sz="4" w:space="0" w:color="auto"/>
            </w:tcBorders>
            <w:vAlign w:val="center"/>
            <w:hideMark/>
          </w:tcPr>
          <w:p w14:paraId="30F804B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35D896A0"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11744E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Mrs </w:t>
            </w:r>
            <w:proofErr w:type="spellStart"/>
            <w:r w:rsidRPr="009B2D79">
              <w:rPr>
                <w:rFonts w:ascii="Times New Roman" w:hAnsi="Times New Roman"/>
                <w:sz w:val="16"/>
                <w:szCs w:val="16"/>
                <w:lang w:val="en-GB" w:eastAsia="en-GB"/>
              </w:rPr>
              <w:t>Xeunchith</w:t>
            </w:r>
            <w:proofErr w:type="spellEnd"/>
            <w:r w:rsidRPr="009B2D79">
              <w:rPr>
                <w:rFonts w:ascii="Times New Roman" w:hAnsi="Times New Roman"/>
                <w:sz w:val="16"/>
                <w:szCs w:val="16"/>
                <w:lang w:val="en-GB" w:eastAsia="en-GB"/>
              </w:rPr>
              <w:t xml:space="preserve"> Selinokham</w:t>
            </w:r>
          </w:p>
        </w:tc>
        <w:tc>
          <w:tcPr>
            <w:tcW w:w="2620" w:type="dxa"/>
            <w:gridSpan w:val="2"/>
            <w:tcBorders>
              <w:top w:val="nil"/>
              <w:left w:val="nil"/>
              <w:bottom w:val="single" w:sz="4" w:space="0" w:color="auto"/>
              <w:right w:val="single" w:sz="4" w:space="0" w:color="auto"/>
            </w:tcBorders>
            <w:shd w:val="clear" w:color="000000" w:fill="D8D8D8"/>
            <w:noWrap/>
            <w:hideMark/>
          </w:tcPr>
          <w:p w14:paraId="04BC18E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Accounting Division</w:t>
            </w:r>
          </w:p>
        </w:tc>
        <w:tc>
          <w:tcPr>
            <w:tcW w:w="1361" w:type="dxa"/>
            <w:tcBorders>
              <w:top w:val="nil"/>
              <w:left w:val="nil"/>
              <w:bottom w:val="single" w:sz="4" w:space="0" w:color="auto"/>
              <w:right w:val="single" w:sz="4" w:space="0" w:color="auto"/>
            </w:tcBorders>
            <w:shd w:val="clear" w:color="000000" w:fill="D8D8D8"/>
            <w:noWrap/>
            <w:hideMark/>
          </w:tcPr>
          <w:p w14:paraId="3F1449D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020 22412085</w:t>
            </w:r>
          </w:p>
        </w:tc>
        <w:tc>
          <w:tcPr>
            <w:tcW w:w="1644" w:type="dxa"/>
            <w:gridSpan w:val="2"/>
            <w:tcBorders>
              <w:top w:val="nil"/>
              <w:left w:val="nil"/>
              <w:bottom w:val="single" w:sz="4" w:space="0" w:color="auto"/>
              <w:right w:val="single" w:sz="4" w:space="0" w:color="auto"/>
            </w:tcBorders>
            <w:shd w:val="clear" w:color="000000" w:fill="D8D8D8"/>
            <w:noWrap/>
            <w:hideMark/>
          </w:tcPr>
          <w:p w14:paraId="08614A2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6F4CBD8" w14:textId="77777777" w:rsidTr="009B2D79">
        <w:trPr>
          <w:trHeight w:val="315"/>
        </w:trPr>
        <w:tc>
          <w:tcPr>
            <w:tcW w:w="858" w:type="dxa"/>
            <w:vMerge/>
            <w:tcBorders>
              <w:top w:val="single" w:sz="4" w:space="0" w:color="auto"/>
              <w:left w:val="single" w:sz="4" w:space="0" w:color="auto"/>
              <w:bottom w:val="nil"/>
              <w:right w:val="single" w:sz="4" w:space="0" w:color="auto"/>
            </w:tcBorders>
            <w:vAlign w:val="center"/>
            <w:hideMark/>
          </w:tcPr>
          <w:p w14:paraId="4784C0F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4AEB1E7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8FD970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Chanthone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Thammathevo</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39887F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Asset Management Division</w:t>
            </w:r>
          </w:p>
        </w:tc>
        <w:tc>
          <w:tcPr>
            <w:tcW w:w="1361" w:type="dxa"/>
            <w:tcBorders>
              <w:top w:val="nil"/>
              <w:left w:val="nil"/>
              <w:bottom w:val="single" w:sz="4" w:space="0" w:color="auto"/>
              <w:right w:val="single" w:sz="4" w:space="0" w:color="auto"/>
            </w:tcBorders>
            <w:shd w:val="clear" w:color="000000" w:fill="D8D8D8"/>
            <w:noWrap/>
            <w:hideMark/>
          </w:tcPr>
          <w:p w14:paraId="3DA4078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020 55662956</w:t>
            </w:r>
          </w:p>
        </w:tc>
        <w:tc>
          <w:tcPr>
            <w:tcW w:w="1644" w:type="dxa"/>
            <w:gridSpan w:val="2"/>
            <w:tcBorders>
              <w:top w:val="nil"/>
              <w:left w:val="nil"/>
              <w:bottom w:val="single" w:sz="4" w:space="0" w:color="auto"/>
              <w:right w:val="single" w:sz="4" w:space="0" w:color="auto"/>
            </w:tcBorders>
            <w:shd w:val="clear" w:color="000000" w:fill="D8D8D8"/>
            <w:noWrap/>
            <w:hideMark/>
          </w:tcPr>
          <w:p w14:paraId="58C2DF1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7C28FC4E" w14:textId="77777777" w:rsidTr="009B2D79">
        <w:trPr>
          <w:trHeight w:val="379"/>
        </w:trPr>
        <w:tc>
          <w:tcPr>
            <w:tcW w:w="858" w:type="dxa"/>
            <w:vMerge/>
            <w:tcBorders>
              <w:top w:val="single" w:sz="4" w:space="0" w:color="auto"/>
              <w:left w:val="single" w:sz="4" w:space="0" w:color="auto"/>
              <w:bottom w:val="nil"/>
              <w:right w:val="single" w:sz="4" w:space="0" w:color="auto"/>
            </w:tcBorders>
            <w:vAlign w:val="center"/>
            <w:hideMark/>
          </w:tcPr>
          <w:p w14:paraId="383D058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180A8ACD"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77BA42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Sengthong </w:t>
            </w:r>
            <w:proofErr w:type="spellStart"/>
            <w:r w:rsidRPr="009B2D79">
              <w:rPr>
                <w:rFonts w:ascii="Times New Roman" w:hAnsi="Times New Roman"/>
                <w:sz w:val="16"/>
                <w:szCs w:val="16"/>
                <w:lang w:val="en-GB" w:eastAsia="en-GB"/>
              </w:rPr>
              <w:t>Davong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D544EA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 of Accounting Division</w:t>
            </w:r>
          </w:p>
        </w:tc>
        <w:tc>
          <w:tcPr>
            <w:tcW w:w="1361" w:type="dxa"/>
            <w:tcBorders>
              <w:top w:val="nil"/>
              <w:left w:val="nil"/>
              <w:bottom w:val="single" w:sz="4" w:space="0" w:color="auto"/>
              <w:right w:val="single" w:sz="4" w:space="0" w:color="auto"/>
            </w:tcBorders>
            <w:shd w:val="clear" w:color="000000" w:fill="D8D8D8"/>
            <w:noWrap/>
            <w:hideMark/>
          </w:tcPr>
          <w:p w14:paraId="765AD74D"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1602955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CF2BC32" w14:textId="77777777" w:rsidTr="009B2D79">
        <w:trPr>
          <w:trHeight w:val="630"/>
        </w:trPr>
        <w:tc>
          <w:tcPr>
            <w:tcW w:w="858" w:type="dxa"/>
            <w:vMerge/>
            <w:tcBorders>
              <w:top w:val="single" w:sz="4" w:space="0" w:color="auto"/>
              <w:left w:val="single" w:sz="4" w:space="0" w:color="auto"/>
              <w:bottom w:val="nil"/>
              <w:right w:val="single" w:sz="4" w:space="0" w:color="auto"/>
            </w:tcBorders>
            <w:vAlign w:val="center"/>
            <w:hideMark/>
          </w:tcPr>
          <w:p w14:paraId="4B642F47"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tcBorders>
              <w:top w:val="single" w:sz="4" w:space="0" w:color="auto"/>
              <w:left w:val="nil"/>
              <w:bottom w:val="nil"/>
              <w:right w:val="single" w:sz="4" w:space="0" w:color="auto"/>
            </w:tcBorders>
            <w:shd w:val="clear" w:color="auto" w:fill="auto"/>
            <w:hideMark/>
          </w:tcPr>
          <w:p w14:paraId="5D7682D8"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Education Division</w:t>
            </w:r>
            <w:r w:rsidRPr="009B2D79">
              <w:rPr>
                <w:rFonts w:ascii="Times New Roman" w:hAnsi="Times New Roman"/>
                <w:sz w:val="16"/>
                <w:szCs w:val="16"/>
                <w:lang w:val="en-GB" w:eastAsia="en-GB"/>
              </w:rPr>
              <w:br/>
              <w:t>VTE Capital</w:t>
            </w:r>
          </w:p>
        </w:tc>
        <w:tc>
          <w:tcPr>
            <w:tcW w:w="1774" w:type="dxa"/>
            <w:gridSpan w:val="2"/>
            <w:tcBorders>
              <w:top w:val="nil"/>
              <w:left w:val="nil"/>
              <w:bottom w:val="single" w:sz="4" w:space="0" w:color="auto"/>
              <w:right w:val="single" w:sz="4" w:space="0" w:color="auto"/>
            </w:tcBorders>
            <w:shd w:val="clear" w:color="000000" w:fill="D8D8D8"/>
            <w:noWrap/>
            <w:hideMark/>
          </w:tcPr>
          <w:p w14:paraId="2686805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Phetchandavone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Inthalaphone</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0F59A3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361" w:type="dxa"/>
            <w:tcBorders>
              <w:top w:val="nil"/>
              <w:left w:val="nil"/>
              <w:bottom w:val="single" w:sz="4" w:space="0" w:color="auto"/>
              <w:right w:val="single" w:sz="4" w:space="0" w:color="auto"/>
            </w:tcBorders>
            <w:shd w:val="clear" w:color="000000" w:fill="D8D8D8"/>
            <w:noWrap/>
            <w:hideMark/>
          </w:tcPr>
          <w:p w14:paraId="3928F97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020 22223975</w:t>
            </w:r>
          </w:p>
        </w:tc>
        <w:tc>
          <w:tcPr>
            <w:tcW w:w="1644" w:type="dxa"/>
            <w:gridSpan w:val="2"/>
            <w:tcBorders>
              <w:top w:val="nil"/>
              <w:left w:val="nil"/>
              <w:bottom w:val="single" w:sz="4" w:space="0" w:color="auto"/>
              <w:right w:val="single" w:sz="4" w:space="0" w:color="auto"/>
            </w:tcBorders>
            <w:shd w:val="clear" w:color="000000" w:fill="D8D8D8"/>
            <w:noWrap/>
            <w:hideMark/>
          </w:tcPr>
          <w:p w14:paraId="73F6C50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6C3A680" w14:textId="77777777" w:rsidTr="009B2D79">
        <w:trPr>
          <w:trHeight w:val="315"/>
        </w:trPr>
        <w:tc>
          <w:tcPr>
            <w:tcW w:w="858" w:type="dxa"/>
            <w:vMerge w:val="restart"/>
            <w:tcBorders>
              <w:top w:val="single" w:sz="4" w:space="0" w:color="auto"/>
              <w:left w:val="single" w:sz="4" w:space="0" w:color="auto"/>
              <w:bottom w:val="single" w:sz="4" w:space="0" w:color="000000"/>
              <w:right w:val="single" w:sz="4" w:space="0" w:color="auto"/>
            </w:tcBorders>
            <w:shd w:val="clear" w:color="000000" w:fill="B3C6E7"/>
            <w:hideMark/>
          </w:tcPr>
          <w:p w14:paraId="672AABCB"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MOH</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B0D7E95"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Finance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7FBE1349"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Khoutxaytoon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Phimmasone</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9F6CCC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4C1AF8D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020 22200093</w:t>
            </w:r>
          </w:p>
        </w:tc>
        <w:tc>
          <w:tcPr>
            <w:tcW w:w="1644" w:type="dxa"/>
            <w:gridSpan w:val="2"/>
            <w:tcBorders>
              <w:top w:val="nil"/>
              <w:left w:val="nil"/>
              <w:bottom w:val="single" w:sz="4" w:space="0" w:color="auto"/>
              <w:right w:val="single" w:sz="4" w:space="0" w:color="auto"/>
            </w:tcBorders>
            <w:shd w:val="clear" w:color="000000" w:fill="D8D8D8"/>
            <w:noWrap/>
            <w:hideMark/>
          </w:tcPr>
          <w:p w14:paraId="41C8FDF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7D5AB421"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2AD7581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25A364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9E215AA" w14:textId="77777777" w:rsidR="009B2D79" w:rsidRPr="009B2D79" w:rsidRDefault="009B2D79" w:rsidP="009B2D79">
            <w:pPr>
              <w:spacing w:before="0"/>
              <w:ind w:left="0"/>
              <w:jc w:val="left"/>
              <w:rPr>
                <w:rFonts w:ascii="Times New Roman" w:hAnsi="Times New Roman"/>
                <w:sz w:val="16"/>
                <w:szCs w:val="16"/>
                <w:lang w:val="en-GB" w:eastAsia="en-GB"/>
              </w:rPr>
            </w:pPr>
            <w:proofErr w:type="spellStart"/>
            <w:r w:rsidRPr="009B2D79">
              <w:rPr>
                <w:rFonts w:ascii="Times New Roman" w:hAnsi="Times New Roman"/>
                <w:sz w:val="16"/>
                <w:szCs w:val="16"/>
                <w:lang w:val="en-GB" w:eastAsia="en-GB"/>
              </w:rPr>
              <w:t>Dr.</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Souphab</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Panyakeo</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16617F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74B2264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020 54853444</w:t>
            </w:r>
          </w:p>
        </w:tc>
        <w:tc>
          <w:tcPr>
            <w:tcW w:w="1644" w:type="dxa"/>
            <w:gridSpan w:val="2"/>
            <w:tcBorders>
              <w:top w:val="nil"/>
              <w:left w:val="nil"/>
              <w:bottom w:val="single" w:sz="4" w:space="0" w:color="auto"/>
              <w:right w:val="single" w:sz="4" w:space="0" w:color="auto"/>
            </w:tcBorders>
            <w:shd w:val="clear" w:color="000000" w:fill="D8D8D8"/>
            <w:noWrap/>
            <w:hideMark/>
          </w:tcPr>
          <w:p w14:paraId="7173AA57"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7" w:history="1">
              <w:r w:rsidR="009B2D79" w:rsidRPr="009B2D79">
                <w:rPr>
                  <w:rFonts w:ascii="Calibri" w:hAnsi="Calibri" w:cs="Calibri"/>
                  <w:color w:val="0563C1"/>
                  <w:sz w:val="16"/>
                  <w:szCs w:val="16"/>
                  <w:u w:val="single"/>
                  <w:lang w:val="en-GB" w:eastAsia="en-GB"/>
                </w:rPr>
                <w:t>Laohealthfinancing@gmail.com</w:t>
              </w:r>
            </w:hyperlink>
          </w:p>
        </w:tc>
      </w:tr>
      <w:tr w:rsidR="009B2D79" w:rsidRPr="009B2D79" w14:paraId="51E955BF"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1BBD3ED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61F8FE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3E0385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Manisone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Phetsomphone</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BDDDD3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Finance Division</w:t>
            </w:r>
          </w:p>
        </w:tc>
        <w:tc>
          <w:tcPr>
            <w:tcW w:w="1361" w:type="dxa"/>
            <w:tcBorders>
              <w:top w:val="nil"/>
              <w:left w:val="nil"/>
              <w:bottom w:val="single" w:sz="4" w:space="0" w:color="auto"/>
              <w:right w:val="single" w:sz="4" w:space="0" w:color="auto"/>
            </w:tcBorders>
            <w:shd w:val="clear" w:color="000000" w:fill="D8D8D8"/>
            <w:noWrap/>
            <w:hideMark/>
          </w:tcPr>
          <w:p w14:paraId="597B38C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673E08ED"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49380DE"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7F8B5E91"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0B7ED3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B15341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Viengxay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Vilavong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77B7A7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Head of Finance Division</w:t>
            </w:r>
          </w:p>
        </w:tc>
        <w:tc>
          <w:tcPr>
            <w:tcW w:w="1361" w:type="dxa"/>
            <w:tcBorders>
              <w:top w:val="nil"/>
              <w:left w:val="nil"/>
              <w:bottom w:val="single" w:sz="4" w:space="0" w:color="auto"/>
              <w:right w:val="single" w:sz="4" w:space="0" w:color="auto"/>
            </w:tcBorders>
            <w:shd w:val="clear" w:color="000000" w:fill="D8D8D8"/>
            <w:noWrap/>
            <w:hideMark/>
          </w:tcPr>
          <w:p w14:paraId="2717197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020 224644545</w:t>
            </w:r>
          </w:p>
        </w:tc>
        <w:tc>
          <w:tcPr>
            <w:tcW w:w="1644" w:type="dxa"/>
            <w:gridSpan w:val="2"/>
            <w:tcBorders>
              <w:top w:val="nil"/>
              <w:left w:val="nil"/>
              <w:bottom w:val="single" w:sz="4" w:space="0" w:color="auto"/>
              <w:right w:val="single" w:sz="4" w:space="0" w:color="auto"/>
            </w:tcBorders>
            <w:shd w:val="clear" w:color="000000" w:fill="D8D8D8"/>
            <w:noWrap/>
            <w:hideMark/>
          </w:tcPr>
          <w:p w14:paraId="3C383D4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69C6586"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39C3A7B4"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205832D"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886269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Anouluck</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Khamphilom</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D8284F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361" w:type="dxa"/>
            <w:tcBorders>
              <w:top w:val="nil"/>
              <w:left w:val="nil"/>
              <w:bottom w:val="single" w:sz="4" w:space="0" w:color="auto"/>
              <w:right w:val="single" w:sz="4" w:space="0" w:color="auto"/>
            </w:tcBorders>
            <w:shd w:val="clear" w:color="000000" w:fill="D8D8D8"/>
            <w:noWrap/>
            <w:hideMark/>
          </w:tcPr>
          <w:p w14:paraId="7334782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EF1A038"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8" w:history="1">
              <w:r w:rsidR="009B2D79" w:rsidRPr="009B2D79">
                <w:rPr>
                  <w:rFonts w:ascii="Calibri" w:hAnsi="Calibri" w:cs="Calibri"/>
                  <w:color w:val="0563C1"/>
                  <w:sz w:val="16"/>
                  <w:szCs w:val="16"/>
                  <w:u w:val="single"/>
                  <w:lang w:val="en-GB" w:eastAsia="en-GB"/>
                </w:rPr>
                <w:t>anouluck_kh@hotmail.com</w:t>
              </w:r>
            </w:hyperlink>
          </w:p>
        </w:tc>
      </w:tr>
      <w:tr w:rsidR="009B2D79" w:rsidRPr="009B2D79" w14:paraId="10549ABB"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48EFB612"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F28BC10"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8C37E6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Phouvieng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Khammany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ED48E3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ODA</w:t>
            </w:r>
          </w:p>
        </w:tc>
        <w:tc>
          <w:tcPr>
            <w:tcW w:w="1361" w:type="dxa"/>
            <w:tcBorders>
              <w:top w:val="nil"/>
              <w:left w:val="nil"/>
              <w:bottom w:val="single" w:sz="4" w:space="0" w:color="auto"/>
              <w:right w:val="single" w:sz="4" w:space="0" w:color="auto"/>
            </w:tcBorders>
            <w:shd w:val="clear" w:color="000000" w:fill="D8D8D8"/>
            <w:noWrap/>
            <w:hideMark/>
          </w:tcPr>
          <w:p w14:paraId="0B61475A"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2DFAF9F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D4D7E55"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18C0A02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0CD8037"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6BC9BB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Bountiem</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Phitmassenh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CAE9E3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of Finance Division</w:t>
            </w:r>
          </w:p>
        </w:tc>
        <w:tc>
          <w:tcPr>
            <w:tcW w:w="1361" w:type="dxa"/>
            <w:tcBorders>
              <w:top w:val="nil"/>
              <w:left w:val="nil"/>
              <w:bottom w:val="single" w:sz="4" w:space="0" w:color="auto"/>
              <w:right w:val="single" w:sz="4" w:space="0" w:color="auto"/>
            </w:tcBorders>
            <w:shd w:val="clear" w:color="000000" w:fill="D8D8D8"/>
            <w:noWrap/>
            <w:hideMark/>
          </w:tcPr>
          <w:p w14:paraId="71F94D1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020 22410881</w:t>
            </w:r>
          </w:p>
        </w:tc>
        <w:tc>
          <w:tcPr>
            <w:tcW w:w="1644" w:type="dxa"/>
            <w:gridSpan w:val="2"/>
            <w:tcBorders>
              <w:top w:val="nil"/>
              <w:left w:val="nil"/>
              <w:bottom w:val="single" w:sz="4" w:space="0" w:color="auto"/>
              <w:right w:val="single" w:sz="4" w:space="0" w:color="auto"/>
            </w:tcBorders>
            <w:shd w:val="clear" w:color="000000" w:fill="D8D8D8"/>
            <w:noWrap/>
            <w:hideMark/>
          </w:tcPr>
          <w:p w14:paraId="040E8D40"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79" w:history="1">
              <w:r w:rsidR="009B2D79" w:rsidRPr="009B2D79">
                <w:rPr>
                  <w:rFonts w:ascii="Calibri" w:hAnsi="Calibri" w:cs="Calibri"/>
                  <w:color w:val="0563C1"/>
                  <w:sz w:val="16"/>
                  <w:szCs w:val="16"/>
                  <w:u w:val="single"/>
                  <w:lang w:val="en-GB" w:eastAsia="en-GB"/>
                </w:rPr>
                <w:t>bstphimmasenh@gmail.com</w:t>
              </w:r>
            </w:hyperlink>
          </w:p>
        </w:tc>
      </w:tr>
      <w:tr w:rsidR="009B2D79" w:rsidRPr="009B2D79" w14:paraId="45D0293E"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60F4518D"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7E983CA"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4718FA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Phoxay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Xayalath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3A01CF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361" w:type="dxa"/>
            <w:tcBorders>
              <w:top w:val="nil"/>
              <w:left w:val="nil"/>
              <w:bottom w:val="single" w:sz="4" w:space="0" w:color="auto"/>
              <w:right w:val="single" w:sz="4" w:space="0" w:color="auto"/>
            </w:tcBorders>
            <w:shd w:val="clear" w:color="000000" w:fill="D8D8D8"/>
            <w:noWrap/>
            <w:hideMark/>
          </w:tcPr>
          <w:p w14:paraId="7084AF0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2D3ADA2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7AEEA497"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5DCAFAE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F083F6B"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A75BB0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Bounmy</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Sibounheung</w:t>
            </w:r>
            <w:proofErr w:type="spellEnd"/>
            <w:r w:rsidRPr="009B2D79">
              <w:rPr>
                <w:rFonts w:ascii="Times New Roman" w:hAnsi="Times New Roman"/>
                <w:sz w:val="16"/>
                <w:szCs w:val="16"/>
                <w:lang w:val="en-GB" w:eastAsia="en-GB"/>
              </w:rPr>
              <w:t xml:space="preserve"> </w:t>
            </w:r>
          </w:p>
        </w:tc>
        <w:tc>
          <w:tcPr>
            <w:tcW w:w="2620" w:type="dxa"/>
            <w:gridSpan w:val="2"/>
            <w:tcBorders>
              <w:top w:val="nil"/>
              <w:left w:val="nil"/>
              <w:bottom w:val="single" w:sz="4" w:space="0" w:color="auto"/>
              <w:right w:val="single" w:sz="4" w:space="0" w:color="auto"/>
            </w:tcBorders>
            <w:shd w:val="clear" w:color="000000" w:fill="D8D8D8"/>
            <w:noWrap/>
            <w:hideMark/>
          </w:tcPr>
          <w:p w14:paraId="61939B4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Division</w:t>
            </w:r>
          </w:p>
        </w:tc>
        <w:tc>
          <w:tcPr>
            <w:tcW w:w="1361" w:type="dxa"/>
            <w:tcBorders>
              <w:top w:val="nil"/>
              <w:left w:val="nil"/>
              <w:bottom w:val="single" w:sz="4" w:space="0" w:color="auto"/>
              <w:right w:val="single" w:sz="4" w:space="0" w:color="auto"/>
            </w:tcBorders>
            <w:shd w:val="clear" w:color="000000" w:fill="D8D8D8"/>
            <w:noWrap/>
            <w:hideMark/>
          </w:tcPr>
          <w:p w14:paraId="76B9006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020 55521323</w:t>
            </w:r>
          </w:p>
        </w:tc>
        <w:tc>
          <w:tcPr>
            <w:tcW w:w="1644" w:type="dxa"/>
            <w:gridSpan w:val="2"/>
            <w:tcBorders>
              <w:top w:val="nil"/>
              <w:left w:val="nil"/>
              <w:bottom w:val="nil"/>
              <w:right w:val="nil"/>
            </w:tcBorders>
            <w:shd w:val="clear" w:color="000000" w:fill="D8D8D8"/>
            <w:noWrap/>
            <w:hideMark/>
          </w:tcPr>
          <w:p w14:paraId="32517B29" w14:textId="77777777" w:rsidR="009B2D79" w:rsidRPr="009B2D79" w:rsidRDefault="009B2D79" w:rsidP="009B2D79">
            <w:pPr>
              <w:spacing w:before="0"/>
              <w:ind w:left="0"/>
              <w:jc w:val="left"/>
              <w:rPr>
                <w:rFonts w:ascii="Calibri" w:hAnsi="Calibri" w:cs="Calibri"/>
                <w:color w:val="000000"/>
                <w:sz w:val="16"/>
                <w:szCs w:val="16"/>
                <w:lang w:val="en-GB" w:eastAsia="en-GB"/>
              </w:rPr>
            </w:pPr>
            <w:r w:rsidRPr="009B2D79">
              <w:rPr>
                <w:rFonts w:ascii="Calibri" w:hAnsi="Calibri" w:cs="Calibri"/>
                <w:color w:val="000000"/>
                <w:sz w:val="16"/>
                <w:szCs w:val="16"/>
                <w:lang w:val="en-GB" w:eastAsia="en-GB"/>
              </w:rPr>
              <w:t> </w:t>
            </w:r>
          </w:p>
        </w:tc>
      </w:tr>
      <w:tr w:rsidR="009B2D79" w:rsidRPr="009B2D79" w14:paraId="4BA90935"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302D26BF"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F344AD2"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427478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Phoutthasone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Vongsavath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1F0262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44F4F97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020 77870405</w:t>
            </w:r>
          </w:p>
        </w:tc>
        <w:tc>
          <w:tcPr>
            <w:tcW w:w="1644" w:type="dxa"/>
            <w:gridSpan w:val="2"/>
            <w:tcBorders>
              <w:top w:val="single" w:sz="4" w:space="0" w:color="auto"/>
              <w:left w:val="nil"/>
              <w:bottom w:val="single" w:sz="4" w:space="0" w:color="auto"/>
              <w:right w:val="single" w:sz="4" w:space="0" w:color="auto"/>
            </w:tcBorders>
            <w:shd w:val="clear" w:color="000000" w:fill="D8D8D8"/>
            <w:noWrap/>
            <w:hideMark/>
          </w:tcPr>
          <w:p w14:paraId="05132CC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B2A2B81" w14:textId="77777777" w:rsidTr="009B2D79">
        <w:trPr>
          <w:trHeight w:val="315"/>
        </w:trPr>
        <w:tc>
          <w:tcPr>
            <w:tcW w:w="858" w:type="dxa"/>
            <w:vMerge/>
            <w:tcBorders>
              <w:top w:val="single" w:sz="4" w:space="0" w:color="auto"/>
              <w:left w:val="single" w:sz="4" w:space="0" w:color="auto"/>
              <w:bottom w:val="single" w:sz="4" w:space="0" w:color="000000"/>
              <w:right w:val="single" w:sz="4" w:space="0" w:color="auto"/>
            </w:tcBorders>
            <w:vAlign w:val="center"/>
            <w:hideMark/>
          </w:tcPr>
          <w:p w14:paraId="2ED3245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5255778"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499963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Sanithphong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Singkaophet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0323E2E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12C41FC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020 22222114</w:t>
            </w:r>
          </w:p>
        </w:tc>
        <w:tc>
          <w:tcPr>
            <w:tcW w:w="1644" w:type="dxa"/>
            <w:gridSpan w:val="2"/>
            <w:tcBorders>
              <w:top w:val="nil"/>
              <w:left w:val="nil"/>
              <w:bottom w:val="single" w:sz="4" w:space="0" w:color="auto"/>
              <w:right w:val="single" w:sz="4" w:space="0" w:color="auto"/>
            </w:tcBorders>
            <w:shd w:val="clear" w:color="000000" w:fill="D8D8D8"/>
            <w:noWrap/>
            <w:hideMark/>
          </w:tcPr>
          <w:p w14:paraId="090475D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2FE0810" w14:textId="77777777" w:rsidTr="009B2D79">
        <w:trPr>
          <w:trHeight w:val="315"/>
        </w:trPr>
        <w:tc>
          <w:tcPr>
            <w:tcW w:w="858" w:type="dxa"/>
            <w:vMerge w:val="restart"/>
            <w:tcBorders>
              <w:top w:val="nil"/>
              <w:left w:val="single" w:sz="4" w:space="0" w:color="auto"/>
              <w:bottom w:val="single" w:sz="4" w:space="0" w:color="000000"/>
              <w:right w:val="single" w:sz="4" w:space="0" w:color="auto"/>
            </w:tcBorders>
            <w:shd w:val="clear" w:color="000000" w:fill="B3C6E7"/>
            <w:hideMark/>
          </w:tcPr>
          <w:p w14:paraId="6BD39847"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MOHA</w:t>
            </w: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14:paraId="2F85C046"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Planning and Cooperation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392E073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Nisith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Keopanya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5D85F6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General </w:t>
            </w:r>
          </w:p>
        </w:tc>
        <w:tc>
          <w:tcPr>
            <w:tcW w:w="1361" w:type="dxa"/>
            <w:tcBorders>
              <w:top w:val="nil"/>
              <w:left w:val="nil"/>
              <w:bottom w:val="single" w:sz="4" w:space="0" w:color="auto"/>
              <w:right w:val="single" w:sz="4" w:space="0" w:color="auto"/>
            </w:tcBorders>
            <w:shd w:val="clear" w:color="000000" w:fill="D8D8D8"/>
            <w:noWrap/>
            <w:hideMark/>
          </w:tcPr>
          <w:p w14:paraId="48D13E7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020 55555180</w:t>
            </w:r>
          </w:p>
        </w:tc>
        <w:tc>
          <w:tcPr>
            <w:tcW w:w="1644" w:type="dxa"/>
            <w:gridSpan w:val="2"/>
            <w:tcBorders>
              <w:top w:val="nil"/>
              <w:left w:val="nil"/>
              <w:bottom w:val="single" w:sz="4" w:space="0" w:color="auto"/>
              <w:right w:val="single" w:sz="4" w:space="0" w:color="auto"/>
            </w:tcBorders>
            <w:shd w:val="clear" w:color="000000" w:fill="D8D8D8"/>
            <w:noWrap/>
            <w:hideMark/>
          </w:tcPr>
          <w:p w14:paraId="1E558C8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0" w:history="1">
              <w:r w:rsidR="009B2D79" w:rsidRPr="009B2D79">
                <w:rPr>
                  <w:rFonts w:ascii="Calibri" w:hAnsi="Calibri" w:cs="Calibri"/>
                  <w:color w:val="0563C1"/>
                  <w:sz w:val="16"/>
                  <w:szCs w:val="16"/>
                  <w:u w:val="single"/>
                  <w:lang w:val="en-GB" w:eastAsia="en-GB"/>
                </w:rPr>
                <w:t>nisith.keopanya@moha.gov.la</w:t>
              </w:r>
            </w:hyperlink>
          </w:p>
        </w:tc>
      </w:tr>
      <w:tr w:rsidR="009B2D79" w:rsidRPr="009B2D79" w14:paraId="5ECD5CCC"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76883DE7"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3BBBCEE"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44BD39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Souvanny </w:t>
            </w:r>
            <w:proofErr w:type="spellStart"/>
            <w:r w:rsidRPr="009B2D79">
              <w:rPr>
                <w:rFonts w:ascii="Times New Roman" w:hAnsi="Times New Roman"/>
                <w:sz w:val="16"/>
                <w:szCs w:val="16"/>
                <w:lang w:val="en-GB" w:eastAsia="en-GB"/>
              </w:rPr>
              <w:t>Lattanavong</w:t>
            </w:r>
            <w:proofErr w:type="spellEnd"/>
            <w:r w:rsidRPr="009B2D79">
              <w:rPr>
                <w:rFonts w:ascii="Times New Roman" w:hAnsi="Times New Roman"/>
                <w:sz w:val="16"/>
                <w:szCs w:val="16"/>
                <w:lang w:val="en-GB" w:eastAsia="en-GB"/>
              </w:rPr>
              <w:t xml:space="preserve"> </w:t>
            </w:r>
          </w:p>
        </w:tc>
        <w:tc>
          <w:tcPr>
            <w:tcW w:w="2620" w:type="dxa"/>
            <w:gridSpan w:val="2"/>
            <w:tcBorders>
              <w:top w:val="nil"/>
              <w:left w:val="nil"/>
              <w:bottom w:val="single" w:sz="4" w:space="0" w:color="auto"/>
              <w:right w:val="single" w:sz="4" w:space="0" w:color="auto"/>
            </w:tcBorders>
            <w:shd w:val="clear" w:color="000000" w:fill="D8D8D8"/>
            <w:noWrap/>
            <w:hideMark/>
          </w:tcPr>
          <w:p w14:paraId="5C0165F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General of civil servant Management</w:t>
            </w:r>
          </w:p>
        </w:tc>
        <w:tc>
          <w:tcPr>
            <w:tcW w:w="1361" w:type="dxa"/>
            <w:tcBorders>
              <w:top w:val="nil"/>
              <w:left w:val="nil"/>
              <w:bottom w:val="single" w:sz="4" w:space="0" w:color="auto"/>
              <w:right w:val="single" w:sz="4" w:space="0" w:color="auto"/>
            </w:tcBorders>
            <w:shd w:val="clear" w:color="000000" w:fill="D8D8D8"/>
            <w:noWrap/>
            <w:hideMark/>
          </w:tcPr>
          <w:p w14:paraId="3CB1258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72F93E0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66948F98"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076DD840"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1C0DD66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9E8293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Nanthaphan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Livathana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A828C2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Head of Civil Servant Division</w:t>
            </w:r>
          </w:p>
        </w:tc>
        <w:tc>
          <w:tcPr>
            <w:tcW w:w="1361" w:type="dxa"/>
            <w:tcBorders>
              <w:top w:val="nil"/>
              <w:left w:val="nil"/>
              <w:bottom w:val="single" w:sz="4" w:space="0" w:color="auto"/>
              <w:right w:val="single" w:sz="4" w:space="0" w:color="auto"/>
            </w:tcBorders>
            <w:shd w:val="clear" w:color="000000" w:fill="D8D8D8"/>
            <w:noWrap/>
            <w:hideMark/>
          </w:tcPr>
          <w:p w14:paraId="3D47BE90"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020 59885588</w:t>
            </w:r>
          </w:p>
        </w:tc>
        <w:tc>
          <w:tcPr>
            <w:tcW w:w="1644" w:type="dxa"/>
            <w:gridSpan w:val="2"/>
            <w:tcBorders>
              <w:top w:val="nil"/>
              <w:left w:val="nil"/>
              <w:bottom w:val="single" w:sz="4" w:space="0" w:color="auto"/>
              <w:right w:val="single" w:sz="4" w:space="0" w:color="auto"/>
            </w:tcBorders>
            <w:shd w:val="clear" w:color="000000" w:fill="D8D8D8"/>
            <w:noWrap/>
            <w:hideMark/>
          </w:tcPr>
          <w:p w14:paraId="0466609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4B811ADE"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6C559508"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A43337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F19404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Oulayphong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Phommachak</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6C4CA6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369591C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2306809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124C9244"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32F09EF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40EA41F"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0BB1CE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Pabou</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Southepmany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5512D2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Technical Officer</w:t>
            </w:r>
          </w:p>
        </w:tc>
        <w:tc>
          <w:tcPr>
            <w:tcW w:w="1361" w:type="dxa"/>
            <w:tcBorders>
              <w:top w:val="nil"/>
              <w:left w:val="nil"/>
              <w:bottom w:val="single" w:sz="4" w:space="0" w:color="auto"/>
              <w:right w:val="single" w:sz="4" w:space="0" w:color="auto"/>
            </w:tcBorders>
            <w:shd w:val="clear" w:color="000000" w:fill="D8D8D8"/>
            <w:noWrap/>
            <w:hideMark/>
          </w:tcPr>
          <w:p w14:paraId="063EEDF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c>
          <w:tcPr>
            <w:tcW w:w="1644" w:type="dxa"/>
            <w:gridSpan w:val="2"/>
            <w:tcBorders>
              <w:top w:val="nil"/>
              <w:left w:val="nil"/>
              <w:bottom w:val="single" w:sz="4" w:space="0" w:color="auto"/>
              <w:right w:val="single" w:sz="4" w:space="0" w:color="auto"/>
            </w:tcBorders>
            <w:shd w:val="clear" w:color="000000" w:fill="D8D8D8"/>
            <w:noWrap/>
            <w:hideMark/>
          </w:tcPr>
          <w:p w14:paraId="373BF5A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53340AD"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1E93F8D2"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DBD5A0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5433417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Souksan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Thavikham</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D634F4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Project Staff</w:t>
            </w:r>
          </w:p>
        </w:tc>
        <w:tc>
          <w:tcPr>
            <w:tcW w:w="1361" w:type="dxa"/>
            <w:tcBorders>
              <w:top w:val="nil"/>
              <w:left w:val="nil"/>
              <w:bottom w:val="single" w:sz="4" w:space="0" w:color="auto"/>
              <w:right w:val="single" w:sz="4" w:space="0" w:color="auto"/>
            </w:tcBorders>
            <w:shd w:val="clear" w:color="000000" w:fill="D8D8D8"/>
            <w:noWrap/>
            <w:hideMark/>
          </w:tcPr>
          <w:p w14:paraId="75E5BAA6"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020 55814775</w:t>
            </w:r>
          </w:p>
        </w:tc>
        <w:tc>
          <w:tcPr>
            <w:tcW w:w="1644" w:type="dxa"/>
            <w:gridSpan w:val="2"/>
            <w:tcBorders>
              <w:top w:val="nil"/>
              <w:left w:val="nil"/>
              <w:bottom w:val="single" w:sz="4" w:space="0" w:color="auto"/>
              <w:right w:val="single" w:sz="4" w:space="0" w:color="auto"/>
            </w:tcBorders>
            <w:shd w:val="clear" w:color="000000" w:fill="D8D8D8"/>
            <w:noWrap/>
            <w:hideMark/>
          </w:tcPr>
          <w:p w14:paraId="09365A4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1" w:history="1">
              <w:r w:rsidR="009B2D79" w:rsidRPr="009B2D79">
                <w:rPr>
                  <w:rFonts w:ascii="Calibri" w:hAnsi="Calibri" w:cs="Calibri"/>
                  <w:color w:val="0563C1"/>
                  <w:sz w:val="16"/>
                  <w:szCs w:val="16"/>
                  <w:u w:val="single"/>
                  <w:lang w:val="en-GB" w:eastAsia="en-GB"/>
                </w:rPr>
                <w:t xml:space="preserve">ngparsecretariat@gmail.com </w:t>
              </w:r>
            </w:hyperlink>
          </w:p>
        </w:tc>
      </w:tr>
      <w:tr w:rsidR="009B2D79" w:rsidRPr="009B2D79" w14:paraId="6828F15F"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1A44D44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D8FD6A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22A5CA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Bounlieng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Bounyakhet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E310493"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Project Staff</w:t>
            </w:r>
          </w:p>
        </w:tc>
        <w:tc>
          <w:tcPr>
            <w:tcW w:w="1361" w:type="dxa"/>
            <w:tcBorders>
              <w:top w:val="nil"/>
              <w:left w:val="nil"/>
              <w:bottom w:val="single" w:sz="4" w:space="0" w:color="auto"/>
              <w:right w:val="single" w:sz="4" w:space="0" w:color="auto"/>
            </w:tcBorders>
            <w:shd w:val="clear" w:color="000000" w:fill="D8D8D8"/>
            <w:noWrap/>
            <w:hideMark/>
          </w:tcPr>
          <w:p w14:paraId="1989652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020 22722299</w:t>
            </w:r>
          </w:p>
        </w:tc>
        <w:tc>
          <w:tcPr>
            <w:tcW w:w="1644" w:type="dxa"/>
            <w:gridSpan w:val="2"/>
            <w:tcBorders>
              <w:top w:val="nil"/>
              <w:left w:val="nil"/>
              <w:bottom w:val="single" w:sz="4" w:space="0" w:color="auto"/>
              <w:right w:val="single" w:sz="4" w:space="0" w:color="auto"/>
            </w:tcBorders>
            <w:shd w:val="clear" w:color="000000" w:fill="D8D8D8"/>
            <w:noWrap/>
            <w:hideMark/>
          </w:tcPr>
          <w:p w14:paraId="46F961C7"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2" w:history="1">
              <w:r w:rsidR="009B2D79" w:rsidRPr="009B2D79">
                <w:rPr>
                  <w:rFonts w:ascii="Calibri" w:hAnsi="Calibri" w:cs="Calibri"/>
                  <w:color w:val="0563C1"/>
                  <w:sz w:val="16"/>
                  <w:szCs w:val="16"/>
                  <w:u w:val="single"/>
                  <w:lang w:val="en-GB" w:eastAsia="en-GB"/>
                </w:rPr>
                <w:t xml:space="preserve">ngparsecretariat@gmail.com </w:t>
              </w:r>
            </w:hyperlink>
          </w:p>
        </w:tc>
      </w:tr>
      <w:tr w:rsidR="009B2D79" w:rsidRPr="009B2D79" w14:paraId="373F82A1" w14:textId="77777777" w:rsidTr="009B2D79">
        <w:trPr>
          <w:trHeight w:val="315"/>
        </w:trPr>
        <w:tc>
          <w:tcPr>
            <w:tcW w:w="858" w:type="dxa"/>
            <w:vMerge w:val="restart"/>
            <w:tcBorders>
              <w:top w:val="nil"/>
              <w:left w:val="single" w:sz="4" w:space="0" w:color="auto"/>
              <w:bottom w:val="single" w:sz="4" w:space="0" w:color="000000"/>
              <w:right w:val="single" w:sz="4" w:space="0" w:color="auto"/>
            </w:tcBorders>
            <w:shd w:val="clear" w:color="000000" w:fill="B3C6E7"/>
            <w:hideMark/>
          </w:tcPr>
          <w:p w14:paraId="05C0C0CD"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MPI</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4EB1328B"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Planning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7EECCF91"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Oula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Somchanmavong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5DE3DC0B"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097D8145"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020 55605094</w:t>
            </w:r>
          </w:p>
        </w:tc>
        <w:tc>
          <w:tcPr>
            <w:tcW w:w="1644" w:type="dxa"/>
            <w:gridSpan w:val="2"/>
            <w:tcBorders>
              <w:top w:val="nil"/>
              <w:left w:val="nil"/>
              <w:bottom w:val="single" w:sz="4" w:space="0" w:color="auto"/>
              <w:right w:val="single" w:sz="4" w:space="0" w:color="auto"/>
            </w:tcBorders>
            <w:shd w:val="clear" w:color="000000" w:fill="D8D8D8"/>
            <w:noWrap/>
            <w:hideMark/>
          </w:tcPr>
          <w:p w14:paraId="2ED4DD6E"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00A37C24" w14:textId="77777777" w:rsidTr="009B2D79">
        <w:trPr>
          <w:trHeight w:val="312"/>
        </w:trPr>
        <w:tc>
          <w:tcPr>
            <w:tcW w:w="858" w:type="dxa"/>
            <w:vMerge/>
            <w:tcBorders>
              <w:top w:val="nil"/>
              <w:left w:val="single" w:sz="4" w:space="0" w:color="auto"/>
              <w:bottom w:val="single" w:sz="4" w:space="0" w:color="000000"/>
              <w:right w:val="single" w:sz="4" w:space="0" w:color="auto"/>
            </w:tcBorders>
            <w:vAlign w:val="center"/>
            <w:hideMark/>
          </w:tcPr>
          <w:p w14:paraId="1A8320C6"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338D0DF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455CB15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Bouphavanh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Keomixay</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00D1C52"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of Macro- </w:t>
            </w:r>
            <w:proofErr w:type="spellStart"/>
            <w:r w:rsidRPr="009B2D79">
              <w:rPr>
                <w:rFonts w:ascii="Times New Roman" w:hAnsi="Times New Roman"/>
                <w:sz w:val="16"/>
                <w:szCs w:val="16"/>
                <w:lang w:val="en-GB" w:eastAsia="en-GB"/>
              </w:rPr>
              <w:t>Economics</w:t>
            </w:r>
            <w:proofErr w:type="spellEnd"/>
            <w:r w:rsidRPr="009B2D79">
              <w:rPr>
                <w:rFonts w:ascii="Times New Roman" w:hAnsi="Times New Roman"/>
                <w:sz w:val="16"/>
                <w:szCs w:val="16"/>
                <w:lang w:val="en-GB" w:eastAsia="en-GB"/>
              </w:rPr>
              <w:t xml:space="preserve"> Management Division</w:t>
            </w:r>
          </w:p>
        </w:tc>
        <w:tc>
          <w:tcPr>
            <w:tcW w:w="1361" w:type="dxa"/>
            <w:tcBorders>
              <w:top w:val="nil"/>
              <w:left w:val="nil"/>
              <w:bottom w:val="single" w:sz="4" w:space="0" w:color="auto"/>
              <w:right w:val="single" w:sz="4" w:space="0" w:color="auto"/>
            </w:tcBorders>
            <w:shd w:val="clear" w:color="000000" w:fill="D8D8D8"/>
            <w:noWrap/>
            <w:hideMark/>
          </w:tcPr>
          <w:p w14:paraId="62043FF7" w14:textId="77777777" w:rsidR="009B2D79" w:rsidRPr="009B2D79" w:rsidRDefault="008E0EF0" w:rsidP="009B2D79">
            <w:pPr>
              <w:spacing w:before="0"/>
              <w:ind w:left="0"/>
              <w:jc w:val="left"/>
              <w:rPr>
                <w:rFonts w:ascii="Calibri" w:hAnsi="Calibri" w:cs="Calibri"/>
                <w:sz w:val="16"/>
                <w:szCs w:val="16"/>
                <w:u w:val="single"/>
                <w:lang w:val="en-GB" w:eastAsia="en-GB"/>
              </w:rPr>
            </w:pPr>
            <w:hyperlink r:id="rId83" w:history="1">
              <w:r w:rsidR="009B2D79" w:rsidRPr="009B2D79">
                <w:rPr>
                  <w:rFonts w:ascii="Calibri" w:hAnsi="Calibri" w:cs="Calibri"/>
                  <w:sz w:val="16"/>
                  <w:szCs w:val="16"/>
                  <w:u w:val="single"/>
                  <w:lang w:val="en-GB" w:eastAsia="en-GB"/>
                </w:rPr>
                <w:t>020 22415465</w:t>
              </w:r>
            </w:hyperlink>
          </w:p>
        </w:tc>
        <w:tc>
          <w:tcPr>
            <w:tcW w:w="1644" w:type="dxa"/>
            <w:gridSpan w:val="2"/>
            <w:tcBorders>
              <w:top w:val="nil"/>
              <w:left w:val="nil"/>
              <w:bottom w:val="single" w:sz="4" w:space="0" w:color="auto"/>
              <w:right w:val="single" w:sz="4" w:space="0" w:color="auto"/>
            </w:tcBorders>
            <w:shd w:val="clear" w:color="000000" w:fill="D8D8D8"/>
            <w:noWrap/>
            <w:hideMark/>
          </w:tcPr>
          <w:p w14:paraId="5816E030"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4" w:history="1">
              <w:r w:rsidR="009B2D79" w:rsidRPr="009B2D79">
                <w:rPr>
                  <w:rFonts w:ascii="Calibri" w:hAnsi="Calibri" w:cs="Calibri"/>
                  <w:color w:val="0563C1"/>
                  <w:sz w:val="16"/>
                  <w:szCs w:val="16"/>
                  <w:u w:val="single"/>
                  <w:lang w:val="en-GB" w:eastAsia="en-GB"/>
                </w:rPr>
                <w:t>toun5818@gmail.com</w:t>
              </w:r>
            </w:hyperlink>
          </w:p>
        </w:tc>
      </w:tr>
      <w:tr w:rsidR="009B2D79" w:rsidRPr="009B2D79" w14:paraId="0BD40A0B"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1ADE175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5334405"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AC5551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Xayphone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Chanpasith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6F5EFAD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Public Investment Division</w:t>
            </w:r>
          </w:p>
        </w:tc>
        <w:tc>
          <w:tcPr>
            <w:tcW w:w="1361" w:type="dxa"/>
            <w:tcBorders>
              <w:top w:val="nil"/>
              <w:left w:val="nil"/>
              <w:bottom w:val="single" w:sz="4" w:space="0" w:color="auto"/>
              <w:right w:val="single" w:sz="4" w:space="0" w:color="auto"/>
            </w:tcBorders>
            <w:shd w:val="clear" w:color="000000" w:fill="D8D8D8"/>
            <w:noWrap/>
            <w:hideMark/>
          </w:tcPr>
          <w:p w14:paraId="29CB25D7"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020 22669666</w:t>
            </w:r>
          </w:p>
        </w:tc>
        <w:tc>
          <w:tcPr>
            <w:tcW w:w="1644" w:type="dxa"/>
            <w:gridSpan w:val="2"/>
            <w:tcBorders>
              <w:top w:val="nil"/>
              <w:left w:val="nil"/>
              <w:bottom w:val="single" w:sz="4" w:space="0" w:color="auto"/>
              <w:right w:val="single" w:sz="4" w:space="0" w:color="auto"/>
            </w:tcBorders>
            <w:shd w:val="clear" w:color="000000" w:fill="D8D8D8"/>
            <w:noWrap/>
            <w:hideMark/>
          </w:tcPr>
          <w:p w14:paraId="71776113"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5" w:history="1">
              <w:r w:rsidR="009B2D79" w:rsidRPr="009B2D79">
                <w:rPr>
                  <w:rFonts w:ascii="Calibri" w:hAnsi="Calibri" w:cs="Calibri"/>
                  <w:color w:val="0563C1"/>
                  <w:sz w:val="16"/>
                  <w:szCs w:val="16"/>
                  <w:u w:val="single"/>
                  <w:lang w:val="en-GB" w:eastAsia="en-GB"/>
                </w:rPr>
                <w:t>chanpasith_xay@yahoo.com</w:t>
              </w:r>
            </w:hyperlink>
          </w:p>
        </w:tc>
      </w:tr>
      <w:tr w:rsidR="009B2D79" w:rsidRPr="009B2D79" w14:paraId="66F61275"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60921073"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E8DFE6B"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8662544"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proofErr w:type="gramStart"/>
            <w:r w:rsidRPr="009B2D79">
              <w:rPr>
                <w:rFonts w:ascii="Times New Roman" w:hAnsi="Times New Roman"/>
                <w:sz w:val="16"/>
                <w:szCs w:val="16"/>
                <w:lang w:val="en-GB" w:eastAsia="en-GB"/>
              </w:rPr>
              <w:t>Bounketh</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Philavong</w:t>
            </w:r>
            <w:proofErr w:type="spellEnd"/>
            <w:proofErr w:type="gramEnd"/>
          </w:p>
        </w:tc>
        <w:tc>
          <w:tcPr>
            <w:tcW w:w="2620" w:type="dxa"/>
            <w:gridSpan w:val="2"/>
            <w:tcBorders>
              <w:top w:val="nil"/>
              <w:left w:val="nil"/>
              <w:bottom w:val="single" w:sz="4" w:space="0" w:color="auto"/>
              <w:right w:val="single" w:sz="4" w:space="0" w:color="auto"/>
            </w:tcBorders>
            <w:shd w:val="clear" w:color="000000" w:fill="D8D8D8"/>
            <w:noWrap/>
            <w:hideMark/>
          </w:tcPr>
          <w:p w14:paraId="51B065B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Director of Planning and Development Division</w:t>
            </w:r>
          </w:p>
        </w:tc>
        <w:tc>
          <w:tcPr>
            <w:tcW w:w="1361" w:type="dxa"/>
            <w:tcBorders>
              <w:top w:val="nil"/>
              <w:left w:val="nil"/>
              <w:bottom w:val="single" w:sz="4" w:space="0" w:color="auto"/>
              <w:right w:val="single" w:sz="4" w:space="0" w:color="auto"/>
            </w:tcBorders>
            <w:shd w:val="clear" w:color="000000" w:fill="D8D8D8"/>
            <w:noWrap/>
            <w:hideMark/>
          </w:tcPr>
          <w:p w14:paraId="773BDAC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xml:space="preserve">  </w:t>
            </w:r>
          </w:p>
        </w:tc>
        <w:tc>
          <w:tcPr>
            <w:tcW w:w="1644" w:type="dxa"/>
            <w:gridSpan w:val="2"/>
            <w:tcBorders>
              <w:top w:val="nil"/>
              <w:left w:val="nil"/>
              <w:bottom w:val="single" w:sz="4" w:space="0" w:color="auto"/>
              <w:right w:val="single" w:sz="4" w:space="0" w:color="auto"/>
            </w:tcBorders>
            <w:shd w:val="clear" w:color="000000" w:fill="D8D8D8"/>
            <w:noWrap/>
            <w:hideMark/>
          </w:tcPr>
          <w:p w14:paraId="4E45CDD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19414E9" w14:textId="77777777" w:rsidTr="009B2D79">
        <w:trPr>
          <w:trHeight w:val="315"/>
        </w:trPr>
        <w:tc>
          <w:tcPr>
            <w:tcW w:w="858" w:type="dxa"/>
            <w:vMerge/>
            <w:tcBorders>
              <w:top w:val="nil"/>
              <w:left w:val="single" w:sz="4" w:space="0" w:color="auto"/>
              <w:bottom w:val="single" w:sz="4" w:space="0" w:color="000000"/>
              <w:right w:val="single" w:sz="4" w:space="0" w:color="auto"/>
            </w:tcBorders>
            <w:vAlign w:val="center"/>
            <w:hideMark/>
          </w:tcPr>
          <w:p w14:paraId="092F078C"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C412EB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1BA93C4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Souphatta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Naphayvong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67A52EC"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5DCC0D7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020 78078991</w:t>
            </w:r>
          </w:p>
        </w:tc>
        <w:tc>
          <w:tcPr>
            <w:tcW w:w="1644" w:type="dxa"/>
            <w:gridSpan w:val="2"/>
            <w:tcBorders>
              <w:top w:val="nil"/>
              <w:left w:val="nil"/>
              <w:bottom w:val="single" w:sz="4" w:space="0" w:color="auto"/>
              <w:right w:val="single" w:sz="4" w:space="0" w:color="auto"/>
            </w:tcBorders>
            <w:shd w:val="clear" w:color="000000" w:fill="D8D8D8"/>
            <w:noWrap/>
            <w:hideMark/>
          </w:tcPr>
          <w:p w14:paraId="782E4182"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BC240FD" w14:textId="77777777" w:rsidTr="009B2D79">
        <w:trPr>
          <w:trHeight w:val="315"/>
        </w:trPr>
        <w:tc>
          <w:tcPr>
            <w:tcW w:w="858" w:type="dxa"/>
            <w:vMerge w:val="restart"/>
            <w:tcBorders>
              <w:top w:val="nil"/>
              <w:left w:val="single" w:sz="4" w:space="0" w:color="auto"/>
              <w:bottom w:val="nil"/>
              <w:right w:val="single" w:sz="4" w:space="0" w:color="auto"/>
            </w:tcBorders>
            <w:shd w:val="clear" w:color="000000" w:fill="B3C6E7"/>
            <w:hideMark/>
          </w:tcPr>
          <w:p w14:paraId="48F2EBB6"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MONRE</w:t>
            </w:r>
          </w:p>
        </w:tc>
        <w:tc>
          <w:tcPr>
            <w:tcW w:w="1276" w:type="dxa"/>
            <w:vMerge w:val="restart"/>
            <w:tcBorders>
              <w:top w:val="nil"/>
              <w:left w:val="single" w:sz="4" w:space="0" w:color="auto"/>
              <w:bottom w:val="nil"/>
              <w:right w:val="single" w:sz="4" w:space="0" w:color="auto"/>
            </w:tcBorders>
            <w:shd w:val="clear" w:color="auto" w:fill="auto"/>
            <w:hideMark/>
          </w:tcPr>
          <w:p w14:paraId="2A498062"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Land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60CEEC3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Vongdeuan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Vongsiharath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D48F82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Director General </w:t>
            </w:r>
          </w:p>
        </w:tc>
        <w:tc>
          <w:tcPr>
            <w:tcW w:w="1361" w:type="dxa"/>
            <w:tcBorders>
              <w:top w:val="nil"/>
              <w:left w:val="nil"/>
              <w:bottom w:val="single" w:sz="4" w:space="0" w:color="auto"/>
              <w:right w:val="single" w:sz="4" w:space="0" w:color="auto"/>
            </w:tcBorders>
            <w:shd w:val="clear" w:color="000000" w:fill="D8D8D8"/>
            <w:noWrap/>
            <w:hideMark/>
          </w:tcPr>
          <w:p w14:paraId="7365123C"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020 22209215</w:t>
            </w:r>
          </w:p>
        </w:tc>
        <w:tc>
          <w:tcPr>
            <w:tcW w:w="1644" w:type="dxa"/>
            <w:gridSpan w:val="2"/>
            <w:tcBorders>
              <w:top w:val="nil"/>
              <w:left w:val="nil"/>
              <w:bottom w:val="single" w:sz="4" w:space="0" w:color="auto"/>
              <w:right w:val="single" w:sz="4" w:space="0" w:color="auto"/>
            </w:tcBorders>
            <w:shd w:val="clear" w:color="000000" w:fill="D8D8D8"/>
            <w:noWrap/>
            <w:hideMark/>
          </w:tcPr>
          <w:p w14:paraId="077983C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6" w:history="1">
              <w:r w:rsidR="009B2D79" w:rsidRPr="009B2D79">
                <w:rPr>
                  <w:rFonts w:ascii="Calibri" w:hAnsi="Calibri" w:cs="Calibri"/>
                  <w:color w:val="0563C1"/>
                  <w:sz w:val="16"/>
                  <w:szCs w:val="16"/>
                  <w:u w:val="single"/>
                  <w:lang w:val="en-GB" w:eastAsia="en-GB"/>
                </w:rPr>
                <w:t>vongdeuane.vongsiharath@gmail.com</w:t>
              </w:r>
            </w:hyperlink>
          </w:p>
        </w:tc>
      </w:tr>
      <w:tr w:rsidR="009B2D79" w:rsidRPr="009B2D79" w14:paraId="6AF6B4AB" w14:textId="77777777" w:rsidTr="009B2D79">
        <w:trPr>
          <w:trHeight w:val="315"/>
        </w:trPr>
        <w:tc>
          <w:tcPr>
            <w:tcW w:w="858" w:type="dxa"/>
            <w:vMerge/>
            <w:tcBorders>
              <w:top w:val="nil"/>
              <w:left w:val="single" w:sz="4" w:space="0" w:color="auto"/>
              <w:bottom w:val="nil"/>
              <w:right w:val="single" w:sz="4" w:space="0" w:color="auto"/>
            </w:tcBorders>
            <w:vAlign w:val="center"/>
            <w:hideMark/>
          </w:tcPr>
          <w:p w14:paraId="46440ADE"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3B61C223"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0618A3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Anongsone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Phommachanh</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901119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290D8A8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020 22228206</w:t>
            </w:r>
          </w:p>
        </w:tc>
        <w:tc>
          <w:tcPr>
            <w:tcW w:w="1644" w:type="dxa"/>
            <w:gridSpan w:val="2"/>
            <w:tcBorders>
              <w:top w:val="nil"/>
              <w:left w:val="nil"/>
              <w:bottom w:val="single" w:sz="4" w:space="0" w:color="auto"/>
              <w:right w:val="single" w:sz="4" w:space="0" w:color="auto"/>
            </w:tcBorders>
            <w:shd w:val="clear" w:color="000000" w:fill="D8D8D8"/>
            <w:noWrap/>
            <w:hideMark/>
          </w:tcPr>
          <w:p w14:paraId="078741D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215CEC91" w14:textId="77777777" w:rsidTr="009B2D79">
        <w:trPr>
          <w:trHeight w:val="315"/>
        </w:trPr>
        <w:tc>
          <w:tcPr>
            <w:tcW w:w="858" w:type="dxa"/>
            <w:vMerge/>
            <w:tcBorders>
              <w:top w:val="nil"/>
              <w:left w:val="single" w:sz="4" w:space="0" w:color="auto"/>
              <w:bottom w:val="nil"/>
              <w:right w:val="single" w:sz="4" w:space="0" w:color="auto"/>
            </w:tcBorders>
            <w:vAlign w:val="center"/>
            <w:hideMark/>
          </w:tcPr>
          <w:p w14:paraId="157DE7DB"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nil"/>
              <w:left w:val="single" w:sz="4" w:space="0" w:color="auto"/>
              <w:bottom w:val="nil"/>
              <w:right w:val="single" w:sz="4" w:space="0" w:color="auto"/>
            </w:tcBorders>
            <w:vAlign w:val="center"/>
            <w:hideMark/>
          </w:tcPr>
          <w:p w14:paraId="1A34670C"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6761EA7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Ms. </w:t>
            </w:r>
            <w:proofErr w:type="spellStart"/>
            <w:r w:rsidRPr="009B2D79">
              <w:rPr>
                <w:rFonts w:ascii="Times New Roman" w:hAnsi="Times New Roman"/>
                <w:sz w:val="16"/>
                <w:szCs w:val="16"/>
                <w:lang w:val="en-GB" w:eastAsia="en-GB"/>
              </w:rPr>
              <w:t>Dalaykham</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Bayyavong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26C8610"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Technical Officer </w:t>
            </w:r>
          </w:p>
        </w:tc>
        <w:tc>
          <w:tcPr>
            <w:tcW w:w="1361" w:type="dxa"/>
            <w:tcBorders>
              <w:top w:val="nil"/>
              <w:left w:val="nil"/>
              <w:bottom w:val="single" w:sz="4" w:space="0" w:color="auto"/>
              <w:right w:val="single" w:sz="4" w:space="0" w:color="auto"/>
            </w:tcBorders>
            <w:shd w:val="clear" w:color="000000" w:fill="D8D8D8"/>
            <w:noWrap/>
            <w:hideMark/>
          </w:tcPr>
          <w:p w14:paraId="085FDB73"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020 55792777</w:t>
            </w:r>
          </w:p>
        </w:tc>
        <w:tc>
          <w:tcPr>
            <w:tcW w:w="1644" w:type="dxa"/>
            <w:gridSpan w:val="2"/>
            <w:tcBorders>
              <w:top w:val="nil"/>
              <w:left w:val="nil"/>
              <w:bottom w:val="single" w:sz="4" w:space="0" w:color="auto"/>
              <w:right w:val="single" w:sz="4" w:space="0" w:color="auto"/>
            </w:tcBorders>
            <w:shd w:val="clear" w:color="000000" w:fill="D8D8D8"/>
            <w:noWrap/>
            <w:hideMark/>
          </w:tcPr>
          <w:p w14:paraId="607270C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5626BFF8" w14:textId="77777777" w:rsidTr="009B2D79">
        <w:trPr>
          <w:trHeight w:val="315"/>
        </w:trPr>
        <w:tc>
          <w:tcPr>
            <w:tcW w:w="858" w:type="dxa"/>
            <w:vMerge w:val="restart"/>
            <w:tcBorders>
              <w:top w:val="single" w:sz="4" w:space="0" w:color="auto"/>
              <w:left w:val="single" w:sz="4" w:space="0" w:color="auto"/>
              <w:bottom w:val="nil"/>
              <w:right w:val="single" w:sz="4" w:space="0" w:color="auto"/>
            </w:tcBorders>
            <w:shd w:val="clear" w:color="000000" w:fill="B3C6E7"/>
            <w:hideMark/>
          </w:tcPr>
          <w:p w14:paraId="04EC3698" w14:textId="77777777" w:rsidR="009B2D79" w:rsidRPr="009B2D79" w:rsidRDefault="009B2D79" w:rsidP="009B2D79">
            <w:pPr>
              <w:spacing w:before="0"/>
              <w:ind w:left="0"/>
              <w:jc w:val="center"/>
              <w:rPr>
                <w:rFonts w:ascii="Times New Roman" w:hAnsi="Times New Roman"/>
                <w:b/>
                <w:bCs/>
                <w:sz w:val="16"/>
                <w:szCs w:val="16"/>
                <w:lang w:val="en-GB" w:eastAsia="en-GB"/>
              </w:rPr>
            </w:pPr>
            <w:r w:rsidRPr="009B2D79">
              <w:rPr>
                <w:rFonts w:ascii="Times New Roman" w:hAnsi="Times New Roman"/>
                <w:b/>
                <w:bCs/>
                <w:sz w:val="16"/>
                <w:szCs w:val="16"/>
                <w:lang w:val="en-GB" w:eastAsia="en-GB"/>
              </w:rPr>
              <w:t>MOAF</w:t>
            </w:r>
          </w:p>
        </w:tc>
        <w:tc>
          <w:tcPr>
            <w:tcW w:w="1276" w:type="dxa"/>
            <w:vMerge w:val="restart"/>
            <w:tcBorders>
              <w:top w:val="single" w:sz="4" w:space="0" w:color="auto"/>
              <w:left w:val="single" w:sz="4" w:space="0" w:color="auto"/>
              <w:bottom w:val="nil"/>
              <w:right w:val="single" w:sz="4" w:space="0" w:color="auto"/>
            </w:tcBorders>
            <w:shd w:val="clear" w:color="auto" w:fill="auto"/>
            <w:hideMark/>
          </w:tcPr>
          <w:p w14:paraId="74F7165E"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Planning and Fiscal Policy Department</w:t>
            </w:r>
          </w:p>
        </w:tc>
        <w:tc>
          <w:tcPr>
            <w:tcW w:w="1774" w:type="dxa"/>
            <w:gridSpan w:val="2"/>
            <w:tcBorders>
              <w:top w:val="nil"/>
              <w:left w:val="nil"/>
              <w:bottom w:val="single" w:sz="4" w:space="0" w:color="auto"/>
              <w:right w:val="single" w:sz="4" w:space="0" w:color="auto"/>
            </w:tcBorders>
            <w:shd w:val="clear" w:color="000000" w:fill="D8D8D8"/>
            <w:noWrap/>
            <w:hideMark/>
          </w:tcPr>
          <w:p w14:paraId="46221A58"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Oukham</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25598819"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Deputy Director General </w:t>
            </w:r>
          </w:p>
        </w:tc>
        <w:tc>
          <w:tcPr>
            <w:tcW w:w="1361" w:type="dxa"/>
            <w:tcBorders>
              <w:top w:val="nil"/>
              <w:left w:val="nil"/>
              <w:bottom w:val="single" w:sz="4" w:space="0" w:color="auto"/>
              <w:right w:val="single" w:sz="4" w:space="0" w:color="auto"/>
            </w:tcBorders>
            <w:shd w:val="clear" w:color="000000" w:fill="D8D8D8"/>
            <w:noWrap/>
            <w:hideMark/>
          </w:tcPr>
          <w:p w14:paraId="76C6F0A9"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020 55409371</w:t>
            </w:r>
          </w:p>
        </w:tc>
        <w:tc>
          <w:tcPr>
            <w:tcW w:w="1644" w:type="dxa"/>
            <w:gridSpan w:val="2"/>
            <w:tcBorders>
              <w:top w:val="nil"/>
              <w:left w:val="nil"/>
              <w:bottom w:val="single" w:sz="4" w:space="0" w:color="auto"/>
              <w:right w:val="single" w:sz="4" w:space="0" w:color="auto"/>
            </w:tcBorders>
            <w:shd w:val="clear" w:color="000000" w:fill="D8D8D8"/>
            <w:noWrap/>
            <w:hideMark/>
          </w:tcPr>
          <w:p w14:paraId="490B6B78"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7" w:history="1">
              <w:r w:rsidR="009B2D79" w:rsidRPr="009B2D79">
                <w:rPr>
                  <w:rFonts w:ascii="Calibri" w:hAnsi="Calibri" w:cs="Calibri"/>
                  <w:color w:val="0563C1"/>
                  <w:sz w:val="16"/>
                  <w:szCs w:val="16"/>
                  <w:u w:val="single"/>
                  <w:lang w:val="en-GB" w:eastAsia="en-GB"/>
                </w:rPr>
                <w:t>oukham-Khh@yahoo.com</w:t>
              </w:r>
            </w:hyperlink>
          </w:p>
        </w:tc>
      </w:tr>
      <w:tr w:rsidR="009B2D79" w:rsidRPr="009B2D79" w14:paraId="02B941C0" w14:textId="77777777" w:rsidTr="009B2D79">
        <w:trPr>
          <w:trHeight w:val="312"/>
        </w:trPr>
        <w:tc>
          <w:tcPr>
            <w:tcW w:w="858" w:type="dxa"/>
            <w:vMerge/>
            <w:tcBorders>
              <w:top w:val="single" w:sz="4" w:space="0" w:color="auto"/>
              <w:left w:val="single" w:sz="4" w:space="0" w:color="auto"/>
              <w:bottom w:val="nil"/>
              <w:right w:val="single" w:sz="4" w:space="0" w:color="auto"/>
            </w:tcBorders>
            <w:vAlign w:val="center"/>
            <w:hideMark/>
          </w:tcPr>
          <w:p w14:paraId="279F8415"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2D9ADE31"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294AB8F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Phoutthanousone</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Meuansitthida</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32A7D52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Division of Department of planning and Finance</w:t>
            </w:r>
          </w:p>
        </w:tc>
        <w:tc>
          <w:tcPr>
            <w:tcW w:w="1361" w:type="dxa"/>
            <w:tcBorders>
              <w:top w:val="nil"/>
              <w:left w:val="nil"/>
              <w:bottom w:val="single" w:sz="4" w:space="0" w:color="auto"/>
              <w:right w:val="single" w:sz="4" w:space="0" w:color="auto"/>
            </w:tcBorders>
            <w:shd w:val="clear" w:color="000000" w:fill="D8D8D8"/>
            <w:noWrap/>
            <w:hideMark/>
          </w:tcPr>
          <w:p w14:paraId="6BA8C35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020 22204263</w:t>
            </w:r>
          </w:p>
        </w:tc>
        <w:tc>
          <w:tcPr>
            <w:tcW w:w="1644" w:type="dxa"/>
            <w:gridSpan w:val="2"/>
            <w:tcBorders>
              <w:top w:val="nil"/>
              <w:left w:val="nil"/>
              <w:bottom w:val="single" w:sz="4" w:space="0" w:color="auto"/>
              <w:right w:val="single" w:sz="4" w:space="0" w:color="auto"/>
            </w:tcBorders>
            <w:shd w:val="clear" w:color="000000" w:fill="D8D8D8"/>
            <w:noWrap/>
            <w:hideMark/>
          </w:tcPr>
          <w:p w14:paraId="445B6EDF"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8" w:history="1">
              <w:r w:rsidR="009B2D79" w:rsidRPr="009B2D79">
                <w:rPr>
                  <w:rFonts w:ascii="Calibri" w:hAnsi="Calibri" w:cs="Calibri"/>
                  <w:color w:val="0563C1"/>
                  <w:sz w:val="16"/>
                  <w:szCs w:val="16"/>
                  <w:u w:val="single"/>
                  <w:lang w:val="en-GB" w:eastAsia="en-GB"/>
                </w:rPr>
                <w:t>phoutthanousone@yahoo.com</w:t>
              </w:r>
            </w:hyperlink>
          </w:p>
        </w:tc>
      </w:tr>
      <w:tr w:rsidR="009B2D79" w:rsidRPr="009B2D79" w14:paraId="03422ACC" w14:textId="77777777" w:rsidTr="009B2D79">
        <w:trPr>
          <w:trHeight w:val="315"/>
        </w:trPr>
        <w:tc>
          <w:tcPr>
            <w:tcW w:w="858" w:type="dxa"/>
            <w:vMerge/>
            <w:tcBorders>
              <w:top w:val="single" w:sz="4" w:space="0" w:color="auto"/>
              <w:left w:val="single" w:sz="4" w:space="0" w:color="auto"/>
              <w:bottom w:val="nil"/>
              <w:right w:val="single" w:sz="4" w:space="0" w:color="auto"/>
            </w:tcBorders>
            <w:vAlign w:val="center"/>
            <w:hideMark/>
          </w:tcPr>
          <w:p w14:paraId="181C02F9"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05AAC1FC"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02E09B8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Soukthavin</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Sangsomsak</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7DBAEEEA"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Division of Department of planning and Finance</w:t>
            </w:r>
          </w:p>
        </w:tc>
        <w:tc>
          <w:tcPr>
            <w:tcW w:w="1361" w:type="dxa"/>
            <w:tcBorders>
              <w:top w:val="nil"/>
              <w:left w:val="nil"/>
              <w:bottom w:val="single" w:sz="4" w:space="0" w:color="auto"/>
              <w:right w:val="single" w:sz="4" w:space="0" w:color="auto"/>
            </w:tcBorders>
            <w:shd w:val="clear" w:color="000000" w:fill="D8D8D8"/>
            <w:noWrap/>
            <w:hideMark/>
          </w:tcPr>
          <w:p w14:paraId="076C90A8"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020 99776199</w:t>
            </w:r>
          </w:p>
        </w:tc>
        <w:tc>
          <w:tcPr>
            <w:tcW w:w="1644" w:type="dxa"/>
            <w:gridSpan w:val="2"/>
            <w:tcBorders>
              <w:top w:val="nil"/>
              <w:left w:val="nil"/>
              <w:bottom w:val="single" w:sz="4" w:space="0" w:color="auto"/>
              <w:right w:val="single" w:sz="4" w:space="0" w:color="auto"/>
            </w:tcBorders>
            <w:shd w:val="clear" w:color="000000" w:fill="D8D8D8"/>
            <w:noWrap/>
            <w:hideMark/>
          </w:tcPr>
          <w:p w14:paraId="6AF63AFF"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 </w:t>
            </w:r>
          </w:p>
        </w:tc>
      </w:tr>
      <w:tr w:rsidR="009B2D79" w:rsidRPr="009B2D79" w14:paraId="311ED25C" w14:textId="77777777" w:rsidTr="009B2D79">
        <w:trPr>
          <w:trHeight w:val="315"/>
        </w:trPr>
        <w:tc>
          <w:tcPr>
            <w:tcW w:w="858" w:type="dxa"/>
            <w:vMerge/>
            <w:tcBorders>
              <w:top w:val="single" w:sz="4" w:space="0" w:color="auto"/>
              <w:left w:val="single" w:sz="4" w:space="0" w:color="auto"/>
              <w:bottom w:val="nil"/>
              <w:right w:val="single" w:sz="4" w:space="0" w:color="auto"/>
            </w:tcBorders>
            <w:vAlign w:val="center"/>
            <w:hideMark/>
          </w:tcPr>
          <w:p w14:paraId="1C7085C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23C95A4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7E98E945"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Ketsana</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Loungnam</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4B3A04F6"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Deputy Division of Department of planning and Finance</w:t>
            </w:r>
          </w:p>
        </w:tc>
        <w:tc>
          <w:tcPr>
            <w:tcW w:w="1361" w:type="dxa"/>
            <w:tcBorders>
              <w:top w:val="nil"/>
              <w:left w:val="nil"/>
              <w:bottom w:val="single" w:sz="4" w:space="0" w:color="auto"/>
              <w:right w:val="single" w:sz="4" w:space="0" w:color="auto"/>
            </w:tcBorders>
            <w:shd w:val="clear" w:color="000000" w:fill="D8D8D8"/>
            <w:noWrap/>
            <w:hideMark/>
          </w:tcPr>
          <w:p w14:paraId="0BDD25D1"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020 22484400</w:t>
            </w:r>
          </w:p>
        </w:tc>
        <w:tc>
          <w:tcPr>
            <w:tcW w:w="1644" w:type="dxa"/>
            <w:gridSpan w:val="2"/>
            <w:tcBorders>
              <w:top w:val="nil"/>
              <w:left w:val="nil"/>
              <w:bottom w:val="single" w:sz="4" w:space="0" w:color="auto"/>
              <w:right w:val="single" w:sz="4" w:space="0" w:color="auto"/>
            </w:tcBorders>
            <w:shd w:val="clear" w:color="000000" w:fill="D8D8D8"/>
            <w:noWrap/>
            <w:hideMark/>
          </w:tcPr>
          <w:p w14:paraId="3E006B3D"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89" w:history="1">
              <w:r w:rsidR="009B2D79" w:rsidRPr="009B2D79">
                <w:rPr>
                  <w:rFonts w:ascii="Calibri" w:hAnsi="Calibri" w:cs="Calibri"/>
                  <w:color w:val="0563C1"/>
                  <w:sz w:val="16"/>
                  <w:szCs w:val="16"/>
                  <w:u w:val="single"/>
                  <w:lang w:val="en-GB" w:eastAsia="en-GB"/>
                </w:rPr>
                <w:t>loungnamk@yahoo.com</w:t>
              </w:r>
            </w:hyperlink>
          </w:p>
        </w:tc>
      </w:tr>
      <w:tr w:rsidR="009B2D79" w:rsidRPr="009B2D79" w14:paraId="44F96353" w14:textId="77777777" w:rsidTr="009B2D79">
        <w:trPr>
          <w:trHeight w:val="315"/>
        </w:trPr>
        <w:tc>
          <w:tcPr>
            <w:tcW w:w="858" w:type="dxa"/>
            <w:vMerge/>
            <w:tcBorders>
              <w:top w:val="single" w:sz="4" w:space="0" w:color="auto"/>
              <w:left w:val="single" w:sz="4" w:space="0" w:color="auto"/>
              <w:bottom w:val="nil"/>
              <w:right w:val="single" w:sz="4" w:space="0" w:color="auto"/>
            </w:tcBorders>
            <w:vAlign w:val="center"/>
            <w:hideMark/>
          </w:tcPr>
          <w:p w14:paraId="0678ED0A" w14:textId="77777777" w:rsidR="009B2D79" w:rsidRPr="009B2D79" w:rsidRDefault="009B2D79" w:rsidP="009B2D79">
            <w:pPr>
              <w:spacing w:before="0"/>
              <w:ind w:left="0"/>
              <w:jc w:val="left"/>
              <w:rPr>
                <w:rFonts w:ascii="Times New Roman" w:hAnsi="Times New Roman"/>
                <w:b/>
                <w:bCs/>
                <w:sz w:val="16"/>
                <w:szCs w:val="16"/>
                <w:lang w:val="en-GB" w:eastAsia="en-GB"/>
              </w:rPr>
            </w:pPr>
          </w:p>
        </w:tc>
        <w:tc>
          <w:tcPr>
            <w:tcW w:w="1276" w:type="dxa"/>
            <w:vMerge/>
            <w:tcBorders>
              <w:top w:val="single" w:sz="4" w:space="0" w:color="auto"/>
              <w:left w:val="single" w:sz="4" w:space="0" w:color="auto"/>
              <w:bottom w:val="nil"/>
              <w:right w:val="single" w:sz="4" w:space="0" w:color="auto"/>
            </w:tcBorders>
            <w:vAlign w:val="center"/>
            <w:hideMark/>
          </w:tcPr>
          <w:p w14:paraId="682A5566" w14:textId="77777777" w:rsidR="009B2D79" w:rsidRPr="009B2D79" w:rsidRDefault="009B2D79" w:rsidP="009B2D79">
            <w:pPr>
              <w:spacing w:before="0"/>
              <w:ind w:left="0"/>
              <w:jc w:val="left"/>
              <w:rPr>
                <w:rFonts w:ascii="Times New Roman" w:hAnsi="Times New Roman"/>
                <w:sz w:val="16"/>
                <w:szCs w:val="16"/>
                <w:lang w:val="en-GB" w:eastAsia="en-GB"/>
              </w:rPr>
            </w:pPr>
          </w:p>
        </w:tc>
        <w:tc>
          <w:tcPr>
            <w:tcW w:w="1774" w:type="dxa"/>
            <w:gridSpan w:val="2"/>
            <w:tcBorders>
              <w:top w:val="nil"/>
              <w:left w:val="nil"/>
              <w:bottom w:val="single" w:sz="4" w:space="0" w:color="auto"/>
              <w:right w:val="single" w:sz="4" w:space="0" w:color="auto"/>
            </w:tcBorders>
            <w:shd w:val="clear" w:color="000000" w:fill="D8D8D8"/>
            <w:noWrap/>
            <w:hideMark/>
          </w:tcPr>
          <w:p w14:paraId="3B1B0FCF"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Somchit</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83A454E"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Director Division of Finance</w:t>
            </w:r>
          </w:p>
        </w:tc>
        <w:tc>
          <w:tcPr>
            <w:tcW w:w="1361" w:type="dxa"/>
            <w:tcBorders>
              <w:top w:val="nil"/>
              <w:left w:val="nil"/>
              <w:bottom w:val="single" w:sz="4" w:space="0" w:color="auto"/>
              <w:right w:val="single" w:sz="4" w:space="0" w:color="auto"/>
            </w:tcBorders>
            <w:shd w:val="clear" w:color="000000" w:fill="D8D8D8"/>
            <w:noWrap/>
            <w:hideMark/>
          </w:tcPr>
          <w:p w14:paraId="0E81714B"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020 22207171</w:t>
            </w:r>
          </w:p>
        </w:tc>
        <w:tc>
          <w:tcPr>
            <w:tcW w:w="1644" w:type="dxa"/>
            <w:gridSpan w:val="2"/>
            <w:tcBorders>
              <w:top w:val="nil"/>
              <w:left w:val="nil"/>
              <w:bottom w:val="single" w:sz="4" w:space="0" w:color="auto"/>
              <w:right w:val="single" w:sz="4" w:space="0" w:color="auto"/>
            </w:tcBorders>
            <w:shd w:val="clear" w:color="000000" w:fill="D8D8D8"/>
            <w:noWrap/>
            <w:hideMark/>
          </w:tcPr>
          <w:p w14:paraId="16E40751" w14:textId="77777777" w:rsidR="009B2D79" w:rsidRPr="009B2D79" w:rsidRDefault="008E0EF0" w:rsidP="009B2D79">
            <w:pPr>
              <w:spacing w:before="0"/>
              <w:ind w:left="0"/>
              <w:jc w:val="left"/>
              <w:rPr>
                <w:rFonts w:ascii="Calibri" w:hAnsi="Calibri" w:cs="Calibri"/>
                <w:color w:val="0563C1"/>
                <w:sz w:val="16"/>
                <w:szCs w:val="16"/>
                <w:u w:val="single"/>
                <w:lang w:val="en-GB" w:eastAsia="en-GB"/>
              </w:rPr>
            </w:pPr>
            <w:hyperlink r:id="rId90" w:history="1">
              <w:r w:rsidR="009B2D79" w:rsidRPr="009B2D79">
                <w:rPr>
                  <w:rFonts w:ascii="Calibri" w:hAnsi="Calibri" w:cs="Calibri"/>
                  <w:color w:val="0563C1"/>
                  <w:sz w:val="16"/>
                  <w:szCs w:val="16"/>
                  <w:u w:val="single"/>
                  <w:lang w:val="en-GB" w:eastAsia="en-GB"/>
                </w:rPr>
                <w:t>somchith29@gmail.com</w:t>
              </w:r>
            </w:hyperlink>
          </w:p>
        </w:tc>
      </w:tr>
      <w:tr w:rsidR="009B2D79" w:rsidRPr="009B2D79" w14:paraId="7C4553E4" w14:textId="77777777" w:rsidTr="009B2D79">
        <w:trPr>
          <w:trHeight w:val="454"/>
        </w:trPr>
        <w:tc>
          <w:tcPr>
            <w:tcW w:w="858" w:type="dxa"/>
            <w:tcBorders>
              <w:top w:val="single" w:sz="4" w:space="0" w:color="auto"/>
              <w:left w:val="single" w:sz="4" w:space="0" w:color="auto"/>
              <w:bottom w:val="single" w:sz="4" w:space="0" w:color="auto"/>
              <w:right w:val="single" w:sz="4" w:space="0" w:color="auto"/>
            </w:tcBorders>
            <w:shd w:val="clear" w:color="000000" w:fill="B3C6E7"/>
            <w:hideMark/>
          </w:tcPr>
          <w:p w14:paraId="2E644A22" w14:textId="77777777" w:rsidR="009B2D79" w:rsidRPr="009B2D79" w:rsidRDefault="009B2D79" w:rsidP="009B2D79">
            <w:pPr>
              <w:spacing w:before="0"/>
              <w:ind w:left="0"/>
              <w:jc w:val="center"/>
              <w:rPr>
                <w:rFonts w:ascii="Times New Roman" w:hAnsi="Times New Roman"/>
                <w:b/>
                <w:bCs/>
                <w:sz w:val="16"/>
                <w:szCs w:val="16"/>
                <w:lang w:val="en-GB" w:eastAsia="en-GB"/>
              </w:rPr>
            </w:pPr>
            <w:proofErr w:type="spellStart"/>
            <w:r w:rsidRPr="009B2D79">
              <w:rPr>
                <w:rFonts w:ascii="Times New Roman" w:hAnsi="Times New Roman"/>
                <w:b/>
                <w:bCs/>
                <w:sz w:val="16"/>
                <w:szCs w:val="16"/>
                <w:lang w:val="en-GB" w:eastAsia="en-GB"/>
              </w:rPr>
              <w:t>Saysetha</w:t>
            </w:r>
            <w:proofErr w:type="spellEnd"/>
            <w:r w:rsidRPr="009B2D79">
              <w:rPr>
                <w:rFonts w:ascii="Times New Roman" w:hAnsi="Times New Roman"/>
                <w:b/>
                <w:bCs/>
                <w:sz w:val="16"/>
                <w:szCs w:val="16"/>
                <w:lang w:val="en-GB" w:eastAsia="en-GB"/>
              </w:rPr>
              <w:t xml:space="preserve"> District</w:t>
            </w:r>
          </w:p>
        </w:tc>
        <w:tc>
          <w:tcPr>
            <w:tcW w:w="1276" w:type="dxa"/>
            <w:tcBorders>
              <w:top w:val="single" w:sz="4" w:space="0" w:color="auto"/>
              <w:left w:val="nil"/>
              <w:bottom w:val="single" w:sz="4" w:space="0" w:color="auto"/>
              <w:right w:val="single" w:sz="4" w:space="0" w:color="auto"/>
            </w:tcBorders>
            <w:shd w:val="clear" w:color="auto" w:fill="auto"/>
            <w:hideMark/>
          </w:tcPr>
          <w:p w14:paraId="587CD22B" w14:textId="77777777" w:rsidR="009B2D79" w:rsidRPr="009B2D79" w:rsidRDefault="009B2D79" w:rsidP="009B2D79">
            <w:pPr>
              <w:spacing w:before="0"/>
              <w:ind w:left="0"/>
              <w:jc w:val="center"/>
              <w:rPr>
                <w:rFonts w:ascii="Times New Roman" w:hAnsi="Times New Roman"/>
                <w:sz w:val="16"/>
                <w:szCs w:val="16"/>
                <w:lang w:val="en-GB" w:eastAsia="en-GB"/>
              </w:rPr>
            </w:pPr>
            <w:r w:rsidRPr="009B2D79">
              <w:rPr>
                <w:rFonts w:ascii="Times New Roman" w:hAnsi="Times New Roman"/>
                <w:sz w:val="16"/>
                <w:szCs w:val="16"/>
                <w:lang w:val="en-GB" w:eastAsia="en-GB"/>
              </w:rPr>
              <w:t xml:space="preserve">Finance Division </w:t>
            </w:r>
          </w:p>
        </w:tc>
        <w:tc>
          <w:tcPr>
            <w:tcW w:w="1774" w:type="dxa"/>
            <w:gridSpan w:val="2"/>
            <w:tcBorders>
              <w:top w:val="nil"/>
              <w:left w:val="nil"/>
              <w:bottom w:val="single" w:sz="4" w:space="0" w:color="auto"/>
              <w:right w:val="single" w:sz="4" w:space="0" w:color="auto"/>
            </w:tcBorders>
            <w:shd w:val="clear" w:color="000000" w:fill="D8D8D8"/>
            <w:noWrap/>
            <w:hideMark/>
          </w:tcPr>
          <w:p w14:paraId="479790F7"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xml:space="preserve">Mr. </w:t>
            </w:r>
            <w:proofErr w:type="spellStart"/>
            <w:r w:rsidRPr="009B2D79">
              <w:rPr>
                <w:rFonts w:ascii="Times New Roman" w:hAnsi="Times New Roman"/>
                <w:sz w:val="16"/>
                <w:szCs w:val="16"/>
                <w:lang w:val="en-GB" w:eastAsia="en-GB"/>
              </w:rPr>
              <w:t>Somvang</w:t>
            </w:r>
            <w:proofErr w:type="spellEnd"/>
            <w:r w:rsidRPr="009B2D79">
              <w:rPr>
                <w:rFonts w:ascii="Times New Roman" w:hAnsi="Times New Roman"/>
                <w:sz w:val="16"/>
                <w:szCs w:val="16"/>
                <w:lang w:val="en-GB" w:eastAsia="en-GB"/>
              </w:rPr>
              <w:t xml:space="preserve"> </w:t>
            </w:r>
            <w:proofErr w:type="spellStart"/>
            <w:r w:rsidRPr="009B2D79">
              <w:rPr>
                <w:rFonts w:ascii="Times New Roman" w:hAnsi="Times New Roman"/>
                <w:sz w:val="16"/>
                <w:szCs w:val="16"/>
                <w:lang w:val="en-GB" w:eastAsia="en-GB"/>
              </w:rPr>
              <w:t>Phannavong</w:t>
            </w:r>
            <w:proofErr w:type="spellEnd"/>
          </w:p>
        </w:tc>
        <w:tc>
          <w:tcPr>
            <w:tcW w:w="2620" w:type="dxa"/>
            <w:gridSpan w:val="2"/>
            <w:tcBorders>
              <w:top w:val="nil"/>
              <w:left w:val="nil"/>
              <w:bottom w:val="single" w:sz="4" w:space="0" w:color="auto"/>
              <w:right w:val="single" w:sz="4" w:space="0" w:color="auto"/>
            </w:tcBorders>
            <w:shd w:val="clear" w:color="000000" w:fill="D8D8D8"/>
            <w:noWrap/>
            <w:hideMark/>
          </w:tcPr>
          <w:p w14:paraId="1CA1294D" w14:textId="77777777" w:rsidR="009B2D79" w:rsidRPr="009B2D79" w:rsidRDefault="009B2D79" w:rsidP="009B2D79">
            <w:pPr>
              <w:spacing w:before="0"/>
              <w:ind w:left="0"/>
              <w:jc w:val="left"/>
              <w:rPr>
                <w:rFonts w:ascii="Times New Roman" w:hAnsi="Times New Roman"/>
                <w:sz w:val="16"/>
                <w:szCs w:val="16"/>
                <w:lang w:val="en-GB" w:eastAsia="en-GB"/>
              </w:rPr>
            </w:pPr>
            <w:r w:rsidRPr="009B2D79">
              <w:rPr>
                <w:rFonts w:ascii="Times New Roman" w:hAnsi="Times New Roman"/>
                <w:sz w:val="16"/>
                <w:szCs w:val="16"/>
                <w:lang w:val="en-GB" w:eastAsia="en-GB"/>
              </w:rPr>
              <w:t> </w:t>
            </w:r>
          </w:p>
        </w:tc>
        <w:tc>
          <w:tcPr>
            <w:tcW w:w="1361" w:type="dxa"/>
            <w:tcBorders>
              <w:top w:val="nil"/>
              <w:left w:val="nil"/>
              <w:bottom w:val="single" w:sz="4" w:space="0" w:color="auto"/>
              <w:right w:val="single" w:sz="4" w:space="0" w:color="auto"/>
            </w:tcBorders>
            <w:shd w:val="clear" w:color="000000" w:fill="D8D8D8"/>
            <w:noWrap/>
            <w:hideMark/>
          </w:tcPr>
          <w:p w14:paraId="6DBA3314" w14:textId="77777777" w:rsidR="009B2D79" w:rsidRPr="009B2D79" w:rsidRDefault="009B2D79" w:rsidP="009B2D79">
            <w:pPr>
              <w:spacing w:before="0"/>
              <w:ind w:left="0"/>
              <w:jc w:val="left"/>
              <w:rPr>
                <w:rFonts w:ascii="Calibri" w:hAnsi="Calibri" w:cs="Calibri"/>
                <w:sz w:val="16"/>
                <w:szCs w:val="16"/>
                <w:lang w:val="en-GB" w:eastAsia="en-GB"/>
              </w:rPr>
            </w:pPr>
            <w:r w:rsidRPr="009B2D79">
              <w:rPr>
                <w:rFonts w:ascii="Calibri" w:hAnsi="Calibri" w:cs="Calibri"/>
                <w:sz w:val="16"/>
                <w:szCs w:val="16"/>
                <w:lang w:val="en-GB" w:eastAsia="en-GB"/>
              </w:rPr>
              <w:t>020 55503765</w:t>
            </w:r>
          </w:p>
        </w:tc>
        <w:tc>
          <w:tcPr>
            <w:tcW w:w="1644" w:type="dxa"/>
            <w:gridSpan w:val="2"/>
            <w:tcBorders>
              <w:top w:val="nil"/>
              <w:left w:val="nil"/>
              <w:bottom w:val="single" w:sz="4" w:space="0" w:color="auto"/>
              <w:right w:val="single" w:sz="4" w:space="0" w:color="auto"/>
            </w:tcBorders>
            <w:shd w:val="clear" w:color="000000" w:fill="D8D8D8"/>
            <w:noWrap/>
            <w:hideMark/>
          </w:tcPr>
          <w:p w14:paraId="1B468ABE" w14:textId="77777777" w:rsidR="009B2D79" w:rsidRPr="009B2D79" w:rsidRDefault="009B2D79" w:rsidP="009B2D79">
            <w:pPr>
              <w:spacing w:before="0"/>
              <w:ind w:left="0"/>
              <w:jc w:val="left"/>
              <w:rPr>
                <w:rFonts w:ascii="Calibri" w:hAnsi="Calibri" w:cs="Calibri"/>
                <w:sz w:val="16"/>
                <w:szCs w:val="16"/>
                <w:u w:val="single"/>
                <w:lang w:val="en-GB" w:eastAsia="en-GB"/>
              </w:rPr>
            </w:pPr>
            <w:r w:rsidRPr="009B2D79">
              <w:rPr>
                <w:rFonts w:ascii="Calibri" w:hAnsi="Calibri" w:cs="Calibri"/>
                <w:sz w:val="16"/>
                <w:szCs w:val="16"/>
                <w:u w:val="single"/>
                <w:lang w:val="en-GB" w:eastAsia="en-GB"/>
              </w:rPr>
              <w:t> </w:t>
            </w:r>
          </w:p>
        </w:tc>
      </w:tr>
    </w:tbl>
    <w:p w14:paraId="0AB04CDD" w14:textId="77777777" w:rsidR="00732585" w:rsidRDefault="00732585" w:rsidP="007518E4">
      <w:pPr>
        <w:pStyle w:val="ListParagraph"/>
        <w:spacing w:line="259" w:lineRule="auto"/>
        <w:ind w:left="0"/>
        <w:contextualSpacing w:val="0"/>
        <w:rPr>
          <w:rFonts w:ascii="Times New Roman" w:eastAsia="ヒラギノ角ゴ Pro W3" w:hAnsi="Times New Roman"/>
          <w:b/>
          <w:color w:val="000000"/>
          <w:sz w:val="16"/>
          <w:szCs w:val="16"/>
          <w:lang w:eastAsia="en-IN"/>
        </w:rPr>
      </w:pPr>
    </w:p>
    <w:p w14:paraId="288177A7" w14:textId="77777777" w:rsidR="00732585" w:rsidRDefault="00732585">
      <w:pPr>
        <w:spacing w:after="240" w:line="276" w:lineRule="auto"/>
        <w:rPr>
          <w:rFonts w:ascii="Times New Roman" w:eastAsia="ヒラギノ角ゴ Pro W3" w:hAnsi="Times New Roman"/>
          <w:b/>
          <w:color w:val="000000"/>
          <w:sz w:val="16"/>
          <w:szCs w:val="16"/>
          <w:lang w:eastAsia="en-IN"/>
        </w:rPr>
      </w:pPr>
      <w:r>
        <w:rPr>
          <w:rFonts w:ascii="Times New Roman" w:eastAsia="ヒラギノ角ゴ Pro W3" w:hAnsi="Times New Roman"/>
          <w:b/>
          <w:color w:val="000000"/>
          <w:sz w:val="16"/>
          <w:szCs w:val="16"/>
          <w:lang w:eastAsia="en-IN"/>
        </w:rPr>
        <w:br w:type="page"/>
      </w:r>
    </w:p>
    <w:p w14:paraId="09D81272" w14:textId="77777777" w:rsidR="004833E6" w:rsidRPr="008627A1" w:rsidRDefault="004833E6" w:rsidP="00CC2B5D">
      <w:pPr>
        <w:spacing w:after="240"/>
        <w:rPr>
          <w:rFonts w:eastAsiaTheme="minorEastAsia"/>
          <w:b/>
          <w:sz w:val="28"/>
        </w:rPr>
      </w:pPr>
      <w:r w:rsidRPr="008627A1">
        <w:rPr>
          <w:rFonts w:eastAsiaTheme="minorEastAsia"/>
          <w:b/>
          <w:sz w:val="28"/>
        </w:rPr>
        <w:lastRenderedPageBreak/>
        <w:t>Annex 3</w:t>
      </w:r>
      <w:r>
        <w:rPr>
          <w:rFonts w:eastAsiaTheme="minorEastAsia"/>
          <w:b/>
          <w:sz w:val="28"/>
        </w:rPr>
        <w:t>B</w:t>
      </w:r>
      <w:r w:rsidRPr="008627A1">
        <w:rPr>
          <w:rFonts w:eastAsiaTheme="minorEastAsia"/>
          <w:b/>
          <w:sz w:val="28"/>
        </w:rPr>
        <w:t xml:space="preserve">: Sources of information </w:t>
      </w:r>
      <w:r>
        <w:rPr>
          <w:rFonts w:eastAsiaTheme="minorEastAsia"/>
          <w:b/>
          <w:sz w:val="28"/>
        </w:rPr>
        <w:t xml:space="preserve">consulted </w:t>
      </w:r>
      <w:r w:rsidRPr="008627A1">
        <w:rPr>
          <w:rFonts w:eastAsiaTheme="minorEastAsia"/>
          <w:b/>
          <w:sz w:val="28"/>
        </w:rPr>
        <w:t>to extract evidence for scoring each indicator</w:t>
      </w:r>
    </w:p>
    <w:tbl>
      <w:tblPr>
        <w:tblStyle w:val="TableGrid"/>
        <w:tblW w:w="95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78"/>
        <w:gridCol w:w="4657"/>
      </w:tblGrid>
      <w:tr w:rsidR="004833E6" w:rsidRPr="008627A1" w14:paraId="11F76C9C" w14:textId="77777777" w:rsidTr="000310F5">
        <w:trPr>
          <w:trHeight w:val="283"/>
        </w:trPr>
        <w:tc>
          <w:tcPr>
            <w:tcW w:w="4878" w:type="dxa"/>
            <w:shd w:val="clear" w:color="auto" w:fill="EEECE1" w:themeFill="background2"/>
          </w:tcPr>
          <w:p w14:paraId="41484B8C" w14:textId="77777777" w:rsidR="004833E6" w:rsidRPr="008627A1" w:rsidRDefault="004833E6" w:rsidP="000310F5">
            <w:pPr>
              <w:spacing w:before="0"/>
              <w:ind w:left="0"/>
              <w:jc w:val="left"/>
              <w:rPr>
                <w:rFonts w:cstheme="minorHAnsi"/>
                <w:b/>
                <w:sz w:val="20"/>
                <w:szCs w:val="20"/>
              </w:rPr>
            </w:pPr>
            <w:r w:rsidRPr="008627A1">
              <w:rPr>
                <w:rFonts w:cstheme="minorHAnsi"/>
                <w:b/>
                <w:sz w:val="20"/>
                <w:szCs w:val="20"/>
              </w:rPr>
              <w:t>Indicator/dimension</w:t>
            </w:r>
          </w:p>
        </w:tc>
        <w:tc>
          <w:tcPr>
            <w:tcW w:w="4657" w:type="dxa"/>
            <w:shd w:val="clear" w:color="auto" w:fill="EEECE1" w:themeFill="background2"/>
          </w:tcPr>
          <w:p w14:paraId="0D87132D" w14:textId="77777777" w:rsidR="004833E6" w:rsidRPr="008627A1" w:rsidRDefault="004833E6" w:rsidP="000310F5">
            <w:pPr>
              <w:spacing w:before="0"/>
              <w:ind w:left="0"/>
              <w:jc w:val="left"/>
              <w:rPr>
                <w:rFonts w:cstheme="minorHAnsi"/>
                <w:b/>
                <w:sz w:val="20"/>
                <w:szCs w:val="20"/>
              </w:rPr>
            </w:pPr>
            <w:r w:rsidRPr="008627A1">
              <w:rPr>
                <w:rFonts w:cstheme="minorHAnsi"/>
                <w:b/>
                <w:sz w:val="20"/>
                <w:szCs w:val="20"/>
              </w:rPr>
              <w:t xml:space="preserve">Data Sources </w:t>
            </w:r>
          </w:p>
        </w:tc>
      </w:tr>
      <w:tr w:rsidR="004833E6" w:rsidRPr="008627A1" w14:paraId="2AA744AE" w14:textId="77777777" w:rsidTr="00CE5ED9">
        <w:tc>
          <w:tcPr>
            <w:tcW w:w="9535" w:type="dxa"/>
            <w:gridSpan w:val="2"/>
            <w:shd w:val="clear" w:color="auto" w:fill="569AB3"/>
          </w:tcPr>
          <w:p w14:paraId="5C0E462E" w14:textId="77777777" w:rsidR="004833E6" w:rsidRPr="008627A1" w:rsidRDefault="004833E6" w:rsidP="000310F5">
            <w:pPr>
              <w:spacing w:before="0"/>
              <w:ind w:left="0"/>
              <w:jc w:val="left"/>
              <w:rPr>
                <w:rFonts w:cstheme="minorHAnsi"/>
                <w:sz w:val="20"/>
                <w:szCs w:val="20"/>
              </w:rPr>
            </w:pPr>
            <w:r w:rsidRPr="008627A1">
              <w:rPr>
                <w:rFonts w:cstheme="minorHAnsi"/>
                <w:b/>
                <w:bCs/>
                <w:sz w:val="20"/>
                <w:szCs w:val="20"/>
              </w:rPr>
              <w:t>Budget reliability</w:t>
            </w:r>
          </w:p>
        </w:tc>
      </w:tr>
      <w:tr w:rsidR="004833E6" w:rsidRPr="00F13C19" w14:paraId="7951459C" w14:textId="77777777" w:rsidTr="00CE5ED9">
        <w:tc>
          <w:tcPr>
            <w:tcW w:w="4878" w:type="dxa"/>
          </w:tcPr>
          <w:p w14:paraId="6E028540" w14:textId="77777777" w:rsidR="004833E6" w:rsidRPr="00117D3D" w:rsidRDefault="004833E6" w:rsidP="000310F5">
            <w:pPr>
              <w:spacing w:before="0"/>
              <w:ind w:left="0" w:right="116"/>
              <w:jc w:val="left"/>
              <w:rPr>
                <w:rFonts w:cstheme="minorHAnsi"/>
                <w:b/>
                <w:bCs/>
                <w:sz w:val="18"/>
                <w:szCs w:val="18"/>
              </w:rPr>
            </w:pPr>
            <w:r w:rsidRPr="00117D3D">
              <w:rPr>
                <w:rFonts w:cstheme="minorHAnsi"/>
                <w:b/>
                <w:bCs/>
                <w:sz w:val="18"/>
                <w:szCs w:val="18"/>
              </w:rPr>
              <w:t>PI-1. Aggregate expenditure outturn</w:t>
            </w:r>
          </w:p>
        </w:tc>
        <w:tc>
          <w:tcPr>
            <w:tcW w:w="4657" w:type="dxa"/>
            <w:vMerge w:val="restart"/>
          </w:tcPr>
          <w:p w14:paraId="71BED15F" w14:textId="77777777" w:rsidR="004833E6"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State Budget Law 2016</w:t>
            </w:r>
          </w:p>
          <w:p w14:paraId="407323B8" w14:textId="77777777" w:rsidR="004833E6" w:rsidRPr="00F13C19" w:rsidRDefault="004833E6" w:rsidP="000310F5">
            <w:pPr>
              <w:widowControl w:val="0"/>
              <w:tabs>
                <w:tab w:val="left" w:pos="463"/>
              </w:tabs>
              <w:spacing w:before="0"/>
              <w:ind w:left="0" w:right="116"/>
              <w:jc w:val="left"/>
              <w:rPr>
                <w:rFonts w:cstheme="minorHAnsi"/>
                <w:spacing w:val="-1"/>
                <w:sz w:val="18"/>
                <w:szCs w:val="18"/>
              </w:rPr>
            </w:pPr>
            <w:r w:rsidRPr="00F13C19">
              <w:rPr>
                <w:rFonts w:cstheme="minorHAnsi"/>
                <w:spacing w:val="-1"/>
                <w:sz w:val="18"/>
                <w:szCs w:val="18"/>
              </w:rPr>
              <w:t>State Budget Plan for the Fiscal year 2013-2014, As adopted by the 5th Ordinary Session of the National Assembly, Legislature Vii, Date July 21, 2013.</w:t>
            </w:r>
          </w:p>
          <w:p w14:paraId="1C2E2D93" w14:textId="77777777" w:rsidR="004833E6" w:rsidRPr="00F13C19" w:rsidRDefault="004833E6" w:rsidP="000310F5">
            <w:pPr>
              <w:widowControl w:val="0"/>
              <w:tabs>
                <w:tab w:val="left" w:pos="463"/>
              </w:tabs>
              <w:spacing w:before="0"/>
              <w:ind w:left="0" w:right="116"/>
              <w:jc w:val="left"/>
              <w:rPr>
                <w:rFonts w:cstheme="minorHAnsi"/>
                <w:spacing w:val="-1"/>
                <w:sz w:val="18"/>
                <w:szCs w:val="18"/>
              </w:rPr>
            </w:pPr>
            <w:r w:rsidRPr="00F13C19">
              <w:rPr>
                <w:rFonts w:cstheme="minorHAnsi"/>
                <w:spacing w:val="-1"/>
                <w:sz w:val="18"/>
                <w:szCs w:val="18"/>
              </w:rPr>
              <w:t>State Budget Plan for the Fiscal year 2014-2015, As adopted by the 7th Ordinary Session of the National Assembly, Legislature Vii, Date July 21, 2014</w:t>
            </w:r>
          </w:p>
          <w:p w14:paraId="3297312D" w14:textId="77777777" w:rsidR="004833E6" w:rsidRPr="00F13C19" w:rsidRDefault="004833E6" w:rsidP="000310F5">
            <w:pPr>
              <w:widowControl w:val="0"/>
              <w:tabs>
                <w:tab w:val="left" w:pos="463"/>
              </w:tabs>
              <w:spacing w:before="0"/>
              <w:ind w:left="0" w:right="116"/>
              <w:jc w:val="left"/>
              <w:rPr>
                <w:rFonts w:cstheme="minorHAnsi"/>
                <w:spacing w:val="-1"/>
                <w:sz w:val="18"/>
                <w:szCs w:val="18"/>
              </w:rPr>
            </w:pPr>
            <w:r w:rsidRPr="00F13C19">
              <w:rPr>
                <w:rFonts w:cstheme="minorHAnsi"/>
                <w:spacing w:val="-1"/>
                <w:sz w:val="18"/>
                <w:szCs w:val="18"/>
              </w:rPr>
              <w:t>State Budget Revenue &amp; Expenditure Plan for 2017 (MoF website)</w:t>
            </w:r>
          </w:p>
          <w:p w14:paraId="6D465DD7" w14:textId="77777777" w:rsidR="004833E6" w:rsidRPr="00F13C19" w:rsidRDefault="004833E6" w:rsidP="000310F5">
            <w:pPr>
              <w:widowControl w:val="0"/>
              <w:tabs>
                <w:tab w:val="left" w:pos="463"/>
              </w:tabs>
              <w:spacing w:before="0"/>
              <w:ind w:left="0" w:right="116"/>
              <w:jc w:val="left"/>
              <w:rPr>
                <w:rFonts w:cstheme="minorHAnsi"/>
                <w:spacing w:val="-1"/>
                <w:sz w:val="18"/>
                <w:szCs w:val="18"/>
              </w:rPr>
            </w:pPr>
            <w:r w:rsidRPr="00F13C19">
              <w:rPr>
                <w:rFonts w:cstheme="minorHAnsi"/>
                <w:spacing w:val="-1"/>
                <w:sz w:val="18"/>
                <w:szCs w:val="18"/>
              </w:rPr>
              <w:t>State Budget Revenue &amp; Expenditure Plan for 2018 (MoF website)</w:t>
            </w:r>
          </w:p>
          <w:p w14:paraId="3F8B00C9" w14:textId="77777777" w:rsidR="004833E6" w:rsidRPr="00F13C19" w:rsidRDefault="004833E6" w:rsidP="000310F5">
            <w:pPr>
              <w:widowControl w:val="0"/>
              <w:tabs>
                <w:tab w:val="left" w:pos="463"/>
              </w:tabs>
              <w:spacing w:before="0"/>
              <w:ind w:left="0" w:right="116"/>
              <w:jc w:val="left"/>
              <w:rPr>
                <w:rFonts w:cstheme="minorHAnsi"/>
                <w:spacing w:val="-1"/>
                <w:sz w:val="18"/>
                <w:szCs w:val="18"/>
              </w:rPr>
            </w:pPr>
            <w:r w:rsidRPr="00F13C19">
              <w:rPr>
                <w:rFonts w:cstheme="minorHAnsi"/>
                <w:spacing w:val="-1"/>
                <w:sz w:val="18"/>
                <w:szCs w:val="18"/>
              </w:rPr>
              <w:t>State Budget implementation reports produced by MoF from 2014-15 to 2017 and data received from MoF Budget department</w:t>
            </w:r>
          </w:p>
          <w:p w14:paraId="52A9E647" w14:textId="77777777" w:rsidR="004833E6" w:rsidRPr="00F13C19" w:rsidRDefault="004833E6" w:rsidP="000310F5">
            <w:pPr>
              <w:pStyle w:val="TableParagraph"/>
              <w:spacing w:before="0"/>
              <w:ind w:left="0" w:right="116"/>
              <w:rPr>
                <w:rFonts w:eastAsia="Calibri" w:cstheme="minorHAnsi"/>
                <w:sz w:val="18"/>
                <w:szCs w:val="18"/>
              </w:rPr>
            </w:pPr>
            <w:r w:rsidRPr="00F13C19">
              <w:rPr>
                <w:rFonts w:eastAsia="Calibri" w:cstheme="minorHAnsi"/>
                <w:sz w:val="18"/>
                <w:szCs w:val="18"/>
              </w:rPr>
              <w:t>Fiscal data from Government Annual Finance Statistics Annual Report for 2013-14, 2014-15 and 2015-2016 and MoF Budget department data.</w:t>
            </w:r>
          </w:p>
          <w:p w14:paraId="5AF401AA" w14:textId="77777777" w:rsidR="004833E6" w:rsidRPr="00F13C19" w:rsidRDefault="004833E6" w:rsidP="000310F5">
            <w:pPr>
              <w:pStyle w:val="TableParagraph"/>
              <w:spacing w:before="0"/>
              <w:ind w:left="0" w:right="116"/>
              <w:rPr>
                <w:rFonts w:eastAsia="Calibri" w:cstheme="minorHAnsi"/>
                <w:sz w:val="18"/>
                <w:szCs w:val="18"/>
              </w:rPr>
            </w:pPr>
            <w:r w:rsidRPr="00F13C19">
              <w:rPr>
                <w:rFonts w:eastAsia="Calibri" w:cstheme="minorHAnsi"/>
                <w:sz w:val="18"/>
                <w:szCs w:val="18"/>
              </w:rPr>
              <w:t>State Budget Expenditure Plan for Local level 2018 (in MoF website)</w:t>
            </w:r>
          </w:p>
          <w:p w14:paraId="5DF0C8B9" w14:textId="77777777" w:rsidR="004833E6" w:rsidRPr="00F13C19" w:rsidRDefault="004833E6" w:rsidP="000310F5">
            <w:pPr>
              <w:pStyle w:val="TableParagraph"/>
              <w:spacing w:before="0"/>
              <w:ind w:left="0" w:right="116"/>
              <w:rPr>
                <w:rFonts w:cstheme="minorHAnsi"/>
                <w:spacing w:val="-1"/>
                <w:sz w:val="18"/>
                <w:szCs w:val="18"/>
              </w:rPr>
            </w:pPr>
          </w:p>
        </w:tc>
      </w:tr>
      <w:tr w:rsidR="004833E6" w:rsidRPr="00F13C19" w14:paraId="36D3CF4C" w14:textId="77777777" w:rsidTr="00CE5ED9">
        <w:tc>
          <w:tcPr>
            <w:tcW w:w="4878" w:type="dxa"/>
          </w:tcPr>
          <w:p w14:paraId="3DE85ACC" w14:textId="77777777" w:rsidR="004833E6" w:rsidRPr="00F13C19" w:rsidRDefault="004833E6" w:rsidP="000310F5">
            <w:pPr>
              <w:spacing w:before="0"/>
              <w:ind w:left="0" w:right="116"/>
              <w:jc w:val="left"/>
              <w:rPr>
                <w:rFonts w:cstheme="minorHAnsi"/>
                <w:bCs/>
                <w:sz w:val="18"/>
                <w:szCs w:val="18"/>
              </w:rPr>
            </w:pPr>
            <w:r w:rsidRPr="00F13C19">
              <w:rPr>
                <w:rFonts w:cstheme="minorHAnsi"/>
                <w:bCs/>
                <w:sz w:val="18"/>
                <w:szCs w:val="18"/>
              </w:rPr>
              <w:t>1.1. Aggregate expenditure outturn</w:t>
            </w:r>
          </w:p>
        </w:tc>
        <w:tc>
          <w:tcPr>
            <w:tcW w:w="4657" w:type="dxa"/>
            <w:vMerge/>
          </w:tcPr>
          <w:p w14:paraId="15F017F5"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p>
        </w:tc>
      </w:tr>
      <w:tr w:rsidR="004833E6" w:rsidRPr="00F13C19" w14:paraId="13063991" w14:textId="77777777" w:rsidTr="00CE5ED9">
        <w:trPr>
          <w:trHeight w:val="206"/>
        </w:trPr>
        <w:tc>
          <w:tcPr>
            <w:tcW w:w="4878" w:type="dxa"/>
          </w:tcPr>
          <w:p w14:paraId="76C46069" w14:textId="77777777" w:rsidR="004833E6" w:rsidRPr="00117D3D" w:rsidRDefault="004833E6" w:rsidP="000310F5">
            <w:pPr>
              <w:spacing w:before="0"/>
              <w:ind w:left="0" w:right="116"/>
              <w:jc w:val="left"/>
              <w:rPr>
                <w:rFonts w:cstheme="minorHAnsi"/>
                <w:b/>
                <w:bCs/>
                <w:sz w:val="18"/>
                <w:szCs w:val="18"/>
              </w:rPr>
            </w:pPr>
            <w:r w:rsidRPr="00117D3D">
              <w:rPr>
                <w:rFonts w:cstheme="minorHAnsi"/>
                <w:b/>
                <w:bCs/>
                <w:sz w:val="18"/>
                <w:szCs w:val="18"/>
              </w:rPr>
              <w:t>PI-2. Expenditure composition outturn</w:t>
            </w:r>
          </w:p>
        </w:tc>
        <w:tc>
          <w:tcPr>
            <w:tcW w:w="4657" w:type="dxa"/>
            <w:vMerge/>
          </w:tcPr>
          <w:p w14:paraId="66B3991F" w14:textId="77777777" w:rsidR="004833E6" w:rsidRPr="00F13C19" w:rsidRDefault="004833E6" w:rsidP="000310F5">
            <w:pPr>
              <w:pStyle w:val="TableParagraph"/>
              <w:spacing w:before="0"/>
              <w:ind w:left="0" w:right="116"/>
              <w:rPr>
                <w:rFonts w:eastAsia="Calibri" w:cstheme="minorHAnsi"/>
                <w:sz w:val="18"/>
                <w:szCs w:val="18"/>
              </w:rPr>
            </w:pPr>
          </w:p>
        </w:tc>
      </w:tr>
      <w:tr w:rsidR="004833E6" w:rsidRPr="00F13C19" w14:paraId="2F7A9591" w14:textId="77777777" w:rsidTr="00CE5ED9">
        <w:trPr>
          <w:trHeight w:val="260"/>
        </w:trPr>
        <w:tc>
          <w:tcPr>
            <w:tcW w:w="4878" w:type="dxa"/>
          </w:tcPr>
          <w:p w14:paraId="70DB3A74" w14:textId="77777777" w:rsidR="004833E6" w:rsidRPr="00F13C19" w:rsidRDefault="004833E6" w:rsidP="000310F5">
            <w:pPr>
              <w:spacing w:before="0"/>
              <w:ind w:left="0" w:right="116"/>
              <w:jc w:val="left"/>
              <w:rPr>
                <w:rFonts w:cstheme="minorHAnsi"/>
                <w:bCs/>
                <w:sz w:val="18"/>
                <w:szCs w:val="18"/>
              </w:rPr>
            </w:pPr>
            <w:r w:rsidRPr="00F13C19">
              <w:rPr>
                <w:rFonts w:cstheme="minorHAnsi"/>
                <w:bCs/>
                <w:sz w:val="18"/>
                <w:szCs w:val="18"/>
              </w:rPr>
              <w:t>2.1. Expenditure composition outturn by function</w:t>
            </w:r>
          </w:p>
        </w:tc>
        <w:tc>
          <w:tcPr>
            <w:tcW w:w="4657" w:type="dxa"/>
            <w:vMerge/>
          </w:tcPr>
          <w:p w14:paraId="255E589F" w14:textId="77777777" w:rsidR="004833E6" w:rsidRPr="00F13C19" w:rsidRDefault="004833E6" w:rsidP="000310F5">
            <w:pPr>
              <w:spacing w:before="0"/>
              <w:ind w:left="0" w:right="116"/>
              <w:jc w:val="left"/>
              <w:rPr>
                <w:rFonts w:cstheme="minorHAnsi"/>
                <w:sz w:val="18"/>
                <w:szCs w:val="18"/>
              </w:rPr>
            </w:pPr>
          </w:p>
        </w:tc>
      </w:tr>
      <w:tr w:rsidR="004833E6" w:rsidRPr="00F13C19" w14:paraId="0915BC38" w14:textId="77777777" w:rsidTr="00CE5ED9">
        <w:trPr>
          <w:trHeight w:val="170"/>
        </w:trPr>
        <w:tc>
          <w:tcPr>
            <w:tcW w:w="4878" w:type="dxa"/>
          </w:tcPr>
          <w:p w14:paraId="0CC8B24C" w14:textId="77777777" w:rsidR="004833E6" w:rsidRPr="00F13C19" w:rsidRDefault="004833E6" w:rsidP="000310F5">
            <w:pPr>
              <w:autoSpaceDE w:val="0"/>
              <w:autoSpaceDN w:val="0"/>
              <w:adjustRightInd w:val="0"/>
              <w:spacing w:before="0"/>
              <w:ind w:left="0" w:right="116"/>
              <w:jc w:val="left"/>
              <w:rPr>
                <w:rFonts w:cstheme="minorHAnsi"/>
                <w:bCs/>
                <w:sz w:val="18"/>
                <w:szCs w:val="18"/>
              </w:rPr>
            </w:pPr>
            <w:r w:rsidRPr="00F13C19">
              <w:rPr>
                <w:rFonts w:cstheme="minorHAnsi"/>
                <w:bCs/>
                <w:sz w:val="18"/>
                <w:szCs w:val="18"/>
              </w:rPr>
              <w:t>2.2. Expenditure composition outturn by economic type</w:t>
            </w:r>
          </w:p>
        </w:tc>
        <w:tc>
          <w:tcPr>
            <w:tcW w:w="4657" w:type="dxa"/>
            <w:vMerge/>
          </w:tcPr>
          <w:p w14:paraId="0A6CC031" w14:textId="77777777" w:rsidR="004833E6" w:rsidRPr="00F13C19" w:rsidRDefault="004833E6" w:rsidP="000310F5">
            <w:pPr>
              <w:spacing w:before="0"/>
              <w:ind w:left="0" w:right="116"/>
              <w:jc w:val="left"/>
              <w:rPr>
                <w:rFonts w:cstheme="minorHAnsi"/>
                <w:sz w:val="18"/>
                <w:szCs w:val="18"/>
              </w:rPr>
            </w:pPr>
          </w:p>
        </w:tc>
      </w:tr>
      <w:tr w:rsidR="004833E6" w:rsidRPr="00F13C19" w14:paraId="5303B33B" w14:textId="77777777" w:rsidTr="00CE5ED9">
        <w:trPr>
          <w:trHeight w:val="242"/>
        </w:trPr>
        <w:tc>
          <w:tcPr>
            <w:tcW w:w="4878" w:type="dxa"/>
          </w:tcPr>
          <w:p w14:paraId="21E26E76" w14:textId="77777777" w:rsidR="004833E6" w:rsidRPr="00F13C19" w:rsidRDefault="004833E6" w:rsidP="000310F5">
            <w:pPr>
              <w:spacing w:before="0"/>
              <w:ind w:left="0" w:right="116"/>
              <w:jc w:val="left"/>
              <w:rPr>
                <w:rFonts w:cstheme="minorHAnsi"/>
                <w:bCs/>
                <w:sz w:val="18"/>
                <w:szCs w:val="18"/>
              </w:rPr>
            </w:pPr>
            <w:r w:rsidRPr="00F13C19">
              <w:rPr>
                <w:rFonts w:cstheme="minorHAnsi"/>
                <w:bCs/>
                <w:sz w:val="18"/>
                <w:szCs w:val="18"/>
              </w:rPr>
              <w:t>2.3. Expenditure from contingency reserves</w:t>
            </w:r>
          </w:p>
        </w:tc>
        <w:tc>
          <w:tcPr>
            <w:tcW w:w="4657" w:type="dxa"/>
            <w:vMerge/>
          </w:tcPr>
          <w:p w14:paraId="06B46E9A" w14:textId="77777777" w:rsidR="004833E6" w:rsidRPr="00F13C19" w:rsidRDefault="004833E6" w:rsidP="000310F5">
            <w:pPr>
              <w:spacing w:before="0"/>
              <w:ind w:left="0" w:right="116"/>
              <w:jc w:val="left"/>
              <w:rPr>
                <w:rFonts w:cstheme="minorHAnsi"/>
                <w:sz w:val="18"/>
                <w:szCs w:val="18"/>
              </w:rPr>
            </w:pPr>
          </w:p>
        </w:tc>
      </w:tr>
      <w:tr w:rsidR="004833E6" w:rsidRPr="00F13C19" w14:paraId="50B5B322" w14:textId="77777777" w:rsidTr="00CE5ED9">
        <w:tc>
          <w:tcPr>
            <w:tcW w:w="4878" w:type="dxa"/>
          </w:tcPr>
          <w:p w14:paraId="4FFFBB7E" w14:textId="77777777" w:rsidR="004833E6" w:rsidRPr="00117D3D" w:rsidRDefault="004833E6" w:rsidP="000310F5">
            <w:pPr>
              <w:spacing w:before="0"/>
              <w:ind w:left="0" w:right="116"/>
              <w:jc w:val="left"/>
              <w:rPr>
                <w:rFonts w:cstheme="minorHAnsi"/>
                <w:b/>
                <w:sz w:val="18"/>
                <w:szCs w:val="18"/>
              </w:rPr>
            </w:pPr>
            <w:r w:rsidRPr="00117D3D">
              <w:rPr>
                <w:rFonts w:cstheme="minorHAnsi"/>
                <w:b/>
                <w:bCs/>
                <w:sz w:val="18"/>
                <w:szCs w:val="18"/>
              </w:rPr>
              <w:t>PI-3. Revenue outturn</w:t>
            </w:r>
          </w:p>
        </w:tc>
        <w:tc>
          <w:tcPr>
            <w:tcW w:w="4657" w:type="dxa"/>
            <w:vMerge/>
            <w:vAlign w:val="center"/>
          </w:tcPr>
          <w:p w14:paraId="20C8C18B" w14:textId="77777777" w:rsidR="004833E6" w:rsidRPr="00F13C19" w:rsidRDefault="004833E6" w:rsidP="000310F5">
            <w:pPr>
              <w:spacing w:before="0"/>
              <w:ind w:left="0" w:right="116"/>
              <w:jc w:val="left"/>
              <w:rPr>
                <w:rFonts w:cstheme="minorHAnsi"/>
                <w:sz w:val="18"/>
                <w:szCs w:val="18"/>
              </w:rPr>
            </w:pPr>
          </w:p>
        </w:tc>
      </w:tr>
      <w:tr w:rsidR="004833E6" w:rsidRPr="00F13C19" w14:paraId="672E32C9" w14:textId="77777777" w:rsidTr="00CE5ED9">
        <w:tc>
          <w:tcPr>
            <w:tcW w:w="4878" w:type="dxa"/>
          </w:tcPr>
          <w:p w14:paraId="65A5FDAF"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3.1. Aggregate revenue outturn</w:t>
            </w:r>
          </w:p>
        </w:tc>
        <w:tc>
          <w:tcPr>
            <w:tcW w:w="4657" w:type="dxa"/>
            <w:vMerge/>
            <w:vAlign w:val="center"/>
          </w:tcPr>
          <w:p w14:paraId="2C0216B7" w14:textId="77777777" w:rsidR="004833E6" w:rsidRPr="00F13C19" w:rsidRDefault="004833E6" w:rsidP="000310F5">
            <w:pPr>
              <w:spacing w:before="0"/>
              <w:ind w:left="0" w:right="116"/>
              <w:jc w:val="left"/>
              <w:rPr>
                <w:rFonts w:cstheme="minorHAnsi"/>
                <w:sz w:val="18"/>
                <w:szCs w:val="18"/>
              </w:rPr>
            </w:pPr>
          </w:p>
        </w:tc>
      </w:tr>
      <w:tr w:rsidR="004833E6" w:rsidRPr="00F13C19" w14:paraId="234951D5" w14:textId="77777777" w:rsidTr="00CE5ED9">
        <w:tc>
          <w:tcPr>
            <w:tcW w:w="4878" w:type="dxa"/>
          </w:tcPr>
          <w:p w14:paraId="725F2DB8"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3.2. Revenue composition outturn</w:t>
            </w:r>
          </w:p>
        </w:tc>
        <w:tc>
          <w:tcPr>
            <w:tcW w:w="4657" w:type="dxa"/>
            <w:vMerge/>
            <w:vAlign w:val="center"/>
          </w:tcPr>
          <w:p w14:paraId="4869F0D7" w14:textId="77777777" w:rsidR="004833E6" w:rsidRPr="00F13C19" w:rsidRDefault="004833E6" w:rsidP="000310F5">
            <w:pPr>
              <w:spacing w:before="0"/>
              <w:ind w:left="0" w:right="116"/>
              <w:jc w:val="left"/>
              <w:rPr>
                <w:rFonts w:cstheme="minorHAnsi"/>
                <w:sz w:val="18"/>
                <w:szCs w:val="18"/>
              </w:rPr>
            </w:pPr>
          </w:p>
        </w:tc>
      </w:tr>
      <w:tr w:rsidR="004833E6" w:rsidRPr="00F13C19" w14:paraId="5FE6AEB3" w14:textId="77777777" w:rsidTr="00CE5ED9">
        <w:tc>
          <w:tcPr>
            <w:tcW w:w="9535" w:type="dxa"/>
            <w:gridSpan w:val="2"/>
            <w:shd w:val="clear" w:color="auto" w:fill="28C0DA"/>
            <w:vAlign w:val="bottom"/>
          </w:tcPr>
          <w:p w14:paraId="4ED5172B"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t>Transparency of public finances</w:t>
            </w:r>
          </w:p>
        </w:tc>
      </w:tr>
      <w:tr w:rsidR="004833E6" w:rsidRPr="00F13C19" w14:paraId="22978897" w14:textId="77777777" w:rsidTr="00CE5ED9">
        <w:tc>
          <w:tcPr>
            <w:tcW w:w="4878" w:type="dxa"/>
          </w:tcPr>
          <w:p w14:paraId="2FC90051" w14:textId="77777777" w:rsidR="004833E6" w:rsidRPr="00117D3D" w:rsidRDefault="004833E6" w:rsidP="000310F5">
            <w:pPr>
              <w:spacing w:before="0"/>
              <w:ind w:left="0" w:right="116"/>
              <w:jc w:val="left"/>
              <w:rPr>
                <w:rFonts w:cstheme="minorHAnsi"/>
                <w:b/>
                <w:sz w:val="18"/>
                <w:szCs w:val="18"/>
              </w:rPr>
            </w:pPr>
            <w:r w:rsidRPr="00117D3D">
              <w:rPr>
                <w:rFonts w:cstheme="minorHAnsi"/>
                <w:b/>
                <w:bCs/>
                <w:sz w:val="18"/>
                <w:szCs w:val="18"/>
              </w:rPr>
              <w:t xml:space="preserve">PI-4. </w:t>
            </w:r>
            <w:r w:rsidRPr="00117D3D">
              <w:rPr>
                <w:rFonts w:cstheme="minorHAnsi"/>
                <w:b/>
                <w:sz w:val="18"/>
                <w:szCs w:val="18"/>
              </w:rPr>
              <w:t>Budget classification</w:t>
            </w:r>
          </w:p>
          <w:p w14:paraId="4D1DDD7F" w14:textId="77777777" w:rsidR="004833E6" w:rsidRPr="00F13C19" w:rsidRDefault="004833E6" w:rsidP="000310F5">
            <w:pPr>
              <w:spacing w:before="0"/>
              <w:ind w:left="0" w:right="116"/>
              <w:jc w:val="left"/>
              <w:rPr>
                <w:rFonts w:cstheme="minorHAnsi"/>
                <w:sz w:val="18"/>
                <w:szCs w:val="18"/>
              </w:rPr>
            </w:pPr>
          </w:p>
        </w:tc>
        <w:tc>
          <w:tcPr>
            <w:tcW w:w="4657" w:type="dxa"/>
            <w:vMerge w:val="restart"/>
          </w:tcPr>
          <w:p w14:paraId="0DC72236" w14:textId="77777777" w:rsidR="004833E6" w:rsidRDefault="004833E6" w:rsidP="000310F5">
            <w:pPr>
              <w:autoSpaceDE w:val="0"/>
              <w:autoSpaceDN w:val="0"/>
              <w:adjustRightInd w:val="0"/>
              <w:spacing w:before="0"/>
              <w:ind w:left="0" w:right="116"/>
              <w:jc w:val="left"/>
              <w:rPr>
                <w:rFonts w:eastAsia="Calibri" w:cstheme="minorHAnsi"/>
                <w:sz w:val="18"/>
                <w:szCs w:val="18"/>
              </w:rPr>
            </w:pPr>
            <w:r>
              <w:rPr>
                <w:rFonts w:eastAsia="Calibri" w:cstheme="minorHAnsi"/>
                <w:sz w:val="18"/>
                <w:szCs w:val="18"/>
              </w:rPr>
              <w:t>GFIS documentation form Treasury dept</w:t>
            </w:r>
          </w:p>
          <w:p w14:paraId="2B7839A0"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F13C19">
              <w:rPr>
                <w:rFonts w:eastAsia="Calibri" w:cstheme="minorHAnsi"/>
                <w:sz w:val="18"/>
                <w:szCs w:val="18"/>
              </w:rPr>
              <w:t>WYG reports:  Transition Planning for Upgrade of GFIS and COTS based FMIS Acquisition, September 2017 and Transition Planning for Upgrade of GFIS and COTS based FMIS Acquisition, October 2017, Updated Business Process Maps and Proposed Changes 2017, October 2017 and Business Process Maps, Proposed Changes and Requirements for Treasury Information Management System (TIMS). November 2012.</w:t>
            </w:r>
          </w:p>
          <w:p w14:paraId="3E4777F5"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F13C19">
              <w:rPr>
                <w:rFonts w:eastAsia="Calibri" w:cstheme="minorHAnsi"/>
                <w:sz w:val="18"/>
                <w:szCs w:val="18"/>
              </w:rPr>
              <w:t>Foreign Aid Implementation Report (FAIR)</w:t>
            </w:r>
          </w:p>
          <w:p w14:paraId="56D1BAC2"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F13C19">
              <w:rPr>
                <w:rFonts w:eastAsia="Calibri" w:cstheme="minorHAnsi"/>
                <w:sz w:val="18"/>
                <w:szCs w:val="18"/>
              </w:rPr>
              <w:t>“2017 Semi-Annual Progress and 2018 Estimation”, International Cooperation department, MPI</w:t>
            </w:r>
          </w:p>
          <w:p w14:paraId="46F68CA0"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F13C19">
              <w:rPr>
                <w:rFonts w:eastAsia="Calibri" w:cstheme="minorHAnsi"/>
                <w:sz w:val="18"/>
                <w:szCs w:val="18"/>
              </w:rPr>
              <w:t>Guideline for Public Accounting 2015-2016, MoF</w:t>
            </w:r>
          </w:p>
          <w:p w14:paraId="7B7DC265"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F13C19">
              <w:rPr>
                <w:rFonts w:eastAsia="Calibri" w:cstheme="minorHAnsi"/>
                <w:sz w:val="18"/>
                <w:szCs w:val="18"/>
              </w:rPr>
              <w:t>Amended Accounting Law, December 2013, 47/NA</w:t>
            </w:r>
          </w:p>
        </w:tc>
      </w:tr>
      <w:tr w:rsidR="004833E6" w:rsidRPr="00F13C19" w14:paraId="04AC4D21" w14:textId="77777777" w:rsidTr="00CE5ED9">
        <w:tc>
          <w:tcPr>
            <w:tcW w:w="4878" w:type="dxa"/>
          </w:tcPr>
          <w:p w14:paraId="2A5FD1E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4.1 Budget classification</w:t>
            </w:r>
          </w:p>
        </w:tc>
        <w:tc>
          <w:tcPr>
            <w:tcW w:w="4657" w:type="dxa"/>
            <w:vMerge/>
          </w:tcPr>
          <w:p w14:paraId="3904B54E"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p>
        </w:tc>
      </w:tr>
      <w:tr w:rsidR="004833E6" w:rsidRPr="00F13C19" w14:paraId="5034AAAC" w14:textId="77777777" w:rsidTr="00CE5ED9">
        <w:tc>
          <w:tcPr>
            <w:tcW w:w="4878" w:type="dxa"/>
          </w:tcPr>
          <w:p w14:paraId="61178BA8" w14:textId="77777777" w:rsidR="004833E6" w:rsidRPr="00117D3D" w:rsidRDefault="004833E6" w:rsidP="000310F5">
            <w:pPr>
              <w:spacing w:before="0"/>
              <w:ind w:left="0" w:right="116"/>
              <w:jc w:val="left"/>
              <w:rPr>
                <w:rFonts w:cstheme="minorHAnsi"/>
                <w:b/>
                <w:sz w:val="18"/>
                <w:szCs w:val="18"/>
                <w:lang w:val="fr-FR"/>
              </w:rPr>
            </w:pPr>
            <w:r w:rsidRPr="00117D3D">
              <w:rPr>
                <w:rFonts w:cstheme="minorHAnsi"/>
                <w:b/>
                <w:bCs/>
                <w:sz w:val="18"/>
                <w:szCs w:val="18"/>
                <w:lang w:val="fr-FR"/>
              </w:rPr>
              <w:t xml:space="preserve">PI-5. </w:t>
            </w:r>
            <w:r w:rsidRPr="00117D3D">
              <w:rPr>
                <w:rFonts w:cstheme="minorHAnsi"/>
                <w:b/>
                <w:sz w:val="18"/>
                <w:szCs w:val="18"/>
                <w:lang w:val="fr-FR"/>
              </w:rPr>
              <w:t>Budget documentation</w:t>
            </w:r>
          </w:p>
        </w:tc>
        <w:tc>
          <w:tcPr>
            <w:tcW w:w="4657" w:type="dxa"/>
            <w:vMerge w:val="restart"/>
          </w:tcPr>
          <w:p w14:paraId="5F558D5D" w14:textId="77777777" w:rsidR="004833E6" w:rsidRDefault="004833E6" w:rsidP="000310F5">
            <w:pPr>
              <w:autoSpaceDE w:val="0"/>
              <w:autoSpaceDN w:val="0"/>
              <w:adjustRightInd w:val="0"/>
              <w:spacing w:before="0"/>
              <w:ind w:left="0" w:right="116"/>
              <w:jc w:val="left"/>
              <w:rPr>
                <w:rFonts w:eastAsia="Calibri" w:cstheme="minorHAnsi"/>
                <w:sz w:val="18"/>
                <w:szCs w:val="18"/>
              </w:rPr>
            </w:pPr>
            <w:r>
              <w:rPr>
                <w:rFonts w:eastAsia="Calibri" w:cstheme="minorHAnsi"/>
                <w:sz w:val="18"/>
                <w:szCs w:val="18"/>
              </w:rPr>
              <w:t>State Budget plans and reports from MOF</w:t>
            </w:r>
          </w:p>
          <w:p w14:paraId="701D00C0"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NA Resolution on the approval of NSEDP implementation report and State Budget plan and revised State Budget Plan for FY 2013-14 and Plans for FY 2014-15, No. 06 /NA</w:t>
            </w:r>
          </w:p>
          <w:p w14:paraId="23B2A908"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NA Resolution on the approvals of the reports by the government on the implementation of NSEDP, budget execution, monetary plan FY14/15 and the directions for FY15/16, no. 07/NA, July </w:t>
            </w:r>
            <w:proofErr w:type="gramStart"/>
            <w:r w:rsidRPr="00F13C19">
              <w:rPr>
                <w:rFonts w:cstheme="minorHAnsi"/>
                <w:sz w:val="18"/>
                <w:szCs w:val="18"/>
              </w:rPr>
              <w:t>21</w:t>
            </w:r>
            <w:proofErr w:type="gramEnd"/>
            <w:r w:rsidRPr="00F13C19">
              <w:rPr>
                <w:rFonts w:cstheme="minorHAnsi"/>
                <w:sz w:val="18"/>
                <w:szCs w:val="18"/>
              </w:rPr>
              <w:t xml:space="preserve"> 2015</w:t>
            </w:r>
          </w:p>
          <w:p w14:paraId="180B654F" w14:textId="77777777" w:rsidR="004833E6" w:rsidRPr="00F13C19" w:rsidRDefault="004833E6" w:rsidP="000310F5">
            <w:pPr>
              <w:widowControl w:val="0"/>
              <w:tabs>
                <w:tab w:val="left" w:pos="463"/>
              </w:tabs>
              <w:spacing w:before="0"/>
              <w:ind w:left="0" w:right="116"/>
              <w:jc w:val="left"/>
              <w:rPr>
                <w:rFonts w:eastAsia="Calibri" w:cstheme="minorHAnsi"/>
                <w:sz w:val="18"/>
                <w:szCs w:val="18"/>
                <w:lang w:val="en-MY"/>
              </w:rPr>
            </w:pPr>
            <w:r w:rsidRPr="00F13C19">
              <w:rPr>
                <w:rFonts w:eastAsia="Calibri" w:cstheme="minorHAnsi"/>
                <w:sz w:val="18"/>
                <w:szCs w:val="18"/>
                <w:lang w:val="en-MY"/>
              </w:rPr>
              <w:t xml:space="preserve">NA Resolutions on the approval of budget executions report by the government for FY15/16 and directions for 2017. No. 015/NA, Nov </w:t>
            </w:r>
            <w:proofErr w:type="gramStart"/>
            <w:r w:rsidRPr="00F13C19">
              <w:rPr>
                <w:rFonts w:eastAsia="Calibri" w:cstheme="minorHAnsi"/>
                <w:sz w:val="18"/>
                <w:szCs w:val="18"/>
                <w:lang w:val="en-MY"/>
              </w:rPr>
              <w:t>24</w:t>
            </w:r>
            <w:proofErr w:type="gramEnd"/>
            <w:r w:rsidRPr="00F13C19">
              <w:rPr>
                <w:rFonts w:eastAsia="Calibri" w:cstheme="minorHAnsi"/>
                <w:sz w:val="18"/>
                <w:szCs w:val="18"/>
                <w:lang w:val="en-MY"/>
              </w:rPr>
              <w:t xml:space="preserve"> 2016</w:t>
            </w:r>
          </w:p>
          <w:p w14:paraId="083A538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Minister's Instruction on Report on NSEDP 6 months implementation, prioritized areas for the last 6 months of 2017 and 2018 Planning preparation. No. 1489/MPI1, July 19, 2017</w:t>
            </w:r>
          </w:p>
          <w:p w14:paraId="40A334FD"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lang w:val="en-MY"/>
              </w:rPr>
              <w:t xml:space="preserve">State-Budget Proposal for FY </w:t>
            </w:r>
            <w:proofErr w:type="gramStart"/>
            <w:r w:rsidRPr="00F13C19">
              <w:rPr>
                <w:rFonts w:eastAsia="Calibri" w:cstheme="minorHAnsi"/>
                <w:sz w:val="18"/>
                <w:szCs w:val="18"/>
                <w:lang w:val="en-MY"/>
              </w:rPr>
              <w:t>2019,(</w:t>
            </w:r>
            <w:proofErr w:type="gramEnd"/>
            <w:r w:rsidRPr="00F13C19">
              <w:rPr>
                <w:rFonts w:eastAsia="Calibri" w:cstheme="minorHAnsi"/>
                <w:sz w:val="18"/>
                <w:szCs w:val="18"/>
                <w:lang w:val="en-MY"/>
              </w:rPr>
              <w:t>Report to the General Government Meeting on 17-18 September 2018</w:t>
            </w:r>
          </w:p>
        </w:tc>
      </w:tr>
      <w:tr w:rsidR="004833E6" w:rsidRPr="00F13C19" w14:paraId="4E22BA42" w14:textId="77777777" w:rsidTr="00CE5ED9">
        <w:tc>
          <w:tcPr>
            <w:tcW w:w="4878" w:type="dxa"/>
          </w:tcPr>
          <w:p w14:paraId="0F845D62" w14:textId="77777777" w:rsidR="004833E6" w:rsidRPr="00F13C19" w:rsidRDefault="004833E6" w:rsidP="000310F5">
            <w:pPr>
              <w:spacing w:before="0"/>
              <w:ind w:left="0" w:right="116"/>
              <w:jc w:val="left"/>
              <w:rPr>
                <w:rFonts w:cstheme="minorHAnsi"/>
                <w:sz w:val="18"/>
                <w:szCs w:val="18"/>
                <w:lang w:val="fr-FR"/>
              </w:rPr>
            </w:pPr>
            <w:r w:rsidRPr="00F13C19">
              <w:rPr>
                <w:rFonts w:cstheme="minorHAnsi"/>
                <w:sz w:val="18"/>
                <w:szCs w:val="18"/>
                <w:lang w:val="fr-FR"/>
              </w:rPr>
              <w:t>5.1 Budget documentation</w:t>
            </w:r>
          </w:p>
        </w:tc>
        <w:tc>
          <w:tcPr>
            <w:tcW w:w="4657" w:type="dxa"/>
            <w:vMerge/>
          </w:tcPr>
          <w:p w14:paraId="63FF245C" w14:textId="77777777" w:rsidR="004833E6" w:rsidRPr="00F13C19" w:rsidRDefault="004833E6" w:rsidP="000310F5">
            <w:pPr>
              <w:widowControl w:val="0"/>
              <w:tabs>
                <w:tab w:val="left" w:pos="463"/>
              </w:tabs>
              <w:spacing w:before="0"/>
              <w:ind w:left="0" w:right="116"/>
              <w:jc w:val="left"/>
              <w:rPr>
                <w:rFonts w:eastAsia="Calibri" w:cstheme="minorHAnsi"/>
                <w:sz w:val="18"/>
                <w:szCs w:val="18"/>
                <w:lang w:val="fr-FR"/>
              </w:rPr>
            </w:pPr>
          </w:p>
        </w:tc>
      </w:tr>
      <w:tr w:rsidR="004833E6" w:rsidRPr="00F13C19" w14:paraId="0B95F35D" w14:textId="77777777" w:rsidTr="00CE5ED9">
        <w:tc>
          <w:tcPr>
            <w:tcW w:w="4878" w:type="dxa"/>
            <w:vAlign w:val="bottom"/>
          </w:tcPr>
          <w:p w14:paraId="255051D7" w14:textId="77777777" w:rsidR="004833E6" w:rsidRPr="00117D3D" w:rsidRDefault="004833E6" w:rsidP="000310F5">
            <w:pPr>
              <w:spacing w:before="0"/>
              <w:ind w:left="0" w:right="116"/>
              <w:jc w:val="left"/>
              <w:rPr>
                <w:rFonts w:cstheme="minorHAnsi"/>
                <w:b/>
                <w:sz w:val="18"/>
                <w:szCs w:val="18"/>
              </w:rPr>
            </w:pPr>
            <w:r w:rsidRPr="00117D3D">
              <w:rPr>
                <w:rFonts w:cstheme="minorHAnsi"/>
                <w:b/>
                <w:bCs/>
                <w:sz w:val="18"/>
                <w:szCs w:val="18"/>
              </w:rPr>
              <w:t xml:space="preserve">PI-6. </w:t>
            </w:r>
            <w:r w:rsidRPr="00117D3D">
              <w:rPr>
                <w:rFonts w:cstheme="minorHAnsi"/>
                <w:b/>
                <w:sz w:val="18"/>
                <w:szCs w:val="18"/>
              </w:rPr>
              <w:t>Central government operations outside financial reports</w:t>
            </w:r>
          </w:p>
        </w:tc>
        <w:tc>
          <w:tcPr>
            <w:tcW w:w="4657" w:type="dxa"/>
            <w:vMerge w:val="restart"/>
            <w:vAlign w:val="center"/>
          </w:tcPr>
          <w:p w14:paraId="1560731C" w14:textId="77777777" w:rsidR="004833E6"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 xml:space="preserve">Data from Treasury department </w:t>
            </w:r>
          </w:p>
          <w:p w14:paraId="302CB005"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Decree on National Health Insurance, No. 470/GoL, dated 17/10/2012</w:t>
            </w:r>
          </w:p>
          <w:p w14:paraId="3D69882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Heritage Fund Decree No. 326/GoL, Date: 7/10/2014</w:t>
            </w:r>
          </w:p>
          <w:p w14:paraId="1499464B"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Decree on Environment Protection Fund, No. 94/GoL, dated 8/3/2017</w:t>
            </w:r>
          </w:p>
          <w:p w14:paraId="572A63F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lastRenderedPageBreak/>
              <w:t>PM's Decree on National Road Maintenance Fund, No 09, 15/1/2001</w:t>
            </w:r>
          </w:p>
          <w:p w14:paraId="1049E7D4"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Decree by the PM on Poverty Reduction Fund. No 10-PM Jan 10, 2012</w:t>
            </w:r>
          </w:p>
          <w:p w14:paraId="7E4F757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Social Security Law, No. 34/NA, dated July 26, 2013</w:t>
            </w:r>
          </w:p>
          <w:p w14:paraId="495A8B6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Foreign Aid Implementation Report (FAIR) Fiscal Year 2015-16 and 2017</w:t>
            </w:r>
          </w:p>
          <w:p w14:paraId="31A2F6B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proofErr w:type="spellStart"/>
            <w:r w:rsidRPr="00F13C19">
              <w:rPr>
                <w:rFonts w:eastAsia="Calibri" w:cstheme="minorHAnsi"/>
                <w:sz w:val="18"/>
                <w:szCs w:val="18"/>
              </w:rPr>
              <w:t>MoH</w:t>
            </w:r>
            <w:proofErr w:type="spellEnd"/>
            <w:r w:rsidRPr="00F13C19">
              <w:rPr>
                <w:rFonts w:eastAsia="Calibri" w:cstheme="minorHAnsi"/>
                <w:sz w:val="18"/>
                <w:szCs w:val="18"/>
              </w:rPr>
              <w:t xml:space="preserve"> Decree 470</w:t>
            </w:r>
          </w:p>
          <w:p w14:paraId="53DF8D7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Articles 55 and 56 of the Social Security Law (No. 34/NA dated 26 July 2013)</w:t>
            </w:r>
          </w:p>
          <w:p w14:paraId="4242F6E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Ministry of </w:t>
            </w:r>
            <w:proofErr w:type="spellStart"/>
            <w:r w:rsidRPr="00F13C19">
              <w:rPr>
                <w:rFonts w:eastAsia="Calibri" w:cstheme="minorHAnsi"/>
                <w:sz w:val="18"/>
                <w:szCs w:val="18"/>
              </w:rPr>
              <w:t>Labour</w:t>
            </w:r>
            <w:proofErr w:type="spellEnd"/>
            <w:r w:rsidRPr="00F13C19">
              <w:rPr>
                <w:rFonts w:eastAsia="Calibri" w:cstheme="minorHAnsi"/>
                <w:sz w:val="18"/>
                <w:szCs w:val="18"/>
              </w:rPr>
              <w:t xml:space="preserve"> and Social Welfare Decision No. 1740/MOLSW dated 25 April 2016</w:t>
            </w:r>
          </w:p>
          <w:p w14:paraId="1E06F29B" w14:textId="77777777" w:rsidR="004833E6" w:rsidRPr="00F13C19" w:rsidRDefault="004833E6" w:rsidP="000310F5">
            <w:pPr>
              <w:widowControl w:val="0"/>
              <w:tabs>
                <w:tab w:val="left" w:pos="463"/>
              </w:tabs>
              <w:spacing w:before="0"/>
              <w:ind w:left="0" w:right="116"/>
              <w:jc w:val="left"/>
              <w:rPr>
                <w:rFonts w:eastAsia="Calibri" w:cstheme="minorHAnsi"/>
                <w:sz w:val="18"/>
                <w:szCs w:val="18"/>
                <w:lang w:val="en-MY"/>
              </w:rPr>
            </w:pPr>
          </w:p>
        </w:tc>
      </w:tr>
      <w:tr w:rsidR="004833E6" w:rsidRPr="00F13C19" w14:paraId="250DC525" w14:textId="77777777" w:rsidTr="00CE5ED9">
        <w:tc>
          <w:tcPr>
            <w:tcW w:w="4878" w:type="dxa"/>
          </w:tcPr>
          <w:p w14:paraId="12A5DC1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6.1. Expenditure outside financial reports</w:t>
            </w:r>
          </w:p>
        </w:tc>
        <w:tc>
          <w:tcPr>
            <w:tcW w:w="4657" w:type="dxa"/>
            <w:vMerge/>
            <w:vAlign w:val="center"/>
          </w:tcPr>
          <w:p w14:paraId="7FF99673" w14:textId="77777777" w:rsidR="004833E6" w:rsidRPr="00F13C19" w:rsidRDefault="004833E6" w:rsidP="000310F5">
            <w:pPr>
              <w:spacing w:before="0"/>
              <w:ind w:left="0" w:right="116"/>
              <w:jc w:val="left"/>
              <w:rPr>
                <w:rFonts w:cstheme="minorHAnsi"/>
                <w:sz w:val="18"/>
                <w:szCs w:val="18"/>
              </w:rPr>
            </w:pPr>
          </w:p>
        </w:tc>
      </w:tr>
      <w:tr w:rsidR="004833E6" w:rsidRPr="00F13C19" w14:paraId="4209A3B7" w14:textId="77777777" w:rsidTr="00CE5ED9">
        <w:tc>
          <w:tcPr>
            <w:tcW w:w="4878" w:type="dxa"/>
          </w:tcPr>
          <w:p w14:paraId="1C50F097"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6.2. Revenue outside financial reports</w:t>
            </w:r>
          </w:p>
        </w:tc>
        <w:tc>
          <w:tcPr>
            <w:tcW w:w="4657" w:type="dxa"/>
            <w:vMerge/>
            <w:vAlign w:val="center"/>
          </w:tcPr>
          <w:p w14:paraId="682A83A8" w14:textId="77777777" w:rsidR="004833E6" w:rsidRPr="00F13C19" w:rsidRDefault="004833E6" w:rsidP="000310F5">
            <w:pPr>
              <w:spacing w:before="0"/>
              <w:ind w:left="0" w:right="116"/>
              <w:jc w:val="left"/>
              <w:rPr>
                <w:rFonts w:cstheme="minorHAnsi"/>
                <w:sz w:val="18"/>
                <w:szCs w:val="18"/>
              </w:rPr>
            </w:pPr>
          </w:p>
        </w:tc>
      </w:tr>
      <w:tr w:rsidR="004833E6" w:rsidRPr="00F13C19" w14:paraId="37C0F8C6" w14:textId="77777777" w:rsidTr="00CE5ED9">
        <w:tc>
          <w:tcPr>
            <w:tcW w:w="4878" w:type="dxa"/>
          </w:tcPr>
          <w:p w14:paraId="06DA7B9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6.3. Financial reports of extra-budgetary units</w:t>
            </w:r>
          </w:p>
        </w:tc>
        <w:tc>
          <w:tcPr>
            <w:tcW w:w="4657" w:type="dxa"/>
            <w:vMerge/>
            <w:vAlign w:val="center"/>
          </w:tcPr>
          <w:p w14:paraId="06C46770" w14:textId="77777777" w:rsidR="004833E6" w:rsidRPr="00F13C19" w:rsidRDefault="004833E6" w:rsidP="000310F5">
            <w:pPr>
              <w:spacing w:before="0"/>
              <w:ind w:left="0" w:right="116"/>
              <w:jc w:val="left"/>
              <w:rPr>
                <w:rFonts w:cstheme="minorHAnsi"/>
                <w:sz w:val="18"/>
                <w:szCs w:val="18"/>
              </w:rPr>
            </w:pPr>
          </w:p>
        </w:tc>
      </w:tr>
      <w:tr w:rsidR="004833E6" w:rsidRPr="00F13C19" w14:paraId="2E9A1E26" w14:textId="77777777" w:rsidTr="00CE5ED9">
        <w:tc>
          <w:tcPr>
            <w:tcW w:w="4878" w:type="dxa"/>
            <w:vAlign w:val="bottom"/>
          </w:tcPr>
          <w:p w14:paraId="0114898B" w14:textId="77777777" w:rsidR="004833E6" w:rsidRPr="00117D3D" w:rsidRDefault="004833E6" w:rsidP="000310F5">
            <w:pPr>
              <w:spacing w:before="0"/>
              <w:ind w:left="0" w:right="116"/>
              <w:jc w:val="left"/>
              <w:rPr>
                <w:rFonts w:cstheme="minorHAnsi"/>
                <w:b/>
                <w:sz w:val="18"/>
                <w:szCs w:val="18"/>
              </w:rPr>
            </w:pPr>
            <w:r w:rsidRPr="00117D3D">
              <w:rPr>
                <w:rFonts w:cstheme="minorHAnsi"/>
                <w:b/>
                <w:bCs/>
                <w:sz w:val="18"/>
                <w:szCs w:val="18"/>
              </w:rPr>
              <w:t xml:space="preserve">PI-7. </w:t>
            </w:r>
            <w:r w:rsidRPr="00117D3D">
              <w:rPr>
                <w:rFonts w:cstheme="minorHAnsi"/>
                <w:b/>
                <w:sz w:val="18"/>
                <w:szCs w:val="18"/>
              </w:rPr>
              <w:t>Transfers to subnational governments</w:t>
            </w:r>
          </w:p>
        </w:tc>
        <w:tc>
          <w:tcPr>
            <w:tcW w:w="4657" w:type="dxa"/>
            <w:vMerge w:val="restart"/>
            <w:vAlign w:val="center"/>
          </w:tcPr>
          <w:p w14:paraId="0BED4329" w14:textId="77777777" w:rsidR="004833E6"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State budget plans and reports from Budget department MoF</w:t>
            </w:r>
          </w:p>
          <w:p w14:paraId="28362F13"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Constitution revised in 2015, 63/NA, Dec 8, 2015</w:t>
            </w:r>
          </w:p>
          <w:p w14:paraId="41B8AD34"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Law on local administration, 68/NA, Nov 14, 2015</w:t>
            </w:r>
          </w:p>
          <w:p w14:paraId="64D9760C"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proofErr w:type="spellStart"/>
            <w:r w:rsidRPr="00F13C19">
              <w:rPr>
                <w:rFonts w:eastAsia="Calibri" w:cstheme="minorHAnsi"/>
                <w:sz w:val="18"/>
                <w:szCs w:val="18"/>
              </w:rPr>
              <w:t>SamSang</w:t>
            </w:r>
            <w:proofErr w:type="spellEnd"/>
            <w:r w:rsidRPr="00F13C19">
              <w:rPr>
                <w:rFonts w:eastAsia="Calibri" w:cstheme="minorHAnsi"/>
                <w:sz w:val="18"/>
                <w:szCs w:val="18"/>
              </w:rPr>
              <w:t xml:space="preserve"> report, no. 01/MOHA, January 26, 2018</w:t>
            </w:r>
          </w:p>
          <w:p w14:paraId="05929DE7" w14:textId="77777777" w:rsidR="004833E6"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Report on Budget Revenue-Expenditure execution 2017 and 2018 work plan, Luang Prabang province</w:t>
            </w:r>
          </w:p>
          <w:p w14:paraId="64C05DD7" w14:textId="77777777" w:rsidR="004833E6"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 xml:space="preserve">Support for governance and capacity development - </w:t>
            </w:r>
            <w:r w:rsidRPr="00831DA1">
              <w:rPr>
                <w:rFonts w:eastAsia="Calibri" w:cstheme="minorHAnsi"/>
                <w:sz w:val="18"/>
                <w:szCs w:val="18"/>
              </w:rPr>
              <w:t>Decentralization-Inception Report March 18 2018-2</w:t>
            </w:r>
            <w:r>
              <w:rPr>
                <w:rFonts w:eastAsia="Calibri" w:cstheme="minorHAnsi"/>
                <w:sz w:val="18"/>
                <w:szCs w:val="18"/>
              </w:rPr>
              <w:t>, ADB</w:t>
            </w:r>
          </w:p>
          <w:p w14:paraId="42DCE06A"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Position paper on transfer mechanism, ADB, 2017 (draft)</w:t>
            </w:r>
          </w:p>
        </w:tc>
      </w:tr>
      <w:tr w:rsidR="004833E6" w:rsidRPr="00F13C19" w14:paraId="7DD7D634" w14:textId="77777777" w:rsidTr="00CE5ED9">
        <w:tc>
          <w:tcPr>
            <w:tcW w:w="4878" w:type="dxa"/>
          </w:tcPr>
          <w:p w14:paraId="698350E6"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7.1. System for allocating transfers</w:t>
            </w:r>
          </w:p>
        </w:tc>
        <w:tc>
          <w:tcPr>
            <w:tcW w:w="4657" w:type="dxa"/>
            <w:vMerge/>
            <w:vAlign w:val="center"/>
          </w:tcPr>
          <w:p w14:paraId="6DC37120" w14:textId="77777777" w:rsidR="004833E6" w:rsidRPr="00F13C19" w:rsidRDefault="004833E6" w:rsidP="000310F5">
            <w:pPr>
              <w:spacing w:before="0"/>
              <w:ind w:left="0" w:right="116"/>
              <w:jc w:val="left"/>
              <w:rPr>
                <w:rFonts w:cstheme="minorHAnsi"/>
                <w:sz w:val="18"/>
                <w:szCs w:val="18"/>
              </w:rPr>
            </w:pPr>
          </w:p>
        </w:tc>
      </w:tr>
      <w:tr w:rsidR="004833E6" w:rsidRPr="00F13C19" w14:paraId="201A0084" w14:textId="77777777" w:rsidTr="00CE5ED9">
        <w:tc>
          <w:tcPr>
            <w:tcW w:w="4878" w:type="dxa"/>
          </w:tcPr>
          <w:p w14:paraId="5C417336"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7.2. Timeliness of information on transfers</w:t>
            </w:r>
          </w:p>
        </w:tc>
        <w:tc>
          <w:tcPr>
            <w:tcW w:w="4657" w:type="dxa"/>
            <w:vMerge/>
            <w:vAlign w:val="center"/>
          </w:tcPr>
          <w:p w14:paraId="55EDD53A" w14:textId="77777777" w:rsidR="004833E6" w:rsidRPr="00F13C19" w:rsidRDefault="004833E6" w:rsidP="000310F5">
            <w:pPr>
              <w:spacing w:before="0"/>
              <w:ind w:left="0" w:right="116"/>
              <w:jc w:val="left"/>
              <w:rPr>
                <w:rFonts w:cstheme="minorHAnsi"/>
                <w:sz w:val="18"/>
                <w:szCs w:val="18"/>
              </w:rPr>
            </w:pPr>
          </w:p>
        </w:tc>
      </w:tr>
      <w:tr w:rsidR="004833E6" w:rsidRPr="00F13C19" w14:paraId="49110F38" w14:textId="77777777" w:rsidTr="00CE5ED9">
        <w:tc>
          <w:tcPr>
            <w:tcW w:w="4878" w:type="dxa"/>
            <w:vAlign w:val="bottom"/>
          </w:tcPr>
          <w:p w14:paraId="209297C1" w14:textId="77777777" w:rsidR="004833E6" w:rsidRPr="00117D3D" w:rsidRDefault="004833E6" w:rsidP="000310F5">
            <w:pPr>
              <w:spacing w:before="0"/>
              <w:ind w:left="0" w:right="116"/>
              <w:jc w:val="left"/>
              <w:rPr>
                <w:rFonts w:cstheme="minorHAnsi"/>
                <w:b/>
                <w:sz w:val="18"/>
                <w:szCs w:val="18"/>
              </w:rPr>
            </w:pPr>
            <w:r w:rsidRPr="00117D3D">
              <w:rPr>
                <w:rFonts w:cstheme="minorHAnsi"/>
                <w:b/>
                <w:bCs/>
                <w:sz w:val="18"/>
                <w:szCs w:val="18"/>
              </w:rPr>
              <w:t xml:space="preserve">PI-8. </w:t>
            </w:r>
            <w:r w:rsidRPr="00117D3D">
              <w:rPr>
                <w:rFonts w:cstheme="minorHAnsi"/>
                <w:b/>
                <w:sz w:val="18"/>
                <w:szCs w:val="18"/>
              </w:rPr>
              <w:t>Performance information for service delivery</w:t>
            </w:r>
          </w:p>
        </w:tc>
        <w:tc>
          <w:tcPr>
            <w:tcW w:w="4657" w:type="dxa"/>
            <w:vMerge w:val="restart"/>
            <w:vAlign w:val="center"/>
          </w:tcPr>
          <w:p w14:paraId="32D48BC0" w14:textId="77777777" w:rsidR="004833E6"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 xml:space="preserve">Data collected from </w:t>
            </w:r>
            <w:proofErr w:type="spellStart"/>
            <w:r>
              <w:rPr>
                <w:rFonts w:eastAsia="Calibri" w:cstheme="minorHAnsi"/>
                <w:sz w:val="18"/>
                <w:szCs w:val="18"/>
              </w:rPr>
              <w:t>MoES</w:t>
            </w:r>
            <w:proofErr w:type="spellEnd"/>
            <w:r>
              <w:rPr>
                <w:rFonts w:eastAsia="Calibri" w:cstheme="minorHAnsi"/>
                <w:sz w:val="18"/>
                <w:szCs w:val="18"/>
              </w:rPr>
              <w:t xml:space="preserve">, </w:t>
            </w:r>
            <w:proofErr w:type="spellStart"/>
            <w:r>
              <w:rPr>
                <w:rFonts w:eastAsia="Calibri" w:cstheme="minorHAnsi"/>
                <w:sz w:val="18"/>
                <w:szCs w:val="18"/>
              </w:rPr>
              <w:t>MoH</w:t>
            </w:r>
            <w:proofErr w:type="spellEnd"/>
            <w:r>
              <w:rPr>
                <w:rFonts w:eastAsia="Calibri" w:cstheme="minorHAnsi"/>
                <w:sz w:val="18"/>
                <w:szCs w:val="18"/>
              </w:rPr>
              <w:t xml:space="preserve"> and </w:t>
            </w:r>
            <w:proofErr w:type="spellStart"/>
            <w:r>
              <w:rPr>
                <w:rFonts w:eastAsia="Calibri" w:cstheme="minorHAnsi"/>
                <w:sz w:val="18"/>
                <w:szCs w:val="18"/>
              </w:rPr>
              <w:t>MoPWT</w:t>
            </w:r>
            <w:proofErr w:type="spellEnd"/>
          </w:p>
          <w:p w14:paraId="1F0206EA"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8th Five your National Socio- Economic Development plan (2016-2020) approved at the VII NA Inaugural session, 20-23 April 2016, MPI</w:t>
            </w:r>
          </w:p>
          <w:p w14:paraId="2BD00165"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Policy Brief: Education and Health Sectors - Public Expenditure Arrangements, WB, June 2018 (draft)</w:t>
            </w:r>
          </w:p>
          <w:p w14:paraId="65D256FB"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Education and Sports Sector Performance Annual Report 2015-2016 and Development Plan for 2016- 2017, </w:t>
            </w:r>
            <w:proofErr w:type="spellStart"/>
            <w:r w:rsidRPr="00F13C19">
              <w:rPr>
                <w:rFonts w:eastAsia="Calibri" w:cstheme="minorHAnsi"/>
                <w:sz w:val="18"/>
                <w:szCs w:val="18"/>
              </w:rPr>
              <w:t>MoES</w:t>
            </w:r>
            <w:proofErr w:type="spellEnd"/>
            <w:r w:rsidRPr="00F13C19">
              <w:rPr>
                <w:rFonts w:eastAsia="Calibri" w:cstheme="minorHAnsi"/>
                <w:sz w:val="18"/>
                <w:szCs w:val="18"/>
              </w:rPr>
              <w:t>, July 2016.</w:t>
            </w:r>
          </w:p>
          <w:p w14:paraId="515FCC79" w14:textId="7A5773D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Laos Education and Sports Management Information System (LESMIS), Situation Analysis, June 2017 and Strategic Development Plan 2018 to 2022 (5 years), September 2017, </w:t>
            </w:r>
            <w:proofErr w:type="spellStart"/>
            <w:r w:rsidRPr="00F13C19">
              <w:rPr>
                <w:rFonts w:eastAsia="Calibri" w:cstheme="minorHAnsi"/>
                <w:sz w:val="18"/>
                <w:szCs w:val="18"/>
              </w:rPr>
              <w:t>MoES</w:t>
            </w:r>
            <w:proofErr w:type="spellEnd"/>
          </w:p>
          <w:p w14:paraId="6334305F" w14:textId="51C9A430"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Strategy and Reform Plan for Health Sector to 2025</w:t>
            </w:r>
          </w:p>
          <w:p w14:paraId="6430945C"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Reform Plan for Health Sector (2013-2025)</w:t>
            </w:r>
          </w:p>
          <w:p w14:paraId="36B8842F"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Report on </w:t>
            </w:r>
            <w:proofErr w:type="gramStart"/>
            <w:r w:rsidRPr="00F13C19">
              <w:rPr>
                <w:rFonts w:eastAsia="Calibri" w:cstheme="minorHAnsi"/>
                <w:sz w:val="18"/>
                <w:szCs w:val="18"/>
              </w:rPr>
              <w:t>5 year</w:t>
            </w:r>
            <w:proofErr w:type="gramEnd"/>
            <w:r w:rsidRPr="00F13C19">
              <w:rPr>
                <w:rFonts w:eastAsia="Calibri" w:cstheme="minorHAnsi"/>
                <w:sz w:val="18"/>
                <w:szCs w:val="18"/>
              </w:rPr>
              <w:t xml:space="preserve"> Development Plan for Health sector (2011-2015) implementation and Economic Development Plan FY 2016-2020</w:t>
            </w:r>
          </w:p>
          <w:p w14:paraId="5FB3D51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Annual 2017 Report, </w:t>
            </w:r>
            <w:proofErr w:type="spellStart"/>
            <w:r w:rsidRPr="00F13C19">
              <w:rPr>
                <w:rFonts w:eastAsia="Calibri" w:cstheme="minorHAnsi"/>
                <w:sz w:val="18"/>
                <w:szCs w:val="18"/>
              </w:rPr>
              <w:t>MoH</w:t>
            </w:r>
            <w:proofErr w:type="spellEnd"/>
          </w:p>
          <w:p w14:paraId="1102C14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Lao Economic Monitor, April 2017, thematic section: financing the Health sector in Lao PDR.</w:t>
            </w:r>
          </w:p>
          <w:p w14:paraId="31BD862E"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PFM in the Health Sector in Lao PDR – Service Delivery Challenges and Opportunities, WB draft, October 2018</w:t>
            </w:r>
          </w:p>
          <w:p w14:paraId="4ED14DD4"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Nutrition in Lao PDR, Causes, Determinants and Bottlenecks, WB, June 2016</w:t>
            </w:r>
          </w:p>
          <w:p w14:paraId="4EA3A3EB"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 xml:space="preserve">Government expenditure on health, Overall Trends </w:t>
            </w:r>
            <w:proofErr w:type="gramStart"/>
            <w:r w:rsidRPr="00F13C19">
              <w:rPr>
                <w:rFonts w:eastAsia="Calibri" w:cstheme="minorHAnsi"/>
                <w:sz w:val="18"/>
                <w:szCs w:val="18"/>
              </w:rPr>
              <w:t>And</w:t>
            </w:r>
            <w:proofErr w:type="gramEnd"/>
            <w:r w:rsidRPr="00F13C19">
              <w:rPr>
                <w:rFonts w:eastAsia="Calibri" w:cstheme="minorHAnsi"/>
                <w:sz w:val="18"/>
                <w:szCs w:val="18"/>
              </w:rPr>
              <w:t xml:space="preserve"> Findings From A Health Center Survey, WB, May 2016</w:t>
            </w:r>
          </w:p>
          <w:p w14:paraId="76D44968"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Managing transition, Reaching the Vulnerable while Pursuing Universal Health Coverage, Health Financing System Assessment in Lao PDR, WB, Dec 2017</w:t>
            </w:r>
          </w:p>
        </w:tc>
      </w:tr>
      <w:tr w:rsidR="004833E6" w:rsidRPr="00F13C19" w14:paraId="050B4679" w14:textId="77777777" w:rsidTr="00CE5ED9">
        <w:tc>
          <w:tcPr>
            <w:tcW w:w="4878" w:type="dxa"/>
          </w:tcPr>
          <w:p w14:paraId="2E81BBA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8.1. Performance plans for service delivery</w:t>
            </w:r>
          </w:p>
        </w:tc>
        <w:tc>
          <w:tcPr>
            <w:tcW w:w="4657" w:type="dxa"/>
            <w:vMerge/>
            <w:vAlign w:val="center"/>
          </w:tcPr>
          <w:p w14:paraId="420997A4" w14:textId="77777777" w:rsidR="004833E6" w:rsidRPr="00F13C19" w:rsidRDefault="004833E6" w:rsidP="000310F5">
            <w:pPr>
              <w:spacing w:before="0"/>
              <w:ind w:left="0" w:right="116"/>
              <w:jc w:val="left"/>
              <w:rPr>
                <w:rFonts w:cstheme="minorHAnsi"/>
                <w:sz w:val="18"/>
                <w:szCs w:val="18"/>
              </w:rPr>
            </w:pPr>
          </w:p>
        </w:tc>
      </w:tr>
      <w:tr w:rsidR="004833E6" w:rsidRPr="00F13C19" w14:paraId="1E6A186C" w14:textId="77777777" w:rsidTr="00CE5ED9">
        <w:tc>
          <w:tcPr>
            <w:tcW w:w="4878" w:type="dxa"/>
          </w:tcPr>
          <w:p w14:paraId="1C9B45E8"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8.2. Performance achieved for service delivery</w:t>
            </w:r>
          </w:p>
        </w:tc>
        <w:tc>
          <w:tcPr>
            <w:tcW w:w="4657" w:type="dxa"/>
            <w:vMerge/>
            <w:vAlign w:val="center"/>
          </w:tcPr>
          <w:p w14:paraId="0BD5A6BB" w14:textId="77777777" w:rsidR="004833E6" w:rsidRPr="00F13C19" w:rsidRDefault="004833E6" w:rsidP="000310F5">
            <w:pPr>
              <w:spacing w:before="0"/>
              <w:ind w:left="0" w:right="116"/>
              <w:jc w:val="left"/>
              <w:rPr>
                <w:rFonts w:cstheme="minorHAnsi"/>
                <w:sz w:val="18"/>
                <w:szCs w:val="18"/>
              </w:rPr>
            </w:pPr>
          </w:p>
        </w:tc>
      </w:tr>
      <w:tr w:rsidR="004833E6" w:rsidRPr="00F13C19" w14:paraId="383F86AE" w14:textId="77777777" w:rsidTr="00CE5ED9">
        <w:tc>
          <w:tcPr>
            <w:tcW w:w="4878" w:type="dxa"/>
          </w:tcPr>
          <w:p w14:paraId="67379B75"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8.3. Resources received by service delivery units</w:t>
            </w:r>
          </w:p>
        </w:tc>
        <w:tc>
          <w:tcPr>
            <w:tcW w:w="4657" w:type="dxa"/>
            <w:vMerge/>
            <w:vAlign w:val="center"/>
          </w:tcPr>
          <w:p w14:paraId="5B53C87F" w14:textId="77777777" w:rsidR="004833E6" w:rsidRPr="00F13C19" w:rsidRDefault="004833E6" w:rsidP="000310F5">
            <w:pPr>
              <w:spacing w:before="0"/>
              <w:ind w:left="0" w:right="116"/>
              <w:jc w:val="left"/>
              <w:rPr>
                <w:rFonts w:cstheme="minorHAnsi"/>
                <w:sz w:val="18"/>
                <w:szCs w:val="18"/>
              </w:rPr>
            </w:pPr>
          </w:p>
        </w:tc>
      </w:tr>
      <w:tr w:rsidR="004833E6" w:rsidRPr="00F13C19" w14:paraId="732674A2" w14:textId="77777777" w:rsidTr="00CE5ED9">
        <w:tc>
          <w:tcPr>
            <w:tcW w:w="4878" w:type="dxa"/>
          </w:tcPr>
          <w:p w14:paraId="781E932E" w14:textId="3966115E" w:rsidR="004833E6" w:rsidRPr="00F13C19" w:rsidRDefault="004833E6" w:rsidP="000310F5">
            <w:pPr>
              <w:spacing w:before="0"/>
              <w:ind w:left="0" w:right="116"/>
              <w:jc w:val="left"/>
              <w:rPr>
                <w:rFonts w:cstheme="minorHAnsi"/>
                <w:sz w:val="18"/>
                <w:szCs w:val="18"/>
              </w:rPr>
            </w:pPr>
            <w:r w:rsidRPr="00F13C19">
              <w:rPr>
                <w:rFonts w:cstheme="minorHAnsi"/>
                <w:sz w:val="18"/>
                <w:szCs w:val="18"/>
              </w:rPr>
              <w:t>8.4. Performance evaluation for service delivery</w:t>
            </w:r>
          </w:p>
        </w:tc>
        <w:tc>
          <w:tcPr>
            <w:tcW w:w="4657" w:type="dxa"/>
            <w:vMerge/>
            <w:vAlign w:val="center"/>
          </w:tcPr>
          <w:p w14:paraId="480140F9" w14:textId="77777777" w:rsidR="004833E6" w:rsidRPr="00F13C19" w:rsidRDefault="004833E6" w:rsidP="000310F5">
            <w:pPr>
              <w:spacing w:before="0"/>
              <w:ind w:left="0" w:right="116"/>
              <w:jc w:val="left"/>
              <w:rPr>
                <w:rFonts w:cstheme="minorHAnsi"/>
                <w:sz w:val="18"/>
                <w:szCs w:val="18"/>
              </w:rPr>
            </w:pPr>
          </w:p>
        </w:tc>
      </w:tr>
      <w:tr w:rsidR="004833E6" w:rsidRPr="00F13C19" w14:paraId="439CBEFC" w14:textId="77777777" w:rsidTr="00CE5ED9">
        <w:trPr>
          <w:trHeight w:val="246"/>
        </w:trPr>
        <w:tc>
          <w:tcPr>
            <w:tcW w:w="4878" w:type="dxa"/>
            <w:vAlign w:val="center"/>
          </w:tcPr>
          <w:p w14:paraId="25556570"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PI- 9. Public access to fiscal information</w:t>
            </w:r>
          </w:p>
        </w:tc>
        <w:tc>
          <w:tcPr>
            <w:tcW w:w="4657" w:type="dxa"/>
            <w:vMerge w:val="restart"/>
            <w:vAlign w:val="center"/>
          </w:tcPr>
          <w:p w14:paraId="58213375" w14:textId="77777777" w:rsidR="004833E6"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MoF and MPI website</w:t>
            </w:r>
          </w:p>
          <w:p w14:paraId="0CBFEB12"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NA Resolution on the approvals on the macro-adjustment for 2017-2020 of the NSEDP, the state budget plan and the 8</w:t>
            </w:r>
            <w:proofErr w:type="gramStart"/>
            <w:r w:rsidRPr="00F13C19">
              <w:rPr>
                <w:rFonts w:eastAsia="Calibri" w:cstheme="minorHAnsi"/>
                <w:sz w:val="18"/>
                <w:szCs w:val="18"/>
                <w:vertAlign w:val="superscript"/>
              </w:rPr>
              <w:t>th</w:t>
            </w:r>
            <w:r w:rsidRPr="00F13C19">
              <w:rPr>
                <w:rFonts w:eastAsia="Calibri" w:cstheme="minorHAnsi"/>
                <w:sz w:val="18"/>
                <w:szCs w:val="18"/>
              </w:rPr>
              <w:t xml:space="preserve">  5</w:t>
            </w:r>
            <w:proofErr w:type="gramEnd"/>
            <w:r w:rsidRPr="00F13C19">
              <w:rPr>
                <w:rFonts w:eastAsia="Calibri" w:cstheme="minorHAnsi"/>
                <w:sz w:val="18"/>
                <w:szCs w:val="18"/>
              </w:rPr>
              <w:t>-year monetary plan. No. 014/ NA November 24, 2016</w:t>
            </w:r>
          </w:p>
          <w:p w14:paraId="39A9C3AB" w14:textId="77777777" w:rsidR="004833E6"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National socio - Economic Development plan 2017, MPI</w:t>
            </w:r>
          </w:p>
          <w:p w14:paraId="40C43E74"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Data collected from FPD, MoF and NA resolutions in 2017 and 2018</w:t>
            </w:r>
          </w:p>
        </w:tc>
      </w:tr>
      <w:tr w:rsidR="004833E6" w:rsidRPr="00F13C19" w14:paraId="41BD9578" w14:textId="77777777" w:rsidTr="00CE5ED9">
        <w:tc>
          <w:tcPr>
            <w:tcW w:w="4878" w:type="dxa"/>
          </w:tcPr>
          <w:p w14:paraId="6F579107"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9.1. Public access to fiscal information   </w:t>
            </w:r>
          </w:p>
        </w:tc>
        <w:tc>
          <w:tcPr>
            <w:tcW w:w="4657" w:type="dxa"/>
            <w:vMerge/>
            <w:vAlign w:val="center"/>
          </w:tcPr>
          <w:p w14:paraId="0D639E53" w14:textId="77777777" w:rsidR="004833E6" w:rsidRPr="00F13C19" w:rsidRDefault="004833E6" w:rsidP="000310F5">
            <w:pPr>
              <w:spacing w:before="0"/>
              <w:ind w:left="0" w:right="116"/>
              <w:jc w:val="left"/>
              <w:rPr>
                <w:rFonts w:cstheme="minorHAnsi"/>
                <w:sz w:val="18"/>
                <w:szCs w:val="18"/>
              </w:rPr>
            </w:pPr>
          </w:p>
        </w:tc>
      </w:tr>
      <w:tr w:rsidR="004833E6" w:rsidRPr="00F13C19" w14:paraId="45D5D402" w14:textId="77777777" w:rsidTr="00CE5ED9">
        <w:tc>
          <w:tcPr>
            <w:tcW w:w="9535" w:type="dxa"/>
            <w:gridSpan w:val="2"/>
            <w:shd w:val="clear" w:color="auto" w:fill="FAB416"/>
            <w:vAlign w:val="center"/>
          </w:tcPr>
          <w:p w14:paraId="211BE2BB"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t>Management of assets and liabilities</w:t>
            </w:r>
          </w:p>
        </w:tc>
      </w:tr>
      <w:tr w:rsidR="004833E6" w:rsidRPr="00F13C19" w14:paraId="13ACFEBD" w14:textId="77777777" w:rsidTr="00CE5ED9">
        <w:tc>
          <w:tcPr>
            <w:tcW w:w="4878" w:type="dxa"/>
            <w:vAlign w:val="center"/>
          </w:tcPr>
          <w:p w14:paraId="373333C8"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PI-10. Fiscal risk reporting</w:t>
            </w:r>
          </w:p>
        </w:tc>
        <w:tc>
          <w:tcPr>
            <w:tcW w:w="4657" w:type="dxa"/>
            <w:vMerge w:val="restart"/>
            <w:vAlign w:val="center"/>
          </w:tcPr>
          <w:p w14:paraId="42565E71"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Decree on Public Investment on SOEs, No. 54/GoL, dated 9/5/2002</w:t>
            </w:r>
          </w:p>
          <w:p w14:paraId="0671E64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Consolidated table for SOEs reporting 2017 and 2018, SOE department, MOF</w:t>
            </w:r>
          </w:p>
          <w:p w14:paraId="5A9BE15F" w14:textId="77777777" w:rsidR="004833E6"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lastRenderedPageBreak/>
              <w:t>Lao Economic Monitor, April 2017, December 2017 and April 2018.</w:t>
            </w:r>
          </w:p>
          <w:p w14:paraId="2921E07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Data collected from Treasury and External Finance departments MoF</w:t>
            </w:r>
          </w:p>
        </w:tc>
      </w:tr>
      <w:tr w:rsidR="004833E6" w:rsidRPr="00F13C19" w14:paraId="612E4AD2" w14:textId="77777777" w:rsidTr="00CE5ED9">
        <w:tc>
          <w:tcPr>
            <w:tcW w:w="4878" w:type="dxa"/>
          </w:tcPr>
          <w:p w14:paraId="6EB55367"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10.1. Monitoring of public corporations</w:t>
            </w:r>
          </w:p>
        </w:tc>
        <w:tc>
          <w:tcPr>
            <w:tcW w:w="4657" w:type="dxa"/>
            <w:vMerge/>
            <w:vAlign w:val="center"/>
          </w:tcPr>
          <w:p w14:paraId="3D4D7FD8" w14:textId="77777777" w:rsidR="004833E6" w:rsidRPr="00F13C19" w:rsidRDefault="004833E6" w:rsidP="000310F5">
            <w:pPr>
              <w:spacing w:before="0"/>
              <w:ind w:left="0" w:right="116"/>
              <w:jc w:val="left"/>
              <w:rPr>
                <w:rFonts w:cstheme="minorHAnsi"/>
                <w:sz w:val="18"/>
                <w:szCs w:val="18"/>
              </w:rPr>
            </w:pPr>
          </w:p>
        </w:tc>
      </w:tr>
      <w:tr w:rsidR="004833E6" w:rsidRPr="00F13C19" w14:paraId="13F2CF8A" w14:textId="77777777" w:rsidTr="00CE5ED9">
        <w:tc>
          <w:tcPr>
            <w:tcW w:w="4878" w:type="dxa"/>
          </w:tcPr>
          <w:p w14:paraId="47F953D3"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 xml:space="preserve">10.2. Monitoring of sub-national government </w:t>
            </w:r>
          </w:p>
        </w:tc>
        <w:tc>
          <w:tcPr>
            <w:tcW w:w="4657" w:type="dxa"/>
            <w:vMerge/>
            <w:vAlign w:val="center"/>
          </w:tcPr>
          <w:p w14:paraId="431190F5" w14:textId="77777777" w:rsidR="004833E6" w:rsidRPr="00F13C19" w:rsidRDefault="004833E6" w:rsidP="000310F5">
            <w:pPr>
              <w:spacing w:before="0"/>
              <w:ind w:left="0" w:right="116"/>
              <w:jc w:val="left"/>
              <w:rPr>
                <w:rFonts w:cstheme="minorHAnsi"/>
                <w:sz w:val="18"/>
                <w:szCs w:val="18"/>
              </w:rPr>
            </w:pPr>
          </w:p>
        </w:tc>
      </w:tr>
      <w:tr w:rsidR="004833E6" w:rsidRPr="00F13C19" w14:paraId="71C000FA" w14:textId="77777777" w:rsidTr="00CE5ED9">
        <w:tc>
          <w:tcPr>
            <w:tcW w:w="4878" w:type="dxa"/>
          </w:tcPr>
          <w:p w14:paraId="65108E03"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10.3. Contingent liabilities and other fiscal risks</w:t>
            </w:r>
            <w:r w:rsidRPr="00F13C19" w:rsidDel="00AE1933">
              <w:rPr>
                <w:rFonts w:cstheme="minorHAnsi"/>
                <w:sz w:val="18"/>
                <w:szCs w:val="18"/>
              </w:rPr>
              <w:t xml:space="preserve"> </w:t>
            </w:r>
            <w:r w:rsidRPr="00F13C19">
              <w:rPr>
                <w:rFonts w:cstheme="minorHAnsi"/>
                <w:sz w:val="18"/>
                <w:szCs w:val="18"/>
              </w:rPr>
              <w:t xml:space="preserve"> </w:t>
            </w:r>
          </w:p>
        </w:tc>
        <w:tc>
          <w:tcPr>
            <w:tcW w:w="4657" w:type="dxa"/>
            <w:vMerge/>
            <w:vAlign w:val="center"/>
          </w:tcPr>
          <w:p w14:paraId="472501B9" w14:textId="77777777" w:rsidR="004833E6" w:rsidRPr="00F13C19" w:rsidRDefault="004833E6" w:rsidP="000310F5">
            <w:pPr>
              <w:spacing w:before="0"/>
              <w:ind w:left="0" w:right="116"/>
              <w:jc w:val="left"/>
              <w:rPr>
                <w:rFonts w:cstheme="minorHAnsi"/>
                <w:sz w:val="18"/>
                <w:szCs w:val="18"/>
              </w:rPr>
            </w:pPr>
          </w:p>
        </w:tc>
      </w:tr>
      <w:tr w:rsidR="004833E6" w:rsidRPr="00F13C19" w14:paraId="1CDFFD30" w14:textId="77777777" w:rsidTr="00CE5ED9">
        <w:tc>
          <w:tcPr>
            <w:tcW w:w="4878" w:type="dxa"/>
            <w:vAlign w:val="center"/>
          </w:tcPr>
          <w:p w14:paraId="6DF270CD"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PI- 11. Public investment management</w:t>
            </w:r>
          </w:p>
        </w:tc>
        <w:tc>
          <w:tcPr>
            <w:tcW w:w="4657" w:type="dxa"/>
            <w:vMerge w:val="restart"/>
            <w:vAlign w:val="center"/>
          </w:tcPr>
          <w:p w14:paraId="08DE5D9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Investment</w:t>
            </w:r>
            <w:r>
              <w:rPr>
                <w:rFonts w:eastAsia="Calibri" w:cstheme="minorHAnsi"/>
                <w:sz w:val="18"/>
                <w:szCs w:val="18"/>
              </w:rPr>
              <w:t xml:space="preserve"> </w:t>
            </w:r>
            <w:r w:rsidRPr="00F13C19">
              <w:rPr>
                <w:rFonts w:eastAsia="Calibri" w:cstheme="minorHAnsi"/>
                <w:sz w:val="18"/>
                <w:szCs w:val="18"/>
              </w:rPr>
              <w:t>Promotion</w:t>
            </w:r>
            <w:r>
              <w:rPr>
                <w:rFonts w:eastAsia="Calibri" w:cstheme="minorHAnsi"/>
                <w:sz w:val="18"/>
                <w:szCs w:val="18"/>
              </w:rPr>
              <w:t xml:space="preserve"> </w:t>
            </w:r>
            <w:r w:rsidRPr="00F13C19">
              <w:rPr>
                <w:rFonts w:eastAsia="Calibri" w:cstheme="minorHAnsi"/>
                <w:sz w:val="18"/>
                <w:szCs w:val="18"/>
              </w:rPr>
              <w:t>Law</w:t>
            </w:r>
            <w:r>
              <w:rPr>
                <w:rFonts w:eastAsia="Calibri" w:cstheme="minorHAnsi"/>
                <w:sz w:val="18"/>
                <w:szCs w:val="18"/>
              </w:rPr>
              <w:t xml:space="preserve"> </w:t>
            </w:r>
            <w:r w:rsidRPr="00F13C19">
              <w:rPr>
                <w:rFonts w:eastAsia="Calibri" w:cstheme="minorHAnsi"/>
                <w:sz w:val="18"/>
                <w:szCs w:val="18"/>
              </w:rPr>
              <w:t>amended</w:t>
            </w:r>
            <w:r>
              <w:rPr>
                <w:rFonts w:eastAsia="Calibri" w:cstheme="minorHAnsi"/>
                <w:sz w:val="18"/>
                <w:szCs w:val="18"/>
              </w:rPr>
              <w:t xml:space="preserve"> </w:t>
            </w:r>
            <w:r w:rsidRPr="00F13C19">
              <w:rPr>
                <w:rFonts w:eastAsia="Calibri" w:cstheme="minorHAnsi"/>
                <w:sz w:val="18"/>
                <w:szCs w:val="18"/>
              </w:rPr>
              <w:t>2016</w:t>
            </w:r>
            <w:r>
              <w:rPr>
                <w:rFonts w:eastAsia="Calibri" w:cstheme="minorHAnsi"/>
                <w:sz w:val="18"/>
                <w:szCs w:val="18"/>
              </w:rPr>
              <w:t xml:space="preserve"> </w:t>
            </w:r>
            <w:r w:rsidRPr="00F13C19">
              <w:rPr>
                <w:rFonts w:eastAsia="Calibri" w:cstheme="minorHAnsi"/>
                <w:sz w:val="18"/>
                <w:szCs w:val="18"/>
              </w:rPr>
              <w:t>Unofficial</w:t>
            </w:r>
            <w:r>
              <w:rPr>
                <w:rFonts w:eastAsia="Calibri" w:cstheme="minorHAnsi"/>
                <w:sz w:val="18"/>
                <w:szCs w:val="18"/>
              </w:rPr>
              <w:t xml:space="preserve"> tra</w:t>
            </w:r>
            <w:r w:rsidRPr="00F13C19">
              <w:rPr>
                <w:rFonts w:eastAsia="Calibri" w:cstheme="minorHAnsi"/>
                <w:sz w:val="18"/>
                <w:szCs w:val="18"/>
              </w:rPr>
              <w:t>nslated</w:t>
            </w:r>
            <w:r>
              <w:rPr>
                <w:rFonts w:eastAsia="Calibri" w:cstheme="minorHAnsi"/>
                <w:sz w:val="18"/>
                <w:szCs w:val="18"/>
              </w:rPr>
              <w:t xml:space="preserve"> </w:t>
            </w:r>
            <w:r w:rsidRPr="00F13C19">
              <w:rPr>
                <w:rFonts w:eastAsia="Calibri" w:cstheme="minorHAnsi"/>
                <w:sz w:val="18"/>
                <w:szCs w:val="18"/>
              </w:rPr>
              <w:t>English, 14/NA, May 2016</w:t>
            </w:r>
          </w:p>
          <w:p w14:paraId="55B919BC"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Resolution by the MPI Minister on the </w:t>
            </w:r>
            <w:proofErr w:type="spellStart"/>
            <w:r w:rsidRPr="00F13C19">
              <w:rPr>
                <w:rFonts w:eastAsia="Calibri" w:cstheme="minorHAnsi"/>
                <w:sz w:val="18"/>
                <w:szCs w:val="18"/>
              </w:rPr>
              <w:t>ToRs</w:t>
            </w:r>
            <w:proofErr w:type="spellEnd"/>
            <w:r w:rsidRPr="00F13C19">
              <w:rPr>
                <w:rFonts w:eastAsia="Calibri" w:cstheme="minorHAnsi"/>
                <w:sz w:val="18"/>
                <w:szCs w:val="18"/>
              </w:rPr>
              <w:t xml:space="preserve"> of MPI Planning Department, No 2706, Nov 9, 2017</w:t>
            </w:r>
          </w:p>
          <w:p w14:paraId="391D1DC2"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Public Investment Plan 2015 -2016 of Vientiane Capital and provinces, promulgated by 9th ordinary session of the 7th legislation, July 21, 2015.</w:t>
            </w:r>
          </w:p>
          <w:p w14:paraId="2D0B7ADD"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Public Investment Plan FY 2017 - Ministries - Economic Sectors, promulgated by 2nd ordinary session of the 8th legislation Nov 24, 2016</w:t>
            </w:r>
          </w:p>
          <w:p w14:paraId="2C752C87" w14:textId="77777777" w:rsidR="004833E6"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Public Investment Plan 2017</w:t>
            </w:r>
            <w:r>
              <w:rPr>
                <w:rFonts w:eastAsia="Calibri" w:cstheme="minorHAnsi"/>
                <w:sz w:val="18"/>
                <w:szCs w:val="18"/>
              </w:rPr>
              <w:t>)</w:t>
            </w:r>
          </w:p>
          <w:p w14:paraId="263A1262"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Data on PIP 2017 and 2018 collected from MPI (consolidation by categories and NT2 projects)</w:t>
            </w:r>
          </w:p>
        </w:tc>
      </w:tr>
      <w:tr w:rsidR="004833E6" w:rsidRPr="00F13C19" w14:paraId="7457D895" w14:textId="77777777" w:rsidTr="00CE5ED9">
        <w:tc>
          <w:tcPr>
            <w:tcW w:w="4878" w:type="dxa"/>
          </w:tcPr>
          <w:p w14:paraId="5800EE2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11.1. Economic analysis of investment proposals</w:t>
            </w:r>
          </w:p>
        </w:tc>
        <w:tc>
          <w:tcPr>
            <w:tcW w:w="4657" w:type="dxa"/>
            <w:vMerge/>
            <w:vAlign w:val="center"/>
          </w:tcPr>
          <w:p w14:paraId="36BC6412" w14:textId="77777777" w:rsidR="004833E6" w:rsidRPr="00F13C19" w:rsidRDefault="004833E6" w:rsidP="000310F5">
            <w:pPr>
              <w:spacing w:before="0"/>
              <w:ind w:left="0" w:right="116"/>
              <w:jc w:val="left"/>
              <w:rPr>
                <w:rFonts w:cstheme="minorHAnsi"/>
                <w:sz w:val="18"/>
                <w:szCs w:val="18"/>
              </w:rPr>
            </w:pPr>
          </w:p>
        </w:tc>
      </w:tr>
      <w:tr w:rsidR="004833E6" w:rsidRPr="00F13C19" w14:paraId="68289025" w14:textId="77777777" w:rsidTr="00CE5ED9">
        <w:tc>
          <w:tcPr>
            <w:tcW w:w="4878" w:type="dxa"/>
          </w:tcPr>
          <w:p w14:paraId="691CC85C"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11.2. Investment project selection</w:t>
            </w:r>
          </w:p>
        </w:tc>
        <w:tc>
          <w:tcPr>
            <w:tcW w:w="4657" w:type="dxa"/>
            <w:vMerge/>
            <w:vAlign w:val="center"/>
          </w:tcPr>
          <w:p w14:paraId="103F518F" w14:textId="77777777" w:rsidR="004833E6" w:rsidRPr="00F13C19" w:rsidRDefault="004833E6" w:rsidP="000310F5">
            <w:pPr>
              <w:spacing w:before="0"/>
              <w:ind w:left="0" w:right="116"/>
              <w:jc w:val="left"/>
              <w:rPr>
                <w:rFonts w:cstheme="minorHAnsi"/>
                <w:sz w:val="18"/>
                <w:szCs w:val="18"/>
              </w:rPr>
            </w:pPr>
          </w:p>
        </w:tc>
      </w:tr>
      <w:tr w:rsidR="004833E6" w:rsidRPr="00F13C19" w14:paraId="59EF6064" w14:textId="77777777" w:rsidTr="00CE5ED9">
        <w:trPr>
          <w:trHeight w:val="70"/>
        </w:trPr>
        <w:tc>
          <w:tcPr>
            <w:tcW w:w="4878" w:type="dxa"/>
          </w:tcPr>
          <w:p w14:paraId="772EDA4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11.3. Investment project costing</w:t>
            </w:r>
          </w:p>
        </w:tc>
        <w:tc>
          <w:tcPr>
            <w:tcW w:w="4657" w:type="dxa"/>
            <w:vMerge/>
            <w:vAlign w:val="center"/>
          </w:tcPr>
          <w:p w14:paraId="5B795CF1" w14:textId="77777777" w:rsidR="004833E6" w:rsidRPr="00F13C19" w:rsidRDefault="004833E6" w:rsidP="000310F5">
            <w:pPr>
              <w:spacing w:before="0"/>
              <w:ind w:left="0" w:right="116"/>
              <w:jc w:val="left"/>
              <w:rPr>
                <w:rFonts w:cstheme="minorHAnsi"/>
                <w:sz w:val="18"/>
                <w:szCs w:val="18"/>
              </w:rPr>
            </w:pPr>
          </w:p>
        </w:tc>
      </w:tr>
      <w:tr w:rsidR="004833E6" w:rsidRPr="00F13C19" w14:paraId="34FFC472" w14:textId="77777777" w:rsidTr="00CE5ED9">
        <w:tc>
          <w:tcPr>
            <w:tcW w:w="4878" w:type="dxa"/>
          </w:tcPr>
          <w:p w14:paraId="4F51CA2C"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11.4. Investment project monitoring</w:t>
            </w:r>
          </w:p>
        </w:tc>
        <w:tc>
          <w:tcPr>
            <w:tcW w:w="4657" w:type="dxa"/>
            <w:vMerge/>
            <w:vAlign w:val="center"/>
          </w:tcPr>
          <w:p w14:paraId="0FC5DEC4" w14:textId="77777777" w:rsidR="004833E6" w:rsidRPr="00F13C19" w:rsidRDefault="004833E6" w:rsidP="000310F5">
            <w:pPr>
              <w:spacing w:before="0"/>
              <w:ind w:left="0" w:right="116"/>
              <w:jc w:val="left"/>
              <w:rPr>
                <w:rFonts w:cstheme="minorHAnsi"/>
                <w:sz w:val="18"/>
                <w:szCs w:val="18"/>
              </w:rPr>
            </w:pPr>
          </w:p>
        </w:tc>
      </w:tr>
      <w:tr w:rsidR="004833E6" w:rsidRPr="00F13C19" w14:paraId="5A85129B" w14:textId="77777777" w:rsidTr="00CE5ED9">
        <w:tc>
          <w:tcPr>
            <w:tcW w:w="4878" w:type="dxa"/>
            <w:vAlign w:val="center"/>
          </w:tcPr>
          <w:p w14:paraId="53200894"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PI-12. Public asset management</w:t>
            </w:r>
          </w:p>
        </w:tc>
        <w:tc>
          <w:tcPr>
            <w:tcW w:w="4657" w:type="dxa"/>
            <w:vMerge w:val="restart"/>
            <w:vAlign w:val="center"/>
          </w:tcPr>
          <w:p w14:paraId="0EF5F454"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Law on State Assets (Amended) 2013</w:t>
            </w:r>
          </w:p>
          <w:p w14:paraId="0CAAF6D6"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proofErr w:type="spellStart"/>
            <w:r w:rsidRPr="00F13C19">
              <w:rPr>
                <w:rFonts w:eastAsia="Calibri" w:cstheme="minorHAnsi"/>
                <w:sz w:val="18"/>
                <w:szCs w:val="18"/>
              </w:rPr>
              <w:t>ToRs</w:t>
            </w:r>
            <w:proofErr w:type="spellEnd"/>
            <w:r w:rsidRPr="00F13C19">
              <w:rPr>
                <w:rFonts w:eastAsia="Calibri" w:cstheme="minorHAnsi"/>
                <w:sz w:val="18"/>
                <w:szCs w:val="18"/>
              </w:rPr>
              <w:t xml:space="preserve"> State Assets department, MoF</w:t>
            </w:r>
          </w:p>
          <w:p w14:paraId="15CC2BB0"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Guideline for State Assets Management and the Usage in Education Sector</w:t>
            </w:r>
          </w:p>
          <w:p w14:paraId="54B4BE67" w14:textId="77777777" w:rsidR="004833E6" w:rsidRDefault="004833E6" w:rsidP="000310F5">
            <w:pPr>
              <w:widowControl w:val="0"/>
              <w:tabs>
                <w:tab w:val="left" w:pos="460"/>
              </w:tabs>
              <w:spacing w:before="0"/>
              <w:ind w:left="0" w:right="116"/>
              <w:jc w:val="left"/>
              <w:rPr>
                <w:rFonts w:cstheme="minorHAnsi"/>
                <w:sz w:val="18"/>
                <w:szCs w:val="18"/>
                <w:lang w:val="en-MY"/>
              </w:rPr>
            </w:pPr>
            <w:r w:rsidRPr="00F13C19">
              <w:rPr>
                <w:rFonts w:cstheme="minorHAnsi"/>
                <w:sz w:val="18"/>
                <w:szCs w:val="18"/>
                <w:lang w:val="en-MY"/>
              </w:rPr>
              <w:t>Prime Minister’s Decree No 15 on the allocation and management of position cars for leaders and the Prime Minister’s Order No 40 on the nationwide resurvey of state revenue sources.</w:t>
            </w:r>
          </w:p>
          <w:p w14:paraId="34F9497D"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Pr>
                <w:rFonts w:eastAsia="Calibri" w:cstheme="minorHAnsi"/>
                <w:sz w:val="18"/>
                <w:szCs w:val="18"/>
              </w:rPr>
              <w:t xml:space="preserve">Data collected from </w:t>
            </w:r>
            <w:proofErr w:type="spellStart"/>
            <w:r>
              <w:rPr>
                <w:rFonts w:eastAsia="Calibri" w:cstheme="minorHAnsi"/>
                <w:sz w:val="18"/>
                <w:szCs w:val="18"/>
              </w:rPr>
              <w:t>MoES</w:t>
            </w:r>
            <w:proofErr w:type="spellEnd"/>
            <w:r>
              <w:rPr>
                <w:rFonts w:eastAsia="Calibri" w:cstheme="minorHAnsi"/>
                <w:sz w:val="18"/>
                <w:szCs w:val="18"/>
              </w:rPr>
              <w:t xml:space="preserve"> and </w:t>
            </w:r>
            <w:proofErr w:type="spellStart"/>
            <w:r>
              <w:rPr>
                <w:rFonts w:eastAsia="Calibri" w:cstheme="minorHAnsi"/>
                <w:sz w:val="18"/>
                <w:szCs w:val="18"/>
              </w:rPr>
              <w:t>MoPW</w:t>
            </w:r>
            <w:proofErr w:type="spellEnd"/>
            <w:r>
              <w:rPr>
                <w:rFonts w:eastAsia="Calibri" w:cstheme="minorHAnsi"/>
                <w:sz w:val="18"/>
                <w:szCs w:val="18"/>
              </w:rPr>
              <w:t xml:space="preserve"> </w:t>
            </w:r>
          </w:p>
        </w:tc>
      </w:tr>
      <w:tr w:rsidR="004833E6" w:rsidRPr="00F13C19" w14:paraId="69A0CA2A" w14:textId="77777777" w:rsidTr="00CE5ED9">
        <w:tc>
          <w:tcPr>
            <w:tcW w:w="4878" w:type="dxa"/>
          </w:tcPr>
          <w:p w14:paraId="3E27A81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12.1. Financial asset monitoring</w:t>
            </w:r>
          </w:p>
        </w:tc>
        <w:tc>
          <w:tcPr>
            <w:tcW w:w="4657" w:type="dxa"/>
            <w:vMerge/>
            <w:vAlign w:val="center"/>
          </w:tcPr>
          <w:p w14:paraId="12693847" w14:textId="77777777" w:rsidR="004833E6" w:rsidRPr="00F13C19" w:rsidRDefault="004833E6" w:rsidP="000310F5">
            <w:pPr>
              <w:spacing w:before="0"/>
              <w:ind w:left="0" w:right="116"/>
              <w:jc w:val="left"/>
              <w:rPr>
                <w:rFonts w:cstheme="minorHAnsi"/>
                <w:sz w:val="18"/>
                <w:szCs w:val="18"/>
              </w:rPr>
            </w:pPr>
          </w:p>
        </w:tc>
      </w:tr>
      <w:tr w:rsidR="004833E6" w:rsidRPr="00F13C19" w14:paraId="412208BE" w14:textId="77777777" w:rsidTr="00CE5ED9">
        <w:tc>
          <w:tcPr>
            <w:tcW w:w="4878" w:type="dxa"/>
          </w:tcPr>
          <w:p w14:paraId="5878AD4F"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12.2. Nonfinancial asset monitoring</w:t>
            </w:r>
          </w:p>
        </w:tc>
        <w:tc>
          <w:tcPr>
            <w:tcW w:w="4657" w:type="dxa"/>
            <w:vMerge/>
            <w:vAlign w:val="center"/>
          </w:tcPr>
          <w:p w14:paraId="289D99CD" w14:textId="77777777" w:rsidR="004833E6" w:rsidRPr="00F13C19" w:rsidRDefault="004833E6" w:rsidP="000310F5">
            <w:pPr>
              <w:spacing w:before="0"/>
              <w:ind w:left="0" w:right="116"/>
              <w:jc w:val="left"/>
              <w:rPr>
                <w:rFonts w:cstheme="minorHAnsi"/>
                <w:sz w:val="18"/>
                <w:szCs w:val="18"/>
              </w:rPr>
            </w:pPr>
          </w:p>
        </w:tc>
      </w:tr>
      <w:tr w:rsidR="004833E6" w:rsidRPr="00F13C19" w14:paraId="2FDEAD6F" w14:textId="77777777" w:rsidTr="00CE5ED9">
        <w:tc>
          <w:tcPr>
            <w:tcW w:w="4878" w:type="dxa"/>
          </w:tcPr>
          <w:p w14:paraId="51B62E8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12.3. Transparency of asset disposal.</w:t>
            </w:r>
          </w:p>
        </w:tc>
        <w:tc>
          <w:tcPr>
            <w:tcW w:w="4657" w:type="dxa"/>
            <w:vMerge/>
            <w:vAlign w:val="center"/>
          </w:tcPr>
          <w:p w14:paraId="5522B74B" w14:textId="77777777" w:rsidR="004833E6" w:rsidRPr="00F13C19" w:rsidRDefault="004833E6" w:rsidP="000310F5">
            <w:pPr>
              <w:pStyle w:val="Default"/>
              <w:spacing w:before="0"/>
              <w:ind w:left="0" w:right="116"/>
              <w:jc w:val="left"/>
              <w:rPr>
                <w:rFonts w:asciiTheme="minorHAnsi" w:hAnsiTheme="minorHAnsi" w:cstheme="minorHAnsi"/>
                <w:color w:val="auto"/>
                <w:sz w:val="18"/>
                <w:szCs w:val="18"/>
              </w:rPr>
            </w:pPr>
          </w:p>
        </w:tc>
      </w:tr>
      <w:tr w:rsidR="004833E6" w:rsidRPr="00F13C19" w14:paraId="3C72C039" w14:textId="77777777" w:rsidTr="00CE5ED9">
        <w:tc>
          <w:tcPr>
            <w:tcW w:w="4878" w:type="dxa"/>
            <w:vAlign w:val="center"/>
          </w:tcPr>
          <w:p w14:paraId="0CB05877"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 xml:space="preserve">PI-13. Debt management </w:t>
            </w:r>
          </w:p>
        </w:tc>
        <w:tc>
          <w:tcPr>
            <w:tcW w:w="4657" w:type="dxa"/>
            <w:vMerge w:val="restart"/>
            <w:vAlign w:val="center"/>
          </w:tcPr>
          <w:p w14:paraId="643E783D"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Decree on Government Bonds, No. 101/GoL, March 20, 2017</w:t>
            </w:r>
          </w:p>
          <w:p w14:paraId="4B97A00A"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Staff Report for the 2016 and 2017 Article IV consultation – Debt sustainability Analysis, IMF</w:t>
            </w:r>
          </w:p>
          <w:p w14:paraId="12E37E5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Draft Law on Public Debt, September 2017 version submitted to NA</w:t>
            </w:r>
          </w:p>
        </w:tc>
      </w:tr>
      <w:tr w:rsidR="004833E6" w:rsidRPr="00F13C19" w14:paraId="0460D879" w14:textId="77777777" w:rsidTr="00CE5ED9">
        <w:tc>
          <w:tcPr>
            <w:tcW w:w="4878" w:type="dxa"/>
          </w:tcPr>
          <w:p w14:paraId="194524C6"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13.1. Recording and reporting of debt and guarantees</w:t>
            </w:r>
          </w:p>
        </w:tc>
        <w:tc>
          <w:tcPr>
            <w:tcW w:w="4657" w:type="dxa"/>
            <w:vMerge/>
            <w:vAlign w:val="center"/>
          </w:tcPr>
          <w:p w14:paraId="0CA08026" w14:textId="77777777" w:rsidR="004833E6" w:rsidRPr="00F13C19" w:rsidRDefault="004833E6" w:rsidP="000310F5">
            <w:pPr>
              <w:spacing w:before="0"/>
              <w:ind w:left="0" w:right="116"/>
              <w:jc w:val="left"/>
              <w:rPr>
                <w:rFonts w:cstheme="minorHAnsi"/>
                <w:sz w:val="18"/>
                <w:szCs w:val="18"/>
              </w:rPr>
            </w:pPr>
          </w:p>
        </w:tc>
      </w:tr>
      <w:tr w:rsidR="004833E6" w:rsidRPr="00F13C19" w14:paraId="45906355" w14:textId="77777777" w:rsidTr="00CE5ED9">
        <w:tc>
          <w:tcPr>
            <w:tcW w:w="4878" w:type="dxa"/>
          </w:tcPr>
          <w:p w14:paraId="125D42F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13.2. Approval of debt and guarantees</w:t>
            </w:r>
          </w:p>
        </w:tc>
        <w:tc>
          <w:tcPr>
            <w:tcW w:w="4657" w:type="dxa"/>
            <w:vMerge/>
            <w:vAlign w:val="center"/>
          </w:tcPr>
          <w:p w14:paraId="1EDDFF1B" w14:textId="77777777" w:rsidR="004833E6" w:rsidRPr="00F13C19" w:rsidRDefault="004833E6" w:rsidP="000310F5">
            <w:pPr>
              <w:spacing w:before="0"/>
              <w:ind w:left="0" w:right="116"/>
              <w:jc w:val="left"/>
              <w:rPr>
                <w:rFonts w:cstheme="minorHAnsi"/>
                <w:sz w:val="18"/>
                <w:szCs w:val="18"/>
              </w:rPr>
            </w:pPr>
          </w:p>
        </w:tc>
      </w:tr>
      <w:tr w:rsidR="004833E6" w:rsidRPr="00F13C19" w14:paraId="1B1F91DE" w14:textId="77777777" w:rsidTr="00CE5ED9">
        <w:tc>
          <w:tcPr>
            <w:tcW w:w="4878" w:type="dxa"/>
          </w:tcPr>
          <w:p w14:paraId="4F3F9A61"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13.3. Debt management strategy</w:t>
            </w:r>
          </w:p>
        </w:tc>
        <w:tc>
          <w:tcPr>
            <w:tcW w:w="4657" w:type="dxa"/>
            <w:vMerge/>
            <w:vAlign w:val="center"/>
          </w:tcPr>
          <w:p w14:paraId="561267A9" w14:textId="77777777" w:rsidR="004833E6" w:rsidRPr="00F13C19" w:rsidRDefault="004833E6" w:rsidP="000310F5">
            <w:pPr>
              <w:spacing w:before="0"/>
              <w:ind w:left="0" w:right="116"/>
              <w:jc w:val="left"/>
              <w:rPr>
                <w:rFonts w:cstheme="minorHAnsi"/>
                <w:sz w:val="18"/>
                <w:szCs w:val="18"/>
              </w:rPr>
            </w:pPr>
          </w:p>
        </w:tc>
      </w:tr>
      <w:tr w:rsidR="004833E6" w:rsidRPr="00F13C19" w14:paraId="186A3748" w14:textId="77777777" w:rsidTr="00CE5ED9">
        <w:tc>
          <w:tcPr>
            <w:tcW w:w="9535" w:type="dxa"/>
            <w:gridSpan w:val="2"/>
            <w:shd w:val="clear" w:color="auto" w:fill="F16423"/>
            <w:vAlign w:val="center"/>
          </w:tcPr>
          <w:p w14:paraId="252BB277"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t>Policy-based fiscal strategy and budgeting</w:t>
            </w:r>
          </w:p>
        </w:tc>
      </w:tr>
      <w:tr w:rsidR="004833E6" w:rsidRPr="00F13C19" w14:paraId="3F5FD558" w14:textId="77777777" w:rsidTr="00CE5ED9">
        <w:tc>
          <w:tcPr>
            <w:tcW w:w="4878" w:type="dxa"/>
            <w:vAlign w:val="center"/>
          </w:tcPr>
          <w:p w14:paraId="3DD7738A"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PI-14. Macroeconomic and fiscal forecasting</w:t>
            </w:r>
            <w:r w:rsidRPr="00117D3D" w:rsidDel="00E64526">
              <w:rPr>
                <w:rFonts w:eastAsia="SimSun" w:cstheme="minorHAnsi"/>
                <w:b/>
                <w:sz w:val="18"/>
                <w:szCs w:val="18"/>
              </w:rPr>
              <w:t xml:space="preserve"> </w:t>
            </w:r>
          </w:p>
        </w:tc>
        <w:tc>
          <w:tcPr>
            <w:tcW w:w="4657" w:type="dxa"/>
            <w:vMerge w:val="restart"/>
            <w:vAlign w:val="center"/>
          </w:tcPr>
          <w:p w14:paraId="0D783952"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WB Technical Note on Method and Institutional Arrangements for Revenue Forecasting: Functions, Methodologies, and proposal for Lao PDR, June 2018</w:t>
            </w:r>
          </w:p>
          <w:p w14:paraId="583BBD81"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Lao PDR, Public Expenditure Analysis, Synthesis Note, WB, June 2018</w:t>
            </w:r>
          </w:p>
          <w:p w14:paraId="06E1D8FB" w14:textId="77777777" w:rsidR="004833E6" w:rsidRDefault="004833E6" w:rsidP="000310F5">
            <w:pPr>
              <w:spacing w:before="0"/>
              <w:ind w:left="0" w:right="116"/>
              <w:jc w:val="left"/>
              <w:rPr>
                <w:rFonts w:eastAsia="Calibri" w:cstheme="minorHAnsi"/>
                <w:sz w:val="18"/>
                <w:szCs w:val="18"/>
              </w:rPr>
            </w:pPr>
            <w:r w:rsidRPr="00F13C19">
              <w:rPr>
                <w:rFonts w:eastAsia="Calibri" w:cstheme="minorHAnsi"/>
                <w:sz w:val="18"/>
                <w:szCs w:val="18"/>
              </w:rPr>
              <w:t>Lao PDR Systematic Country Diagnostic, Priorities for Ending Poverty and Boosting Shared Prosperity, WB, March 9, 2017</w:t>
            </w:r>
          </w:p>
          <w:p w14:paraId="214DC3DE" w14:textId="77777777" w:rsidR="004833E6" w:rsidRPr="00F13C19" w:rsidRDefault="004833E6" w:rsidP="000310F5">
            <w:pPr>
              <w:spacing w:before="0"/>
              <w:ind w:left="0" w:right="116"/>
              <w:jc w:val="left"/>
              <w:rPr>
                <w:rFonts w:eastAsia="Calibri" w:cstheme="minorHAnsi"/>
                <w:sz w:val="18"/>
                <w:szCs w:val="18"/>
              </w:rPr>
            </w:pPr>
            <w:r>
              <w:rPr>
                <w:rFonts w:eastAsia="Calibri" w:cstheme="minorHAnsi"/>
                <w:sz w:val="18"/>
                <w:szCs w:val="18"/>
              </w:rPr>
              <w:t>Data from FPD for 2018 (internal)</w:t>
            </w:r>
          </w:p>
        </w:tc>
      </w:tr>
      <w:tr w:rsidR="004833E6" w:rsidRPr="00F13C19" w14:paraId="35FB480E" w14:textId="77777777" w:rsidTr="00CE5ED9">
        <w:tc>
          <w:tcPr>
            <w:tcW w:w="4878" w:type="dxa"/>
          </w:tcPr>
          <w:p w14:paraId="5A88659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14.1. Macroeconomic forecasts</w:t>
            </w:r>
          </w:p>
        </w:tc>
        <w:tc>
          <w:tcPr>
            <w:tcW w:w="4657" w:type="dxa"/>
            <w:vMerge/>
            <w:vAlign w:val="center"/>
          </w:tcPr>
          <w:p w14:paraId="3DAD21ED" w14:textId="77777777" w:rsidR="004833E6" w:rsidRPr="00F13C19" w:rsidRDefault="004833E6" w:rsidP="000310F5">
            <w:pPr>
              <w:spacing w:before="0"/>
              <w:ind w:left="0" w:right="116"/>
              <w:jc w:val="left"/>
              <w:rPr>
                <w:rFonts w:cstheme="minorHAnsi"/>
                <w:sz w:val="18"/>
                <w:szCs w:val="18"/>
              </w:rPr>
            </w:pPr>
          </w:p>
        </w:tc>
      </w:tr>
      <w:tr w:rsidR="004833E6" w:rsidRPr="00F13C19" w14:paraId="37D28F31" w14:textId="77777777" w:rsidTr="00CE5ED9">
        <w:tc>
          <w:tcPr>
            <w:tcW w:w="4878" w:type="dxa"/>
          </w:tcPr>
          <w:p w14:paraId="04081B74"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14.2. Fiscal forecasts</w:t>
            </w:r>
          </w:p>
        </w:tc>
        <w:tc>
          <w:tcPr>
            <w:tcW w:w="4657" w:type="dxa"/>
            <w:vMerge/>
            <w:vAlign w:val="center"/>
          </w:tcPr>
          <w:p w14:paraId="4611E6DD" w14:textId="77777777" w:rsidR="004833E6" w:rsidRPr="00F13C19" w:rsidRDefault="004833E6" w:rsidP="000310F5">
            <w:pPr>
              <w:spacing w:before="0"/>
              <w:ind w:left="0" w:right="116"/>
              <w:jc w:val="left"/>
              <w:rPr>
                <w:rFonts w:cstheme="minorHAnsi"/>
                <w:sz w:val="18"/>
                <w:szCs w:val="18"/>
              </w:rPr>
            </w:pPr>
          </w:p>
        </w:tc>
      </w:tr>
      <w:tr w:rsidR="004833E6" w:rsidRPr="00F13C19" w14:paraId="0184C2C4" w14:textId="77777777" w:rsidTr="00CE5ED9">
        <w:trPr>
          <w:trHeight w:val="269"/>
        </w:trPr>
        <w:tc>
          <w:tcPr>
            <w:tcW w:w="4878" w:type="dxa"/>
          </w:tcPr>
          <w:p w14:paraId="23CC1BA7"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14.3. Macro-fiscal sensitivity analysis</w:t>
            </w:r>
          </w:p>
        </w:tc>
        <w:tc>
          <w:tcPr>
            <w:tcW w:w="4657" w:type="dxa"/>
            <w:vMerge/>
            <w:vAlign w:val="center"/>
          </w:tcPr>
          <w:p w14:paraId="684D88C4" w14:textId="77777777" w:rsidR="004833E6" w:rsidRPr="00F13C19" w:rsidRDefault="004833E6" w:rsidP="000310F5">
            <w:pPr>
              <w:spacing w:before="0"/>
              <w:ind w:left="0" w:right="116"/>
              <w:jc w:val="left"/>
              <w:rPr>
                <w:rFonts w:cstheme="minorHAnsi"/>
                <w:sz w:val="18"/>
                <w:szCs w:val="18"/>
              </w:rPr>
            </w:pPr>
          </w:p>
        </w:tc>
      </w:tr>
      <w:tr w:rsidR="004833E6" w:rsidRPr="00F13C19" w14:paraId="07CAFF87" w14:textId="77777777" w:rsidTr="00CE5ED9">
        <w:tc>
          <w:tcPr>
            <w:tcW w:w="4878" w:type="dxa"/>
            <w:vAlign w:val="center"/>
          </w:tcPr>
          <w:p w14:paraId="5D307A78"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PI-15. Fiscal strategy</w:t>
            </w:r>
          </w:p>
        </w:tc>
        <w:tc>
          <w:tcPr>
            <w:tcW w:w="4657" w:type="dxa"/>
            <w:vMerge w:val="restart"/>
            <w:vAlign w:val="center"/>
          </w:tcPr>
          <w:p w14:paraId="27D74050"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Minister's Instruction on Report on NSEDP 6 months implementation, prioritized areas for the last 6 months of 2018 and 2019 Planning preparation. No. 1559/MPI, dated July 6,2018</w:t>
            </w:r>
          </w:p>
        </w:tc>
      </w:tr>
      <w:tr w:rsidR="004833E6" w:rsidRPr="00F13C19" w14:paraId="566C66D9" w14:textId="77777777" w:rsidTr="00CE5ED9">
        <w:tc>
          <w:tcPr>
            <w:tcW w:w="4878" w:type="dxa"/>
          </w:tcPr>
          <w:p w14:paraId="11B995F1"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15.1. Fiscal impact of policy proposals</w:t>
            </w:r>
          </w:p>
        </w:tc>
        <w:tc>
          <w:tcPr>
            <w:tcW w:w="4657" w:type="dxa"/>
            <w:vMerge/>
            <w:vAlign w:val="center"/>
          </w:tcPr>
          <w:p w14:paraId="17BA055C" w14:textId="77777777" w:rsidR="004833E6" w:rsidRPr="00F13C19" w:rsidRDefault="004833E6" w:rsidP="000310F5">
            <w:pPr>
              <w:spacing w:before="0"/>
              <w:ind w:left="0" w:right="116"/>
              <w:jc w:val="left"/>
              <w:rPr>
                <w:rFonts w:cstheme="minorHAnsi"/>
                <w:sz w:val="18"/>
                <w:szCs w:val="18"/>
              </w:rPr>
            </w:pPr>
          </w:p>
        </w:tc>
      </w:tr>
      <w:tr w:rsidR="004833E6" w:rsidRPr="00F13C19" w14:paraId="69FCC49C" w14:textId="77777777" w:rsidTr="00CE5ED9">
        <w:tc>
          <w:tcPr>
            <w:tcW w:w="4878" w:type="dxa"/>
          </w:tcPr>
          <w:p w14:paraId="17B2772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15.2. Fiscal strategy adoption</w:t>
            </w:r>
          </w:p>
        </w:tc>
        <w:tc>
          <w:tcPr>
            <w:tcW w:w="4657" w:type="dxa"/>
            <w:vMerge/>
            <w:vAlign w:val="center"/>
          </w:tcPr>
          <w:p w14:paraId="3492420D" w14:textId="77777777" w:rsidR="004833E6" w:rsidRPr="00F13C19" w:rsidRDefault="004833E6" w:rsidP="000310F5">
            <w:pPr>
              <w:spacing w:before="0"/>
              <w:ind w:left="0" w:right="116"/>
              <w:jc w:val="left"/>
              <w:rPr>
                <w:rFonts w:cstheme="minorHAnsi"/>
                <w:sz w:val="18"/>
                <w:szCs w:val="18"/>
              </w:rPr>
            </w:pPr>
          </w:p>
        </w:tc>
      </w:tr>
      <w:tr w:rsidR="004833E6" w:rsidRPr="00F13C19" w14:paraId="762D7723" w14:textId="77777777" w:rsidTr="00CE5ED9">
        <w:tc>
          <w:tcPr>
            <w:tcW w:w="4878" w:type="dxa"/>
          </w:tcPr>
          <w:p w14:paraId="210F9759"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15.3. Reporting on fiscal outcomes</w:t>
            </w:r>
          </w:p>
        </w:tc>
        <w:tc>
          <w:tcPr>
            <w:tcW w:w="4657" w:type="dxa"/>
            <w:vMerge/>
            <w:vAlign w:val="center"/>
          </w:tcPr>
          <w:p w14:paraId="6E2E02C7" w14:textId="77777777" w:rsidR="004833E6" w:rsidRPr="00F13C19" w:rsidRDefault="004833E6" w:rsidP="000310F5">
            <w:pPr>
              <w:spacing w:before="0"/>
              <w:ind w:left="0" w:right="116"/>
              <w:jc w:val="left"/>
              <w:rPr>
                <w:rFonts w:cstheme="minorHAnsi"/>
                <w:sz w:val="18"/>
                <w:szCs w:val="18"/>
              </w:rPr>
            </w:pPr>
          </w:p>
        </w:tc>
      </w:tr>
      <w:tr w:rsidR="004833E6" w:rsidRPr="00F13C19" w14:paraId="7BBB61CE" w14:textId="77777777" w:rsidTr="00CE5ED9">
        <w:tc>
          <w:tcPr>
            <w:tcW w:w="4878" w:type="dxa"/>
            <w:vAlign w:val="center"/>
          </w:tcPr>
          <w:p w14:paraId="49407AD1"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PI-16. Medium-term perspective in expenditure budgeting</w:t>
            </w:r>
          </w:p>
        </w:tc>
        <w:tc>
          <w:tcPr>
            <w:tcW w:w="4657" w:type="dxa"/>
            <w:vMerge w:val="restart"/>
            <w:vAlign w:val="center"/>
          </w:tcPr>
          <w:p w14:paraId="49B47C91"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Instruction by MPI on NSEDP implementation for FY17, Dec 19, 2016</w:t>
            </w:r>
          </w:p>
          <w:p w14:paraId="2C1B9BF2" w14:textId="77777777" w:rsidR="004833E6" w:rsidRPr="00F13C19" w:rsidRDefault="004833E6" w:rsidP="000310F5">
            <w:pPr>
              <w:spacing w:before="0"/>
              <w:ind w:left="0" w:right="116"/>
              <w:jc w:val="left"/>
              <w:rPr>
                <w:rFonts w:cstheme="minorHAnsi"/>
                <w:sz w:val="18"/>
                <w:szCs w:val="18"/>
              </w:rPr>
            </w:pPr>
            <w:proofErr w:type="gramStart"/>
            <w:r w:rsidRPr="00F13C19">
              <w:rPr>
                <w:rFonts w:cstheme="minorHAnsi"/>
                <w:sz w:val="18"/>
                <w:szCs w:val="18"/>
              </w:rPr>
              <w:t>4 year</w:t>
            </w:r>
            <w:proofErr w:type="gramEnd"/>
            <w:r w:rsidRPr="00F13C19">
              <w:rPr>
                <w:rFonts w:cstheme="minorHAnsi"/>
                <w:sz w:val="18"/>
                <w:szCs w:val="18"/>
              </w:rPr>
              <w:t xml:space="preserve"> Budget Plan Framework approved by the NA, November 2016.</w:t>
            </w:r>
          </w:p>
          <w:p w14:paraId="3A3A6184"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NA Resolution on its 1st Ordinary session of the 8th Legislature On endorsement of revised State Budget plan 2015-2016 and State Budget plan for the last 3 months of 2016 transition period, no. 07/NA, dated 22/4/2016</w:t>
            </w:r>
          </w:p>
          <w:p w14:paraId="6CBBCD2E"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NA Resolution on the approvals on the vision to 2030 vision, 10 years (2016 to 2025) NSED Strategy and NSEDP 5 years, the 8th legislation; no 9/</w:t>
            </w:r>
            <w:proofErr w:type="gramStart"/>
            <w:r w:rsidRPr="00F13C19">
              <w:rPr>
                <w:rFonts w:cstheme="minorHAnsi"/>
                <w:sz w:val="18"/>
                <w:szCs w:val="18"/>
              </w:rPr>
              <w:t>NA,  dated</w:t>
            </w:r>
            <w:proofErr w:type="gramEnd"/>
            <w:r w:rsidRPr="00F13C19">
              <w:rPr>
                <w:rFonts w:cstheme="minorHAnsi"/>
                <w:sz w:val="18"/>
                <w:szCs w:val="18"/>
              </w:rPr>
              <w:t xml:space="preserve"> 22/4/2016</w:t>
            </w:r>
          </w:p>
        </w:tc>
      </w:tr>
      <w:tr w:rsidR="004833E6" w:rsidRPr="00F13C19" w14:paraId="1BDC757A" w14:textId="77777777" w:rsidTr="00CE5ED9">
        <w:tc>
          <w:tcPr>
            <w:tcW w:w="4878" w:type="dxa"/>
          </w:tcPr>
          <w:p w14:paraId="5EA42507"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16.1. Medium-term expenditure estimates</w:t>
            </w:r>
          </w:p>
        </w:tc>
        <w:tc>
          <w:tcPr>
            <w:tcW w:w="4657" w:type="dxa"/>
            <w:vMerge/>
            <w:vAlign w:val="center"/>
          </w:tcPr>
          <w:p w14:paraId="5A2D6DDC" w14:textId="77777777" w:rsidR="004833E6" w:rsidRPr="00F13C19" w:rsidRDefault="004833E6" w:rsidP="000310F5">
            <w:pPr>
              <w:spacing w:before="0"/>
              <w:ind w:left="0" w:right="116"/>
              <w:jc w:val="left"/>
              <w:rPr>
                <w:rFonts w:cstheme="minorHAnsi"/>
                <w:sz w:val="18"/>
                <w:szCs w:val="18"/>
              </w:rPr>
            </w:pPr>
          </w:p>
        </w:tc>
      </w:tr>
      <w:tr w:rsidR="004833E6" w:rsidRPr="00F13C19" w14:paraId="0F3D7668" w14:textId="77777777" w:rsidTr="00CE5ED9">
        <w:tc>
          <w:tcPr>
            <w:tcW w:w="4878" w:type="dxa"/>
          </w:tcPr>
          <w:p w14:paraId="73939A04"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 xml:space="preserve">16.2. Medium-term expenditure ceilings </w:t>
            </w:r>
          </w:p>
        </w:tc>
        <w:tc>
          <w:tcPr>
            <w:tcW w:w="4657" w:type="dxa"/>
            <w:vMerge/>
            <w:vAlign w:val="center"/>
          </w:tcPr>
          <w:p w14:paraId="00887D59" w14:textId="77777777" w:rsidR="004833E6" w:rsidRPr="00F13C19" w:rsidRDefault="004833E6" w:rsidP="000310F5">
            <w:pPr>
              <w:spacing w:before="0"/>
              <w:ind w:left="0" w:right="116"/>
              <w:jc w:val="left"/>
              <w:rPr>
                <w:rFonts w:cstheme="minorHAnsi"/>
                <w:sz w:val="18"/>
                <w:szCs w:val="18"/>
              </w:rPr>
            </w:pPr>
          </w:p>
        </w:tc>
      </w:tr>
      <w:tr w:rsidR="004833E6" w:rsidRPr="00F13C19" w14:paraId="18B77791" w14:textId="77777777" w:rsidTr="00CE5ED9">
        <w:tc>
          <w:tcPr>
            <w:tcW w:w="4878" w:type="dxa"/>
          </w:tcPr>
          <w:p w14:paraId="43F43AA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16.3. Alignment of strategic plans and medium-term budgets</w:t>
            </w:r>
          </w:p>
        </w:tc>
        <w:tc>
          <w:tcPr>
            <w:tcW w:w="4657" w:type="dxa"/>
            <w:vMerge/>
            <w:vAlign w:val="center"/>
          </w:tcPr>
          <w:p w14:paraId="0B7B6AA8" w14:textId="77777777" w:rsidR="004833E6" w:rsidRPr="00F13C19" w:rsidRDefault="004833E6" w:rsidP="000310F5">
            <w:pPr>
              <w:spacing w:before="0"/>
              <w:ind w:left="0" w:right="116"/>
              <w:jc w:val="left"/>
              <w:rPr>
                <w:rFonts w:cstheme="minorHAnsi"/>
                <w:sz w:val="18"/>
                <w:szCs w:val="18"/>
              </w:rPr>
            </w:pPr>
          </w:p>
        </w:tc>
      </w:tr>
      <w:tr w:rsidR="004833E6" w:rsidRPr="00F13C19" w14:paraId="7EA1C11D" w14:textId="77777777" w:rsidTr="00CE5ED9">
        <w:tc>
          <w:tcPr>
            <w:tcW w:w="4878" w:type="dxa"/>
          </w:tcPr>
          <w:p w14:paraId="5172A28F"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16.4 Consistency of budgets with previous year’s estimates</w:t>
            </w:r>
          </w:p>
        </w:tc>
        <w:tc>
          <w:tcPr>
            <w:tcW w:w="4657" w:type="dxa"/>
            <w:vMerge/>
            <w:vAlign w:val="center"/>
          </w:tcPr>
          <w:p w14:paraId="35D31A39" w14:textId="77777777" w:rsidR="004833E6" w:rsidRPr="00F13C19" w:rsidRDefault="004833E6" w:rsidP="000310F5">
            <w:pPr>
              <w:spacing w:before="0"/>
              <w:ind w:left="0" w:right="116"/>
              <w:jc w:val="left"/>
              <w:rPr>
                <w:rFonts w:cstheme="minorHAnsi"/>
                <w:sz w:val="18"/>
                <w:szCs w:val="18"/>
              </w:rPr>
            </w:pPr>
          </w:p>
        </w:tc>
      </w:tr>
      <w:tr w:rsidR="004833E6" w:rsidRPr="00F13C19" w14:paraId="0D82EFB1" w14:textId="77777777" w:rsidTr="00CE5ED9">
        <w:tc>
          <w:tcPr>
            <w:tcW w:w="4878" w:type="dxa"/>
            <w:vAlign w:val="center"/>
          </w:tcPr>
          <w:p w14:paraId="1E7A6F85"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PI-17. Budget preparation process</w:t>
            </w:r>
          </w:p>
        </w:tc>
        <w:tc>
          <w:tcPr>
            <w:tcW w:w="4657" w:type="dxa"/>
            <w:vMerge w:val="restart"/>
            <w:vAlign w:val="center"/>
          </w:tcPr>
          <w:p w14:paraId="5A151011"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Prime Minister's Order on Report on NSEDP and State Budget 6 months implementation, prioritized areas for the last 6 months of 2018 and 2019 NSDEP and State Budget preparation. </w:t>
            </w:r>
            <w:proofErr w:type="gramStart"/>
            <w:r w:rsidRPr="00F13C19">
              <w:rPr>
                <w:rFonts w:cstheme="minorHAnsi"/>
                <w:sz w:val="18"/>
                <w:szCs w:val="18"/>
              </w:rPr>
              <w:t>No. 07/PM,</w:t>
            </w:r>
            <w:proofErr w:type="gramEnd"/>
            <w:r w:rsidRPr="00F13C19">
              <w:rPr>
                <w:rFonts w:cstheme="minorHAnsi"/>
                <w:sz w:val="18"/>
                <w:szCs w:val="18"/>
              </w:rPr>
              <w:t xml:space="preserve"> dated 22/6/2018</w:t>
            </w:r>
          </w:p>
          <w:p w14:paraId="75163257"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Specific instruction by MoF on the budget plan preparations for 2017. June 23, 2016</w:t>
            </w:r>
          </w:p>
          <w:p w14:paraId="6F962F76" w14:textId="77777777" w:rsidR="004833E6" w:rsidRDefault="004833E6" w:rsidP="000310F5">
            <w:pPr>
              <w:spacing w:before="0"/>
              <w:ind w:left="0" w:right="116"/>
              <w:jc w:val="left"/>
              <w:rPr>
                <w:rFonts w:cstheme="minorHAnsi"/>
                <w:sz w:val="18"/>
                <w:szCs w:val="18"/>
              </w:rPr>
            </w:pPr>
            <w:r w:rsidRPr="00F13C19">
              <w:rPr>
                <w:rFonts w:cstheme="minorHAnsi"/>
                <w:sz w:val="18"/>
                <w:szCs w:val="18"/>
              </w:rPr>
              <w:lastRenderedPageBreak/>
              <w:t>Decree on NSEDP, State Budget and Monetary plan for 2017, No. 445/PM, dated 19/12/201</w:t>
            </w:r>
          </w:p>
          <w:p w14:paraId="6FA7A572" w14:textId="77777777" w:rsidR="004833E6" w:rsidRPr="00F13C19" w:rsidRDefault="004833E6" w:rsidP="000310F5">
            <w:pPr>
              <w:spacing w:before="0"/>
              <w:ind w:left="0" w:right="116"/>
              <w:jc w:val="left"/>
              <w:rPr>
                <w:rFonts w:cstheme="minorHAnsi"/>
                <w:sz w:val="18"/>
                <w:szCs w:val="18"/>
              </w:rPr>
            </w:pPr>
            <w:proofErr w:type="gramStart"/>
            <w:r>
              <w:rPr>
                <w:rFonts w:cstheme="minorHAnsi"/>
                <w:sz w:val="18"/>
                <w:szCs w:val="18"/>
              </w:rPr>
              <w:t xml:space="preserve">MoF </w:t>
            </w:r>
            <w:r w:rsidRPr="00F13C19">
              <w:rPr>
                <w:rFonts w:cstheme="minorHAnsi"/>
                <w:sz w:val="18"/>
                <w:szCs w:val="18"/>
              </w:rPr>
              <w:t xml:space="preserve"> instructio</w:t>
            </w:r>
            <w:r>
              <w:rPr>
                <w:rFonts w:cstheme="minorHAnsi"/>
                <w:sz w:val="18"/>
                <w:szCs w:val="18"/>
              </w:rPr>
              <w:t>n</w:t>
            </w:r>
            <w:proofErr w:type="gramEnd"/>
            <w:r w:rsidRPr="00F13C19">
              <w:rPr>
                <w:rFonts w:cstheme="minorHAnsi"/>
                <w:sz w:val="18"/>
                <w:szCs w:val="18"/>
              </w:rPr>
              <w:t xml:space="preserve"> on budget execution for 2017</w:t>
            </w:r>
            <w:r>
              <w:rPr>
                <w:rFonts w:cstheme="minorHAnsi"/>
                <w:sz w:val="18"/>
                <w:szCs w:val="18"/>
              </w:rPr>
              <w:t>, 2018 and 2019, MoF Budget department (Budget circulars)</w:t>
            </w:r>
          </w:p>
        </w:tc>
      </w:tr>
      <w:tr w:rsidR="004833E6" w:rsidRPr="00F13C19" w14:paraId="50305888" w14:textId="77777777" w:rsidTr="00CE5ED9">
        <w:tc>
          <w:tcPr>
            <w:tcW w:w="4878" w:type="dxa"/>
          </w:tcPr>
          <w:p w14:paraId="733214B7"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17.1. Budget calendar</w:t>
            </w:r>
          </w:p>
        </w:tc>
        <w:tc>
          <w:tcPr>
            <w:tcW w:w="4657" w:type="dxa"/>
            <w:vMerge/>
            <w:vAlign w:val="center"/>
          </w:tcPr>
          <w:p w14:paraId="6351B241" w14:textId="77777777" w:rsidR="004833E6" w:rsidRPr="00F13C19" w:rsidRDefault="004833E6" w:rsidP="000310F5">
            <w:pPr>
              <w:spacing w:before="0"/>
              <w:ind w:left="0" w:right="116"/>
              <w:jc w:val="left"/>
              <w:rPr>
                <w:rFonts w:cstheme="minorHAnsi"/>
                <w:sz w:val="18"/>
                <w:szCs w:val="18"/>
              </w:rPr>
            </w:pPr>
          </w:p>
        </w:tc>
      </w:tr>
      <w:tr w:rsidR="004833E6" w:rsidRPr="00F13C19" w14:paraId="74ADA151" w14:textId="77777777" w:rsidTr="00CE5ED9">
        <w:tc>
          <w:tcPr>
            <w:tcW w:w="4878" w:type="dxa"/>
          </w:tcPr>
          <w:p w14:paraId="69C128F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17.2. Guidance on budget preparation</w:t>
            </w:r>
          </w:p>
        </w:tc>
        <w:tc>
          <w:tcPr>
            <w:tcW w:w="4657" w:type="dxa"/>
            <w:vMerge/>
            <w:vAlign w:val="center"/>
          </w:tcPr>
          <w:p w14:paraId="324DFB47" w14:textId="77777777" w:rsidR="004833E6" w:rsidRPr="00F13C19" w:rsidRDefault="004833E6" w:rsidP="000310F5">
            <w:pPr>
              <w:spacing w:before="0"/>
              <w:ind w:left="0" w:right="116"/>
              <w:jc w:val="left"/>
              <w:rPr>
                <w:rFonts w:cstheme="minorHAnsi"/>
                <w:sz w:val="18"/>
                <w:szCs w:val="18"/>
              </w:rPr>
            </w:pPr>
          </w:p>
        </w:tc>
      </w:tr>
      <w:tr w:rsidR="004833E6" w:rsidRPr="00F13C19" w14:paraId="3BF5BC05" w14:textId="77777777" w:rsidTr="00CE5ED9">
        <w:tc>
          <w:tcPr>
            <w:tcW w:w="4878" w:type="dxa"/>
          </w:tcPr>
          <w:p w14:paraId="4412880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17.3. Budget submission to the legislature</w:t>
            </w:r>
          </w:p>
        </w:tc>
        <w:tc>
          <w:tcPr>
            <w:tcW w:w="4657" w:type="dxa"/>
            <w:vMerge/>
            <w:vAlign w:val="center"/>
          </w:tcPr>
          <w:p w14:paraId="15FA3CA8" w14:textId="77777777" w:rsidR="004833E6" w:rsidRPr="00F13C19" w:rsidRDefault="004833E6" w:rsidP="000310F5">
            <w:pPr>
              <w:spacing w:before="0"/>
              <w:ind w:left="0" w:right="116"/>
              <w:jc w:val="left"/>
              <w:rPr>
                <w:rFonts w:cstheme="minorHAnsi"/>
                <w:sz w:val="18"/>
                <w:szCs w:val="18"/>
              </w:rPr>
            </w:pPr>
          </w:p>
        </w:tc>
      </w:tr>
      <w:tr w:rsidR="004833E6" w:rsidRPr="00F13C19" w14:paraId="17883AFE" w14:textId="77777777" w:rsidTr="00CE5ED9">
        <w:tc>
          <w:tcPr>
            <w:tcW w:w="4878" w:type="dxa"/>
            <w:vAlign w:val="center"/>
          </w:tcPr>
          <w:p w14:paraId="5D3ACE20"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 xml:space="preserve">PI-18. Legislative scrutiny of budgets </w:t>
            </w:r>
          </w:p>
        </w:tc>
        <w:tc>
          <w:tcPr>
            <w:tcW w:w="4657" w:type="dxa"/>
            <w:vMerge w:val="restart"/>
            <w:vAlign w:val="center"/>
          </w:tcPr>
          <w:p w14:paraId="34029850"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Draft Report by MoF to the cabinets on the state budget execution FY15/16 and budget allocation for the last 3 months transitional period at the end of FY </w:t>
            </w:r>
            <w:proofErr w:type="gramStart"/>
            <w:r w:rsidRPr="00F13C19">
              <w:rPr>
                <w:rFonts w:cstheme="minorHAnsi"/>
                <w:sz w:val="18"/>
                <w:szCs w:val="18"/>
              </w:rPr>
              <w:t>2016,  as</w:t>
            </w:r>
            <w:proofErr w:type="gramEnd"/>
            <w:r w:rsidRPr="00F13C19">
              <w:rPr>
                <w:rFonts w:cstheme="minorHAnsi"/>
                <w:sz w:val="18"/>
                <w:szCs w:val="18"/>
              </w:rPr>
              <w:t xml:space="preserve"> well as the directions for 4 years the state budget from  FY2017 – 2020, 2nd Ordinary session, 8th legislation, Oct 24 to 18 Nov 2016.  </w:t>
            </w:r>
          </w:p>
          <w:p w14:paraId="629A041C" w14:textId="77777777" w:rsidR="004833E6" w:rsidRDefault="004833E6" w:rsidP="000310F5">
            <w:pPr>
              <w:spacing w:before="0"/>
              <w:ind w:left="0" w:right="116"/>
              <w:jc w:val="left"/>
              <w:rPr>
                <w:rFonts w:cstheme="minorHAnsi"/>
                <w:sz w:val="18"/>
                <w:szCs w:val="18"/>
              </w:rPr>
            </w:pPr>
            <w:r w:rsidRPr="00F13C19">
              <w:rPr>
                <w:rFonts w:cstheme="minorHAnsi"/>
                <w:sz w:val="18"/>
                <w:szCs w:val="18"/>
              </w:rPr>
              <w:t xml:space="preserve">Report by MoF on budget execution for the first 6 months of FY2017 as well as the directions of the state budget for FY2018.  to 4th ordinary session of the 8th legislation July 16 Oct -17 </w:t>
            </w:r>
            <w:proofErr w:type="gramStart"/>
            <w:r w:rsidRPr="00F13C19">
              <w:rPr>
                <w:rFonts w:cstheme="minorHAnsi"/>
                <w:sz w:val="18"/>
                <w:szCs w:val="18"/>
              </w:rPr>
              <w:t>Nov,</w:t>
            </w:r>
            <w:proofErr w:type="gramEnd"/>
            <w:r w:rsidRPr="00F13C19">
              <w:rPr>
                <w:rFonts w:cstheme="minorHAnsi"/>
                <w:sz w:val="18"/>
                <w:szCs w:val="18"/>
              </w:rPr>
              <w:t xml:space="preserve"> 2017. No 3525-1/ MOF, 16 Oct 2017.</w:t>
            </w:r>
          </w:p>
          <w:p w14:paraId="499C9836" w14:textId="77777777" w:rsidR="004833E6" w:rsidRPr="00F13C19" w:rsidRDefault="004833E6" w:rsidP="000310F5">
            <w:pPr>
              <w:spacing w:before="0"/>
              <w:ind w:left="0" w:right="116"/>
              <w:jc w:val="left"/>
              <w:rPr>
                <w:rFonts w:cstheme="minorHAnsi"/>
                <w:sz w:val="18"/>
                <w:szCs w:val="18"/>
              </w:rPr>
            </w:pPr>
            <w:r>
              <w:rPr>
                <w:rFonts w:cstheme="minorHAnsi"/>
                <w:sz w:val="18"/>
                <w:szCs w:val="18"/>
              </w:rPr>
              <w:t>Budget data from FPD on budget revision from 2013-14 to 2017.</w:t>
            </w:r>
          </w:p>
        </w:tc>
      </w:tr>
      <w:tr w:rsidR="004833E6" w:rsidRPr="00F13C19" w14:paraId="5769C255" w14:textId="77777777" w:rsidTr="00CE5ED9">
        <w:tc>
          <w:tcPr>
            <w:tcW w:w="4878" w:type="dxa"/>
          </w:tcPr>
          <w:p w14:paraId="604BE0E9"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18.1. Scope of budget scrutiny</w:t>
            </w:r>
          </w:p>
        </w:tc>
        <w:tc>
          <w:tcPr>
            <w:tcW w:w="4657" w:type="dxa"/>
            <w:vMerge/>
            <w:vAlign w:val="center"/>
          </w:tcPr>
          <w:p w14:paraId="5A004527" w14:textId="77777777" w:rsidR="004833E6" w:rsidRPr="00F13C19" w:rsidRDefault="004833E6" w:rsidP="000310F5">
            <w:pPr>
              <w:spacing w:before="0"/>
              <w:ind w:left="0" w:right="116"/>
              <w:jc w:val="left"/>
              <w:rPr>
                <w:rFonts w:cstheme="minorHAnsi"/>
                <w:sz w:val="18"/>
                <w:szCs w:val="18"/>
              </w:rPr>
            </w:pPr>
          </w:p>
        </w:tc>
      </w:tr>
      <w:tr w:rsidR="004833E6" w:rsidRPr="00F13C19" w14:paraId="608EC8D0" w14:textId="77777777" w:rsidTr="00CE5ED9">
        <w:tc>
          <w:tcPr>
            <w:tcW w:w="4878" w:type="dxa"/>
          </w:tcPr>
          <w:p w14:paraId="0F511691"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18.2. Legislative procedures for budget scrutiny</w:t>
            </w:r>
          </w:p>
        </w:tc>
        <w:tc>
          <w:tcPr>
            <w:tcW w:w="4657" w:type="dxa"/>
            <w:vMerge/>
            <w:vAlign w:val="center"/>
          </w:tcPr>
          <w:p w14:paraId="34DB6A6E" w14:textId="77777777" w:rsidR="004833E6" w:rsidRPr="00F13C19" w:rsidRDefault="004833E6" w:rsidP="000310F5">
            <w:pPr>
              <w:spacing w:before="0"/>
              <w:ind w:left="0" w:right="116"/>
              <w:jc w:val="left"/>
              <w:rPr>
                <w:rFonts w:cstheme="minorHAnsi"/>
                <w:sz w:val="18"/>
                <w:szCs w:val="18"/>
              </w:rPr>
            </w:pPr>
          </w:p>
        </w:tc>
      </w:tr>
      <w:tr w:rsidR="004833E6" w:rsidRPr="00F13C19" w14:paraId="37E7F20D" w14:textId="77777777" w:rsidTr="00CE5ED9">
        <w:tc>
          <w:tcPr>
            <w:tcW w:w="4878" w:type="dxa"/>
          </w:tcPr>
          <w:p w14:paraId="60BABF0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18.3. Timing of budget approval</w:t>
            </w:r>
          </w:p>
        </w:tc>
        <w:tc>
          <w:tcPr>
            <w:tcW w:w="4657" w:type="dxa"/>
            <w:vMerge/>
            <w:vAlign w:val="center"/>
          </w:tcPr>
          <w:p w14:paraId="773E9BB2" w14:textId="77777777" w:rsidR="004833E6" w:rsidRPr="00F13C19" w:rsidRDefault="004833E6" w:rsidP="000310F5">
            <w:pPr>
              <w:spacing w:before="0"/>
              <w:ind w:left="0" w:right="116"/>
              <w:jc w:val="left"/>
              <w:rPr>
                <w:rFonts w:cstheme="minorHAnsi"/>
                <w:sz w:val="18"/>
                <w:szCs w:val="18"/>
              </w:rPr>
            </w:pPr>
          </w:p>
        </w:tc>
      </w:tr>
      <w:tr w:rsidR="004833E6" w:rsidRPr="00F13C19" w14:paraId="7A678C5F" w14:textId="77777777" w:rsidTr="00CE5ED9">
        <w:tc>
          <w:tcPr>
            <w:tcW w:w="4878" w:type="dxa"/>
          </w:tcPr>
          <w:p w14:paraId="583DB643"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18.4. Rules for budget adjustments by the executive</w:t>
            </w:r>
          </w:p>
        </w:tc>
        <w:tc>
          <w:tcPr>
            <w:tcW w:w="4657" w:type="dxa"/>
            <w:vMerge/>
            <w:vAlign w:val="center"/>
          </w:tcPr>
          <w:p w14:paraId="52860480" w14:textId="77777777" w:rsidR="004833E6" w:rsidRPr="00F13C19" w:rsidRDefault="004833E6" w:rsidP="000310F5">
            <w:pPr>
              <w:spacing w:before="0"/>
              <w:ind w:left="0" w:right="116"/>
              <w:jc w:val="left"/>
              <w:rPr>
                <w:rFonts w:cstheme="minorHAnsi"/>
                <w:sz w:val="18"/>
                <w:szCs w:val="18"/>
              </w:rPr>
            </w:pPr>
          </w:p>
        </w:tc>
      </w:tr>
      <w:tr w:rsidR="004833E6" w:rsidRPr="00F13C19" w14:paraId="7EA6ECC8" w14:textId="77777777" w:rsidTr="00CE5ED9">
        <w:tc>
          <w:tcPr>
            <w:tcW w:w="9535" w:type="dxa"/>
            <w:gridSpan w:val="2"/>
            <w:shd w:val="clear" w:color="auto" w:fill="84C346"/>
            <w:vAlign w:val="center"/>
          </w:tcPr>
          <w:p w14:paraId="71810B99"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t>Predictability and control in budget execution</w:t>
            </w:r>
          </w:p>
        </w:tc>
      </w:tr>
      <w:tr w:rsidR="004833E6" w:rsidRPr="00F13C19" w14:paraId="11C68C95" w14:textId="77777777" w:rsidTr="00CE5ED9">
        <w:tc>
          <w:tcPr>
            <w:tcW w:w="4878" w:type="dxa"/>
            <w:vAlign w:val="center"/>
          </w:tcPr>
          <w:p w14:paraId="64D6ACC4"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 xml:space="preserve">PI-19. Revenue administration </w:t>
            </w:r>
          </w:p>
        </w:tc>
        <w:tc>
          <w:tcPr>
            <w:tcW w:w="4657" w:type="dxa"/>
            <w:vMerge w:val="restart"/>
            <w:vAlign w:val="center"/>
          </w:tcPr>
          <w:p w14:paraId="1AAEBBA3"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Revised Tax Law 2015</w:t>
            </w:r>
          </w:p>
          <w:p w14:paraId="3C612D4A"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Customs Law 2011</w:t>
            </w:r>
          </w:p>
          <w:p w14:paraId="771337E3"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VAT Law 2016</w:t>
            </w:r>
          </w:p>
          <w:p w14:paraId="3753EEA9"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D17E02">
              <w:rPr>
                <w:rFonts w:eastAsia="Calibri" w:cstheme="minorHAnsi"/>
                <w:sz w:val="18"/>
                <w:szCs w:val="18"/>
              </w:rPr>
              <w:t>Ministerial Instruction</w:t>
            </w:r>
            <w:r w:rsidRPr="00F13C19">
              <w:rPr>
                <w:rFonts w:eastAsia="Calibri" w:cstheme="minorHAnsi"/>
                <w:sz w:val="18"/>
                <w:szCs w:val="18"/>
              </w:rPr>
              <w:t xml:space="preserve"> </w:t>
            </w:r>
            <w:proofErr w:type="gramStart"/>
            <w:r w:rsidRPr="00F13C19">
              <w:rPr>
                <w:rFonts w:eastAsia="Calibri" w:cstheme="minorHAnsi"/>
                <w:sz w:val="18"/>
                <w:szCs w:val="18"/>
              </w:rPr>
              <w:t>On</w:t>
            </w:r>
            <w:proofErr w:type="gramEnd"/>
            <w:r w:rsidRPr="00F13C19">
              <w:rPr>
                <w:rFonts w:eastAsia="Calibri" w:cstheme="minorHAnsi"/>
                <w:sz w:val="18"/>
                <w:szCs w:val="18"/>
              </w:rPr>
              <w:t xml:space="preserve"> Tax Revenue Collection Management, MoF 3281, October 2014</w:t>
            </w:r>
          </w:p>
          <w:p w14:paraId="29F79227"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Specific data from Tax Department on Complaints and questions from Public and Private sectors, staffing tables and inspection findings.</w:t>
            </w:r>
          </w:p>
          <w:p w14:paraId="19AEA3F5"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Revision VAT Law, towards international practices, ppt presentation, WB December 2017</w:t>
            </w:r>
          </w:p>
          <w:p w14:paraId="5BD4B3E9"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Tax reform for growth and revenue mobilization, WB ppt presentation, December 2017</w:t>
            </w:r>
          </w:p>
          <w:p w14:paraId="0A06DD8B"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A comparative Analysis in Tax administration in Asia and the Pacific, ADB, July 2018</w:t>
            </w:r>
          </w:p>
          <w:p w14:paraId="446DE68D"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Simplifying the Tax System to Enhance Revenue and Efficiency technical Assistance Report, FAD, IMF June 2017</w:t>
            </w:r>
          </w:p>
          <w:p w14:paraId="47328CE2"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 xml:space="preserve">Technical assistance report (draft) implementing Tax administration reform and developing a </w:t>
            </w:r>
            <w:proofErr w:type="gramStart"/>
            <w:r w:rsidRPr="00F13C19">
              <w:rPr>
                <w:rFonts w:eastAsia="Calibri" w:cstheme="minorHAnsi"/>
                <w:sz w:val="18"/>
                <w:szCs w:val="18"/>
              </w:rPr>
              <w:t>Medium Term</w:t>
            </w:r>
            <w:proofErr w:type="gramEnd"/>
            <w:r w:rsidRPr="00F13C19">
              <w:rPr>
                <w:rFonts w:eastAsia="Calibri" w:cstheme="minorHAnsi"/>
                <w:sz w:val="18"/>
                <w:szCs w:val="18"/>
              </w:rPr>
              <w:t xml:space="preserve"> Revenue Strategy, FAD, IMF June 2018 </w:t>
            </w:r>
          </w:p>
          <w:p w14:paraId="795395E3" w14:textId="77777777" w:rsidR="004833E6" w:rsidRPr="00F13C19" w:rsidRDefault="004833E6" w:rsidP="000310F5">
            <w:pPr>
              <w:autoSpaceDE w:val="0"/>
              <w:autoSpaceDN w:val="0"/>
              <w:adjustRightInd w:val="0"/>
              <w:spacing w:before="0"/>
              <w:ind w:left="0" w:right="116"/>
              <w:jc w:val="left"/>
              <w:rPr>
                <w:rFonts w:eastAsia="Calibri" w:cstheme="minorHAnsi"/>
                <w:sz w:val="18"/>
                <w:szCs w:val="18"/>
              </w:rPr>
            </w:pPr>
            <w:r w:rsidRPr="00D17E02">
              <w:rPr>
                <w:rFonts w:eastAsia="Calibri" w:cstheme="minorHAnsi"/>
                <w:sz w:val="18"/>
                <w:szCs w:val="18"/>
              </w:rPr>
              <w:t xml:space="preserve">Mission Report: </w:t>
            </w:r>
            <w:r w:rsidRPr="00F13C19">
              <w:rPr>
                <w:rFonts w:eastAsia="Calibri" w:cstheme="minorHAnsi"/>
                <w:sz w:val="18"/>
                <w:szCs w:val="18"/>
              </w:rPr>
              <w:t>Tax Administration Support to the Large Tax Payer Unit, WB, October 2017</w:t>
            </w:r>
          </w:p>
          <w:p w14:paraId="16AA12DD" w14:textId="77777777" w:rsidR="004833E6" w:rsidRDefault="004833E6" w:rsidP="000310F5">
            <w:pPr>
              <w:widowControl w:val="0"/>
              <w:tabs>
                <w:tab w:val="left" w:pos="463"/>
              </w:tabs>
              <w:spacing w:before="0"/>
              <w:ind w:left="0" w:right="116"/>
              <w:jc w:val="left"/>
              <w:rPr>
                <w:rFonts w:eastAsia="Calibri" w:cstheme="minorHAnsi"/>
                <w:sz w:val="18"/>
                <w:szCs w:val="18"/>
              </w:rPr>
            </w:pPr>
            <w:r w:rsidRPr="00F13C19">
              <w:rPr>
                <w:rFonts w:eastAsia="Calibri" w:cstheme="minorHAnsi"/>
                <w:sz w:val="18"/>
                <w:szCs w:val="18"/>
              </w:rPr>
              <w:t>Technical Note: Implementation of a Risk Based Audits System for the Large Tax Payers, WB. 20 June 2018</w:t>
            </w:r>
          </w:p>
          <w:p w14:paraId="15A26342"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Data collected from Tax department, post-filing division on tax audits and claims.</w:t>
            </w:r>
          </w:p>
        </w:tc>
      </w:tr>
      <w:tr w:rsidR="004833E6" w:rsidRPr="00F13C19" w14:paraId="5580CECC" w14:textId="77777777" w:rsidTr="00CE5ED9">
        <w:tc>
          <w:tcPr>
            <w:tcW w:w="4878" w:type="dxa"/>
          </w:tcPr>
          <w:p w14:paraId="090BED0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19.1. Rights and obligations for revenue measures</w:t>
            </w:r>
          </w:p>
        </w:tc>
        <w:tc>
          <w:tcPr>
            <w:tcW w:w="4657" w:type="dxa"/>
            <w:vMerge/>
            <w:vAlign w:val="center"/>
          </w:tcPr>
          <w:p w14:paraId="2991B2B0" w14:textId="77777777" w:rsidR="004833E6" w:rsidRPr="00F13C19" w:rsidRDefault="004833E6" w:rsidP="000310F5">
            <w:pPr>
              <w:spacing w:before="0"/>
              <w:ind w:left="0" w:right="116"/>
              <w:jc w:val="left"/>
              <w:rPr>
                <w:rFonts w:cstheme="minorHAnsi"/>
                <w:sz w:val="18"/>
                <w:szCs w:val="18"/>
              </w:rPr>
            </w:pPr>
          </w:p>
        </w:tc>
      </w:tr>
      <w:tr w:rsidR="004833E6" w:rsidRPr="00F13C19" w14:paraId="29326DB7" w14:textId="77777777" w:rsidTr="00CE5ED9">
        <w:tc>
          <w:tcPr>
            <w:tcW w:w="4878" w:type="dxa"/>
          </w:tcPr>
          <w:p w14:paraId="498A3F2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19.2. Revenue risk management</w:t>
            </w:r>
          </w:p>
        </w:tc>
        <w:tc>
          <w:tcPr>
            <w:tcW w:w="4657" w:type="dxa"/>
            <w:vMerge/>
            <w:vAlign w:val="center"/>
          </w:tcPr>
          <w:p w14:paraId="57A67DBC" w14:textId="77777777" w:rsidR="004833E6" w:rsidRPr="00F13C19" w:rsidRDefault="004833E6" w:rsidP="000310F5">
            <w:pPr>
              <w:spacing w:before="0"/>
              <w:ind w:left="0" w:right="116"/>
              <w:jc w:val="left"/>
              <w:rPr>
                <w:rFonts w:cstheme="minorHAnsi"/>
                <w:sz w:val="18"/>
                <w:szCs w:val="18"/>
              </w:rPr>
            </w:pPr>
          </w:p>
        </w:tc>
      </w:tr>
      <w:tr w:rsidR="004833E6" w:rsidRPr="00F13C19" w14:paraId="0A2BCB6F" w14:textId="77777777" w:rsidTr="00CE5ED9">
        <w:tc>
          <w:tcPr>
            <w:tcW w:w="4878" w:type="dxa"/>
          </w:tcPr>
          <w:p w14:paraId="0EA7C5D9"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19.3. Revenue audit and investigation</w:t>
            </w:r>
          </w:p>
        </w:tc>
        <w:tc>
          <w:tcPr>
            <w:tcW w:w="4657" w:type="dxa"/>
            <w:vMerge/>
            <w:vAlign w:val="center"/>
          </w:tcPr>
          <w:p w14:paraId="555DCA6E" w14:textId="77777777" w:rsidR="004833E6" w:rsidRPr="00F13C19" w:rsidRDefault="004833E6" w:rsidP="000310F5">
            <w:pPr>
              <w:spacing w:before="0"/>
              <w:ind w:left="0" w:right="116"/>
              <w:jc w:val="left"/>
              <w:rPr>
                <w:rFonts w:cstheme="minorHAnsi"/>
                <w:sz w:val="18"/>
                <w:szCs w:val="18"/>
              </w:rPr>
            </w:pPr>
          </w:p>
        </w:tc>
      </w:tr>
      <w:tr w:rsidR="004833E6" w:rsidRPr="00F13C19" w14:paraId="2AB10FBB" w14:textId="77777777" w:rsidTr="00CE5ED9">
        <w:tc>
          <w:tcPr>
            <w:tcW w:w="4878" w:type="dxa"/>
          </w:tcPr>
          <w:p w14:paraId="4D282343"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19.4. Revenue arrears monitoring</w:t>
            </w:r>
          </w:p>
        </w:tc>
        <w:tc>
          <w:tcPr>
            <w:tcW w:w="4657" w:type="dxa"/>
            <w:vMerge/>
            <w:vAlign w:val="center"/>
          </w:tcPr>
          <w:p w14:paraId="17DD9530" w14:textId="77777777" w:rsidR="004833E6" w:rsidRPr="00F13C19" w:rsidRDefault="004833E6" w:rsidP="000310F5">
            <w:pPr>
              <w:spacing w:before="0"/>
              <w:ind w:left="0" w:right="116"/>
              <w:jc w:val="left"/>
              <w:rPr>
                <w:rFonts w:cstheme="minorHAnsi"/>
                <w:sz w:val="18"/>
                <w:szCs w:val="18"/>
              </w:rPr>
            </w:pPr>
          </w:p>
        </w:tc>
      </w:tr>
      <w:tr w:rsidR="004833E6" w:rsidRPr="00F13C19" w14:paraId="33F9A3B2" w14:textId="77777777" w:rsidTr="00CE5ED9">
        <w:tc>
          <w:tcPr>
            <w:tcW w:w="4878" w:type="dxa"/>
            <w:vAlign w:val="center"/>
          </w:tcPr>
          <w:p w14:paraId="65B542BC"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PI-20. Accounting for revenues</w:t>
            </w:r>
          </w:p>
        </w:tc>
        <w:tc>
          <w:tcPr>
            <w:tcW w:w="4657" w:type="dxa"/>
            <w:vMerge w:val="restart"/>
            <w:vAlign w:val="center"/>
          </w:tcPr>
          <w:p w14:paraId="75CE2346"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 xml:space="preserve">Prime Minister's Decree on National Treasury, No. </w:t>
            </w:r>
            <w:proofErr w:type="gramStart"/>
            <w:r w:rsidRPr="00F13C19">
              <w:rPr>
                <w:rFonts w:eastAsia="Calibri" w:cstheme="minorHAnsi"/>
                <w:sz w:val="18"/>
                <w:szCs w:val="18"/>
              </w:rPr>
              <w:t>259,  June</w:t>
            </w:r>
            <w:proofErr w:type="gramEnd"/>
            <w:r w:rsidRPr="00F13C19">
              <w:rPr>
                <w:rFonts w:eastAsia="Calibri" w:cstheme="minorHAnsi"/>
                <w:sz w:val="18"/>
                <w:szCs w:val="18"/>
              </w:rPr>
              <w:t xml:space="preserve"> 2010</w:t>
            </w:r>
          </w:p>
          <w:p w14:paraId="002C33BD"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proofErr w:type="spellStart"/>
            <w:r w:rsidRPr="00F13C19">
              <w:rPr>
                <w:rFonts w:eastAsia="Calibri" w:cstheme="minorHAnsi"/>
                <w:sz w:val="18"/>
                <w:szCs w:val="18"/>
              </w:rPr>
              <w:t>ToRs</w:t>
            </w:r>
            <w:proofErr w:type="spellEnd"/>
            <w:r w:rsidRPr="00F13C19">
              <w:rPr>
                <w:rFonts w:eastAsia="Calibri" w:cstheme="minorHAnsi"/>
                <w:sz w:val="18"/>
                <w:szCs w:val="18"/>
              </w:rPr>
              <w:t xml:space="preserve"> National Treasury department, MoF 2017</w:t>
            </w:r>
          </w:p>
          <w:p w14:paraId="3AC97E27"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Technical Note on Next Steps to Improve Cash Management and Fiscal Reporting, WB June 2017</w:t>
            </w:r>
          </w:p>
          <w:p w14:paraId="5EF96340"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GFIS Technical Note, WB September 2016</w:t>
            </w:r>
          </w:p>
          <w:p w14:paraId="2061889C"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Technical Specifications for the introduction of GFIS e-payment gateway and Provincial interfaces to GFIS, WYG Sept 2017</w:t>
            </w:r>
          </w:p>
          <w:p w14:paraId="58C293E6"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Technical Note on Transition Planning for Upgrade of GFIS and COTS based FMIS Acquisition, WYG Sept 2017</w:t>
            </w:r>
          </w:p>
          <w:p w14:paraId="3BB0C67B"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Treasury Payment Systems Report, WB June 2017</w:t>
            </w:r>
          </w:p>
          <w:p w14:paraId="07BB340E" w14:textId="77777777" w:rsidR="004833E6" w:rsidRPr="00F13C19" w:rsidRDefault="004833E6" w:rsidP="000310F5">
            <w:pPr>
              <w:shd w:val="clear" w:color="auto" w:fill="FFFFFF"/>
              <w:spacing w:before="0"/>
              <w:ind w:left="0" w:right="116"/>
              <w:jc w:val="left"/>
              <w:rPr>
                <w:rFonts w:cstheme="minorHAnsi"/>
                <w:sz w:val="18"/>
                <w:szCs w:val="18"/>
              </w:rPr>
            </w:pPr>
            <w:r w:rsidRPr="00F13C19">
              <w:rPr>
                <w:rFonts w:eastAsia="Calibri" w:cstheme="minorHAnsi"/>
                <w:sz w:val="18"/>
                <w:szCs w:val="18"/>
              </w:rPr>
              <w:t>WB Lao TIMS 2017 Updated Business Process Maps and Proposed Changes 2017, June 2017</w:t>
            </w:r>
          </w:p>
          <w:p w14:paraId="33C8A89F"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Pr>
                <w:rFonts w:eastAsia="Calibri" w:cstheme="minorHAnsi"/>
                <w:sz w:val="18"/>
                <w:szCs w:val="18"/>
              </w:rPr>
              <w:t>Treasury department reporting for 2014-15 and 2015-16 (internal)</w:t>
            </w:r>
          </w:p>
        </w:tc>
      </w:tr>
      <w:tr w:rsidR="004833E6" w:rsidRPr="00F13C19" w14:paraId="419D3726" w14:textId="77777777" w:rsidTr="00CE5ED9">
        <w:tc>
          <w:tcPr>
            <w:tcW w:w="4878" w:type="dxa"/>
          </w:tcPr>
          <w:p w14:paraId="0B09A588"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20.1. Information on revenue collections</w:t>
            </w:r>
          </w:p>
        </w:tc>
        <w:tc>
          <w:tcPr>
            <w:tcW w:w="4657" w:type="dxa"/>
            <w:vMerge/>
            <w:vAlign w:val="center"/>
          </w:tcPr>
          <w:p w14:paraId="0C1FF8EC" w14:textId="77777777" w:rsidR="004833E6" w:rsidRPr="00F13C19" w:rsidRDefault="004833E6" w:rsidP="000310F5">
            <w:pPr>
              <w:spacing w:before="0"/>
              <w:ind w:left="0" w:right="116"/>
              <w:jc w:val="left"/>
              <w:rPr>
                <w:rFonts w:cstheme="minorHAnsi"/>
                <w:sz w:val="18"/>
                <w:szCs w:val="18"/>
              </w:rPr>
            </w:pPr>
          </w:p>
        </w:tc>
      </w:tr>
      <w:tr w:rsidR="004833E6" w:rsidRPr="00F13C19" w14:paraId="4B657F5E" w14:textId="77777777" w:rsidTr="00CE5ED9">
        <w:tc>
          <w:tcPr>
            <w:tcW w:w="4878" w:type="dxa"/>
          </w:tcPr>
          <w:p w14:paraId="4759763C"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 xml:space="preserve">20.2. Transfer of revenue collections </w:t>
            </w:r>
          </w:p>
        </w:tc>
        <w:tc>
          <w:tcPr>
            <w:tcW w:w="4657" w:type="dxa"/>
            <w:vMerge/>
            <w:vAlign w:val="center"/>
          </w:tcPr>
          <w:p w14:paraId="4E19B5EF" w14:textId="77777777" w:rsidR="004833E6" w:rsidRPr="00F13C19" w:rsidRDefault="004833E6" w:rsidP="000310F5">
            <w:pPr>
              <w:spacing w:before="0"/>
              <w:ind w:left="0" w:right="116"/>
              <w:jc w:val="left"/>
              <w:rPr>
                <w:rFonts w:cstheme="minorHAnsi"/>
                <w:sz w:val="18"/>
                <w:szCs w:val="18"/>
              </w:rPr>
            </w:pPr>
          </w:p>
        </w:tc>
      </w:tr>
      <w:tr w:rsidR="004833E6" w:rsidRPr="00F13C19" w14:paraId="23C98B40" w14:textId="77777777" w:rsidTr="00CE5ED9">
        <w:tc>
          <w:tcPr>
            <w:tcW w:w="4878" w:type="dxa"/>
          </w:tcPr>
          <w:p w14:paraId="0FD4286C"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20.3. Revenue accounts reconciliation</w:t>
            </w:r>
          </w:p>
        </w:tc>
        <w:tc>
          <w:tcPr>
            <w:tcW w:w="4657" w:type="dxa"/>
            <w:vMerge/>
            <w:vAlign w:val="center"/>
          </w:tcPr>
          <w:p w14:paraId="591F6098" w14:textId="77777777" w:rsidR="004833E6" w:rsidRPr="00F13C19" w:rsidRDefault="004833E6" w:rsidP="000310F5">
            <w:pPr>
              <w:spacing w:before="0"/>
              <w:ind w:left="0" w:right="116"/>
              <w:jc w:val="left"/>
              <w:rPr>
                <w:rFonts w:cstheme="minorHAnsi"/>
                <w:sz w:val="18"/>
                <w:szCs w:val="18"/>
              </w:rPr>
            </w:pPr>
          </w:p>
        </w:tc>
      </w:tr>
      <w:tr w:rsidR="004833E6" w:rsidRPr="00F13C19" w14:paraId="49D81478" w14:textId="77777777" w:rsidTr="00CE5ED9">
        <w:tc>
          <w:tcPr>
            <w:tcW w:w="4878" w:type="dxa"/>
            <w:vAlign w:val="center"/>
          </w:tcPr>
          <w:p w14:paraId="05EFDC89"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PI-21. Predictability of in-year resource allocation</w:t>
            </w:r>
          </w:p>
        </w:tc>
        <w:tc>
          <w:tcPr>
            <w:tcW w:w="4657" w:type="dxa"/>
            <w:vMerge w:val="restart"/>
            <w:vAlign w:val="center"/>
          </w:tcPr>
          <w:p w14:paraId="5DEC35C8" w14:textId="77777777" w:rsidR="004833E6" w:rsidRPr="00F13C19" w:rsidRDefault="004833E6" w:rsidP="000310F5">
            <w:pPr>
              <w:widowControl w:val="0"/>
              <w:tabs>
                <w:tab w:val="left" w:pos="463"/>
              </w:tabs>
              <w:spacing w:before="0"/>
              <w:ind w:left="0" w:right="116"/>
              <w:jc w:val="left"/>
              <w:rPr>
                <w:rFonts w:eastAsia="Calibri" w:cstheme="minorHAnsi"/>
                <w:sz w:val="18"/>
                <w:szCs w:val="18"/>
              </w:rPr>
            </w:pPr>
            <w:r>
              <w:rPr>
                <w:rFonts w:eastAsia="Calibri" w:cstheme="minorHAnsi"/>
                <w:sz w:val="18"/>
                <w:szCs w:val="18"/>
              </w:rPr>
              <w:t>See PI-20</w:t>
            </w:r>
          </w:p>
        </w:tc>
      </w:tr>
      <w:tr w:rsidR="004833E6" w:rsidRPr="00F13C19" w14:paraId="472DE7B8" w14:textId="77777777" w:rsidTr="00CE5ED9">
        <w:tc>
          <w:tcPr>
            <w:tcW w:w="4878" w:type="dxa"/>
          </w:tcPr>
          <w:p w14:paraId="01961F2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21.1. Consolidation of cash balances</w:t>
            </w:r>
          </w:p>
        </w:tc>
        <w:tc>
          <w:tcPr>
            <w:tcW w:w="4657" w:type="dxa"/>
            <w:vMerge/>
            <w:vAlign w:val="center"/>
          </w:tcPr>
          <w:p w14:paraId="7734FF2A" w14:textId="77777777" w:rsidR="004833E6" w:rsidRPr="00F13C19" w:rsidRDefault="004833E6" w:rsidP="000310F5">
            <w:pPr>
              <w:spacing w:before="0"/>
              <w:ind w:left="0" w:right="116"/>
              <w:jc w:val="left"/>
              <w:rPr>
                <w:rFonts w:cstheme="minorHAnsi"/>
                <w:sz w:val="18"/>
                <w:szCs w:val="18"/>
              </w:rPr>
            </w:pPr>
          </w:p>
        </w:tc>
      </w:tr>
      <w:tr w:rsidR="004833E6" w:rsidRPr="00F13C19" w14:paraId="4B6EFEB5" w14:textId="77777777" w:rsidTr="00CE5ED9">
        <w:tc>
          <w:tcPr>
            <w:tcW w:w="4878" w:type="dxa"/>
          </w:tcPr>
          <w:p w14:paraId="471F4DC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21.2. Cash forecasting and monitoring</w:t>
            </w:r>
          </w:p>
        </w:tc>
        <w:tc>
          <w:tcPr>
            <w:tcW w:w="4657" w:type="dxa"/>
            <w:vMerge/>
            <w:vAlign w:val="center"/>
          </w:tcPr>
          <w:p w14:paraId="16F83752" w14:textId="77777777" w:rsidR="004833E6" w:rsidRPr="00F13C19" w:rsidRDefault="004833E6" w:rsidP="000310F5">
            <w:pPr>
              <w:spacing w:before="0"/>
              <w:ind w:left="0" w:right="116"/>
              <w:jc w:val="left"/>
              <w:rPr>
                <w:rFonts w:cstheme="minorHAnsi"/>
                <w:sz w:val="18"/>
                <w:szCs w:val="18"/>
              </w:rPr>
            </w:pPr>
          </w:p>
        </w:tc>
      </w:tr>
      <w:tr w:rsidR="004833E6" w:rsidRPr="00F13C19" w14:paraId="6CFC2670" w14:textId="77777777" w:rsidTr="00CE5ED9">
        <w:tc>
          <w:tcPr>
            <w:tcW w:w="4878" w:type="dxa"/>
          </w:tcPr>
          <w:p w14:paraId="7C2E4F4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21.3. Information on commitment ceilings</w:t>
            </w:r>
          </w:p>
        </w:tc>
        <w:tc>
          <w:tcPr>
            <w:tcW w:w="4657" w:type="dxa"/>
            <w:vMerge/>
            <w:vAlign w:val="center"/>
          </w:tcPr>
          <w:p w14:paraId="17A340DD" w14:textId="77777777" w:rsidR="004833E6" w:rsidRPr="00F13C19" w:rsidRDefault="004833E6" w:rsidP="000310F5">
            <w:pPr>
              <w:spacing w:before="0"/>
              <w:ind w:left="0" w:right="116"/>
              <w:jc w:val="left"/>
              <w:rPr>
                <w:rFonts w:cstheme="minorHAnsi"/>
                <w:sz w:val="18"/>
                <w:szCs w:val="18"/>
              </w:rPr>
            </w:pPr>
          </w:p>
        </w:tc>
      </w:tr>
      <w:tr w:rsidR="004833E6" w:rsidRPr="00F13C19" w14:paraId="3AFF241D" w14:textId="77777777" w:rsidTr="00CE5ED9">
        <w:tc>
          <w:tcPr>
            <w:tcW w:w="4878" w:type="dxa"/>
          </w:tcPr>
          <w:p w14:paraId="205B93D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21.4. Significance of in-year budget adjustments</w:t>
            </w:r>
          </w:p>
        </w:tc>
        <w:tc>
          <w:tcPr>
            <w:tcW w:w="4657" w:type="dxa"/>
            <w:vMerge/>
            <w:vAlign w:val="center"/>
          </w:tcPr>
          <w:p w14:paraId="74429FF3" w14:textId="77777777" w:rsidR="004833E6" w:rsidRPr="00F13C19" w:rsidRDefault="004833E6" w:rsidP="000310F5">
            <w:pPr>
              <w:spacing w:before="0"/>
              <w:ind w:left="0" w:right="116"/>
              <w:jc w:val="left"/>
              <w:rPr>
                <w:rFonts w:cstheme="minorHAnsi"/>
                <w:sz w:val="18"/>
                <w:szCs w:val="18"/>
              </w:rPr>
            </w:pPr>
          </w:p>
        </w:tc>
      </w:tr>
      <w:tr w:rsidR="004833E6" w:rsidRPr="00F13C19" w14:paraId="595BE170" w14:textId="77777777" w:rsidTr="00CE5ED9">
        <w:tc>
          <w:tcPr>
            <w:tcW w:w="4878" w:type="dxa"/>
            <w:vAlign w:val="center"/>
          </w:tcPr>
          <w:p w14:paraId="691949AB"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PI-22. Expenditure arrears</w:t>
            </w:r>
          </w:p>
        </w:tc>
        <w:tc>
          <w:tcPr>
            <w:tcW w:w="4657" w:type="dxa"/>
            <w:vMerge w:val="restart"/>
            <w:vAlign w:val="center"/>
          </w:tcPr>
          <w:p w14:paraId="0A2C1CDC" w14:textId="77777777" w:rsidR="004833E6" w:rsidRPr="00F13C19" w:rsidRDefault="004833E6" w:rsidP="000310F5">
            <w:pPr>
              <w:spacing w:before="0"/>
              <w:ind w:left="0" w:right="116"/>
              <w:jc w:val="left"/>
              <w:rPr>
                <w:rFonts w:cstheme="minorHAnsi"/>
                <w:sz w:val="18"/>
                <w:szCs w:val="18"/>
              </w:rPr>
            </w:pPr>
            <w:r>
              <w:rPr>
                <w:rFonts w:cstheme="minorHAnsi"/>
                <w:sz w:val="18"/>
                <w:szCs w:val="18"/>
              </w:rPr>
              <w:t>Data from Treasury and External Finance department and MoF budget reports to NA and NA resolutions for 2016, 2017 and 2018.</w:t>
            </w:r>
          </w:p>
        </w:tc>
      </w:tr>
      <w:tr w:rsidR="004833E6" w:rsidRPr="00F13C19" w14:paraId="60441BC3" w14:textId="77777777" w:rsidTr="00CE5ED9">
        <w:tc>
          <w:tcPr>
            <w:tcW w:w="4878" w:type="dxa"/>
          </w:tcPr>
          <w:p w14:paraId="34E46466"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lastRenderedPageBreak/>
              <w:t>22.1. Stock of expenditure arrears</w:t>
            </w:r>
          </w:p>
        </w:tc>
        <w:tc>
          <w:tcPr>
            <w:tcW w:w="4657" w:type="dxa"/>
            <w:vMerge/>
            <w:vAlign w:val="center"/>
          </w:tcPr>
          <w:p w14:paraId="38EC674F" w14:textId="77777777" w:rsidR="004833E6" w:rsidRPr="00F13C19" w:rsidRDefault="004833E6" w:rsidP="000310F5">
            <w:pPr>
              <w:spacing w:before="0"/>
              <w:ind w:left="0" w:right="116"/>
              <w:jc w:val="left"/>
              <w:rPr>
                <w:rFonts w:cstheme="minorHAnsi"/>
                <w:sz w:val="18"/>
                <w:szCs w:val="18"/>
              </w:rPr>
            </w:pPr>
          </w:p>
        </w:tc>
      </w:tr>
      <w:tr w:rsidR="004833E6" w:rsidRPr="00F13C19" w14:paraId="21A885E8" w14:textId="77777777" w:rsidTr="00CE5ED9">
        <w:tc>
          <w:tcPr>
            <w:tcW w:w="4878" w:type="dxa"/>
          </w:tcPr>
          <w:p w14:paraId="2FE9EE6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22.2. Expenditure arrears monitoring</w:t>
            </w:r>
          </w:p>
        </w:tc>
        <w:tc>
          <w:tcPr>
            <w:tcW w:w="4657" w:type="dxa"/>
            <w:vMerge/>
            <w:vAlign w:val="center"/>
          </w:tcPr>
          <w:p w14:paraId="3C6C4BE6" w14:textId="77777777" w:rsidR="004833E6" w:rsidRPr="00F13C19" w:rsidRDefault="004833E6" w:rsidP="000310F5">
            <w:pPr>
              <w:spacing w:before="0"/>
              <w:ind w:left="0" w:right="116"/>
              <w:jc w:val="left"/>
              <w:rPr>
                <w:rFonts w:cstheme="minorHAnsi"/>
                <w:sz w:val="18"/>
                <w:szCs w:val="18"/>
              </w:rPr>
            </w:pPr>
          </w:p>
        </w:tc>
      </w:tr>
      <w:tr w:rsidR="004833E6" w:rsidRPr="00F13C19" w14:paraId="6E323740" w14:textId="77777777" w:rsidTr="00CE5ED9">
        <w:tc>
          <w:tcPr>
            <w:tcW w:w="4878" w:type="dxa"/>
            <w:vAlign w:val="center"/>
          </w:tcPr>
          <w:p w14:paraId="5925D678"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PI-23. Payroll controls</w:t>
            </w:r>
          </w:p>
        </w:tc>
        <w:tc>
          <w:tcPr>
            <w:tcW w:w="4657" w:type="dxa"/>
            <w:vMerge w:val="restart"/>
            <w:vAlign w:val="center"/>
          </w:tcPr>
          <w:p w14:paraId="1BA1947C" w14:textId="77777777" w:rsidR="004833E6" w:rsidRPr="00F13C19" w:rsidRDefault="004833E6" w:rsidP="000310F5">
            <w:pPr>
              <w:widowControl w:val="0"/>
              <w:tabs>
                <w:tab w:val="left" w:pos="460"/>
              </w:tabs>
              <w:spacing w:before="0"/>
              <w:ind w:left="0" w:right="116"/>
              <w:jc w:val="left"/>
              <w:rPr>
                <w:rFonts w:cstheme="minorHAnsi"/>
                <w:sz w:val="18"/>
                <w:szCs w:val="18"/>
                <w:lang w:val="en-MY"/>
              </w:rPr>
            </w:pPr>
            <w:r w:rsidRPr="00F13C19">
              <w:rPr>
                <w:rFonts w:cstheme="minorHAnsi"/>
                <w:sz w:val="18"/>
                <w:szCs w:val="18"/>
                <w:lang w:val="en-MY"/>
              </w:rPr>
              <w:t>Prime Minister’s Order No 55 on the measures on the management and payment of salary and supporting allowance</w:t>
            </w:r>
          </w:p>
          <w:p w14:paraId="20CA1930" w14:textId="77777777" w:rsidR="004833E6" w:rsidRPr="00F13C19" w:rsidRDefault="004833E6" w:rsidP="000310F5">
            <w:pPr>
              <w:widowControl w:val="0"/>
              <w:tabs>
                <w:tab w:val="left" w:pos="460"/>
              </w:tabs>
              <w:spacing w:before="0"/>
              <w:ind w:left="0" w:right="116"/>
              <w:jc w:val="left"/>
              <w:rPr>
                <w:rFonts w:cstheme="minorHAnsi"/>
                <w:sz w:val="18"/>
                <w:szCs w:val="18"/>
                <w:lang w:val="en-MY"/>
              </w:rPr>
            </w:pPr>
            <w:r w:rsidRPr="00F13C19">
              <w:rPr>
                <w:rFonts w:cstheme="minorHAnsi"/>
                <w:sz w:val="18"/>
                <w:szCs w:val="18"/>
                <w:lang w:val="en-MY"/>
              </w:rPr>
              <w:t>Aide Memoire Preparation and Capacity Development for Wage-bill Modelling, WB Mission, Lao PDR, September 20-28, 2017</w:t>
            </w:r>
          </w:p>
          <w:p w14:paraId="04350C80" w14:textId="77777777" w:rsidR="004833E6" w:rsidRPr="00F13C19" w:rsidRDefault="004833E6" w:rsidP="000310F5">
            <w:pPr>
              <w:autoSpaceDE w:val="0"/>
              <w:autoSpaceDN w:val="0"/>
              <w:adjustRightInd w:val="0"/>
              <w:spacing w:before="0"/>
              <w:ind w:left="0" w:right="116"/>
              <w:jc w:val="left"/>
              <w:rPr>
                <w:rFonts w:cstheme="minorHAnsi"/>
                <w:sz w:val="18"/>
                <w:szCs w:val="18"/>
                <w:lang w:val="en-MY"/>
              </w:rPr>
            </w:pPr>
            <w:r w:rsidRPr="00F13C19">
              <w:rPr>
                <w:rFonts w:cstheme="minorHAnsi"/>
                <w:sz w:val="18"/>
                <w:szCs w:val="18"/>
                <w:lang w:val="en-MY"/>
              </w:rPr>
              <w:t xml:space="preserve">WB </w:t>
            </w:r>
            <w:r w:rsidRPr="00126EC8">
              <w:rPr>
                <w:rFonts w:cstheme="minorHAnsi"/>
                <w:sz w:val="18"/>
                <w:szCs w:val="18"/>
                <w:lang w:val="en-MY"/>
              </w:rPr>
              <w:t>Policy Brief:</w:t>
            </w:r>
            <w:r w:rsidRPr="00F13C19">
              <w:rPr>
                <w:rFonts w:cstheme="minorHAnsi"/>
                <w:sz w:val="18"/>
                <w:szCs w:val="18"/>
                <w:lang w:val="en-MY"/>
              </w:rPr>
              <w:t xml:space="preserve"> Towards Better Management of the Public Sector Wage Bill and Work Force, April 2018</w:t>
            </w:r>
          </w:p>
          <w:p w14:paraId="022D379C" w14:textId="77777777" w:rsidR="004833E6" w:rsidRPr="00F13C19" w:rsidRDefault="004833E6" w:rsidP="000310F5">
            <w:pPr>
              <w:autoSpaceDE w:val="0"/>
              <w:autoSpaceDN w:val="0"/>
              <w:adjustRightInd w:val="0"/>
              <w:spacing w:before="0"/>
              <w:ind w:left="0" w:right="116"/>
              <w:jc w:val="left"/>
              <w:rPr>
                <w:rFonts w:cstheme="minorHAnsi"/>
                <w:sz w:val="18"/>
                <w:szCs w:val="18"/>
                <w:lang w:val="en-MY"/>
              </w:rPr>
            </w:pPr>
            <w:r w:rsidRPr="00F13C19">
              <w:rPr>
                <w:rFonts w:cstheme="minorHAnsi"/>
                <w:sz w:val="18"/>
                <w:szCs w:val="18"/>
                <w:lang w:val="en-MY"/>
              </w:rPr>
              <w:t>PIMS ppt presentation, Sept. 2017</w:t>
            </w:r>
          </w:p>
          <w:p w14:paraId="1BBB1C7D" w14:textId="77777777" w:rsidR="004833E6" w:rsidRDefault="004833E6" w:rsidP="000310F5">
            <w:pPr>
              <w:autoSpaceDE w:val="0"/>
              <w:autoSpaceDN w:val="0"/>
              <w:adjustRightInd w:val="0"/>
              <w:spacing w:before="0"/>
              <w:ind w:left="0" w:right="116"/>
              <w:jc w:val="left"/>
              <w:rPr>
                <w:rFonts w:cstheme="minorHAnsi"/>
                <w:sz w:val="18"/>
                <w:szCs w:val="18"/>
                <w:lang w:val="en-MY"/>
              </w:rPr>
            </w:pPr>
            <w:r w:rsidRPr="00F13C19">
              <w:rPr>
                <w:rFonts w:cstheme="minorHAnsi"/>
                <w:sz w:val="18"/>
                <w:szCs w:val="18"/>
                <w:lang w:val="en-MY"/>
              </w:rPr>
              <w:t xml:space="preserve">Lao PDR Labour Force Survey 2017, Survey Finding report, Lao Statistics Bureau and MPI, June 2018 </w:t>
            </w:r>
          </w:p>
          <w:p w14:paraId="74409F75" w14:textId="77777777" w:rsidR="004833E6" w:rsidRPr="008E0048" w:rsidRDefault="004833E6" w:rsidP="000310F5">
            <w:pPr>
              <w:autoSpaceDE w:val="0"/>
              <w:autoSpaceDN w:val="0"/>
              <w:adjustRightInd w:val="0"/>
              <w:spacing w:before="0"/>
              <w:ind w:left="0" w:right="116"/>
              <w:jc w:val="left"/>
              <w:rPr>
                <w:rFonts w:cstheme="minorHAnsi"/>
                <w:sz w:val="18"/>
                <w:szCs w:val="18"/>
                <w:lang w:val="en-MY"/>
              </w:rPr>
            </w:pPr>
            <w:r>
              <w:rPr>
                <w:rFonts w:cstheme="minorHAnsi"/>
                <w:sz w:val="18"/>
                <w:szCs w:val="18"/>
                <w:lang w:val="en-MY"/>
              </w:rPr>
              <w:t>PIMS data</w:t>
            </w:r>
          </w:p>
        </w:tc>
      </w:tr>
      <w:tr w:rsidR="004833E6" w:rsidRPr="00F13C19" w14:paraId="02AB4A70" w14:textId="77777777" w:rsidTr="00CE5ED9">
        <w:tc>
          <w:tcPr>
            <w:tcW w:w="4878" w:type="dxa"/>
          </w:tcPr>
          <w:p w14:paraId="177E73E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23.1. Integration of payroll and personnel records</w:t>
            </w:r>
          </w:p>
        </w:tc>
        <w:tc>
          <w:tcPr>
            <w:tcW w:w="4657" w:type="dxa"/>
            <w:vMerge/>
            <w:vAlign w:val="center"/>
          </w:tcPr>
          <w:p w14:paraId="693072A6" w14:textId="77777777" w:rsidR="004833E6" w:rsidRPr="00F13C19" w:rsidRDefault="004833E6" w:rsidP="000310F5">
            <w:pPr>
              <w:spacing w:before="0"/>
              <w:ind w:left="0" w:right="116"/>
              <w:jc w:val="left"/>
              <w:rPr>
                <w:rFonts w:cstheme="minorHAnsi"/>
                <w:sz w:val="18"/>
                <w:szCs w:val="18"/>
              </w:rPr>
            </w:pPr>
          </w:p>
        </w:tc>
      </w:tr>
      <w:tr w:rsidR="004833E6" w:rsidRPr="00F13C19" w14:paraId="339506EF" w14:textId="77777777" w:rsidTr="00CE5ED9">
        <w:tc>
          <w:tcPr>
            <w:tcW w:w="4878" w:type="dxa"/>
          </w:tcPr>
          <w:p w14:paraId="00534F08"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23.2. Management of payroll changes</w:t>
            </w:r>
          </w:p>
        </w:tc>
        <w:tc>
          <w:tcPr>
            <w:tcW w:w="4657" w:type="dxa"/>
            <w:vMerge/>
            <w:vAlign w:val="center"/>
          </w:tcPr>
          <w:p w14:paraId="170B9D0F" w14:textId="77777777" w:rsidR="004833E6" w:rsidRPr="00F13C19" w:rsidRDefault="004833E6" w:rsidP="000310F5">
            <w:pPr>
              <w:spacing w:before="0"/>
              <w:ind w:left="0" w:right="116"/>
              <w:jc w:val="left"/>
              <w:rPr>
                <w:rFonts w:cstheme="minorHAnsi"/>
                <w:sz w:val="18"/>
                <w:szCs w:val="18"/>
              </w:rPr>
            </w:pPr>
          </w:p>
        </w:tc>
      </w:tr>
      <w:tr w:rsidR="004833E6" w:rsidRPr="00F13C19" w14:paraId="5B8CD2D1" w14:textId="77777777" w:rsidTr="00CE5ED9">
        <w:tc>
          <w:tcPr>
            <w:tcW w:w="4878" w:type="dxa"/>
          </w:tcPr>
          <w:p w14:paraId="7737DB22"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23.3. Internal control of payroll</w:t>
            </w:r>
          </w:p>
        </w:tc>
        <w:tc>
          <w:tcPr>
            <w:tcW w:w="4657" w:type="dxa"/>
            <w:vMerge/>
            <w:vAlign w:val="center"/>
          </w:tcPr>
          <w:p w14:paraId="34DE9F2A" w14:textId="77777777" w:rsidR="004833E6" w:rsidRPr="00F13C19" w:rsidRDefault="004833E6" w:rsidP="000310F5">
            <w:pPr>
              <w:spacing w:before="0"/>
              <w:ind w:left="0" w:right="116"/>
              <w:jc w:val="left"/>
              <w:rPr>
                <w:rFonts w:cstheme="minorHAnsi"/>
                <w:sz w:val="18"/>
                <w:szCs w:val="18"/>
              </w:rPr>
            </w:pPr>
          </w:p>
        </w:tc>
      </w:tr>
      <w:tr w:rsidR="004833E6" w:rsidRPr="00F13C19" w14:paraId="05335282" w14:textId="77777777" w:rsidTr="00CE5ED9">
        <w:tc>
          <w:tcPr>
            <w:tcW w:w="4878" w:type="dxa"/>
          </w:tcPr>
          <w:p w14:paraId="44807D7C"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23.4. Payroll audit</w:t>
            </w:r>
          </w:p>
        </w:tc>
        <w:tc>
          <w:tcPr>
            <w:tcW w:w="4657" w:type="dxa"/>
            <w:vMerge/>
            <w:vAlign w:val="center"/>
          </w:tcPr>
          <w:p w14:paraId="105AC48F" w14:textId="77777777" w:rsidR="004833E6" w:rsidRPr="00F13C19" w:rsidRDefault="004833E6" w:rsidP="000310F5">
            <w:pPr>
              <w:spacing w:before="0"/>
              <w:ind w:left="0" w:right="116"/>
              <w:jc w:val="left"/>
              <w:rPr>
                <w:rFonts w:cstheme="minorHAnsi"/>
                <w:sz w:val="18"/>
                <w:szCs w:val="18"/>
              </w:rPr>
            </w:pPr>
          </w:p>
        </w:tc>
      </w:tr>
      <w:tr w:rsidR="004833E6" w:rsidRPr="00F13C19" w14:paraId="3EDA9C5C" w14:textId="77777777" w:rsidTr="00CE5ED9">
        <w:tc>
          <w:tcPr>
            <w:tcW w:w="4878" w:type="dxa"/>
            <w:vAlign w:val="center"/>
          </w:tcPr>
          <w:p w14:paraId="1CF0ED51"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PI-24. Procurement</w:t>
            </w:r>
          </w:p>
        </w:tc>
        <w:tc>
          <w:tcPr>
            <w:tcW w:w="4657" w:type="dxa"/>
            <w:vMerge w:val="restart"/>
            <w:vAlign w:val="center"/>
          </w:tcPr>
          <w:p w14:paraId="61CCF6B8"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PM Decree on government procurement of goods, works and services, 03/PM dated January 9, 2004</w:t>
            </w:r>
          </w:p>
          <w:p w14:paraId="0F21D6D3" w14:textId="77777777" w:rsidR="004833E6" w:rsidRPr="00F13C19" w:rsidRDefault="004833E6" w:rsidP="000310F5">
            <w:pPr>
              <w:autoSpaceDE w:val="0"/>
              <w:autoSpaceDN w:val="0"/>
              <w:adjustRightInd w:val="0"/>
              <w:spacing w:before="0"/>
              <w:ind w:left="0" w:right="116"/>
              <w:jc w:val="left"/>
              <w:rPr>
                <w:rFonts w:cstheme="minorHAnsi"/>
                <w:sz w:val="18"/>
                <w:szCs w:val="18"/>
                <w:lang w:val="en-MY"/>
              </w:rPr>
            </w:pPr>
            <w:r w:rsidRPr="00F13C19">
              <w:rPr>
                <w:rFonts w:cstheme="minorHAnsi"/>
                <w:sz w:val="18"/>
                <w:szCs w:val="18"/>
                <w:lang w:val="en-MY"/>
              </w:rPr>
              <w:t>Implementing rules and regulations on Decree 03/PM, no. 0063/MoF, March 2004 and amendment in May 2009</w:t>
            </w:r>
          </w:p>
          <w:p w14:paraId="203B184C"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Public Procurement Law presented to NA, Oct. 2017</w:t>
            </w:r>
          </w:p>
          <w:p w14:paraId="161FE591"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Technical Note Finalization of Procurement Law and Drafting of Secondary Legislation, WB June 3, 2018</w:t>
            </w:r>
          </w:p>
          <w:p w14:paraId="60B6A9DD"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Procurement Risk Assessment Final report, ADB April 25, 2016</w:t>
            </w:r>
          </w:p>
          <w:p w14:paraId="5A9F7A58"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Lao PDR case study, Ministry of Public Works and Transport, WB, Aug 2014.</w:t>
            </w:r>
          </w:p>
          <w:p w14:paraId="332573DC"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Report on Bottlenecks in the Procurement in Lao PDR, WB June 23, 2014</w:t>
            </w:r>
          </w:p>
        </w:tc>
      </w:tr>
      <w:tr w:rsidR="004833E6" w:rsidRPr="00F13C19" w14:paraId="02D29925" w14:textId="77777777" w:rsidTr="00CE5ED9">
        <w:tc>
          <w:tcPr>
            <w:tcW w:w="4878" w:type="dxa"/>
          </w:tcPr>
          <w:p w14:paraId="63AD3C4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24.1. Procurement monitoring</w:t>
            </w:r>
          </w:p>
        </w:tc>
        <w:tc>
          <w:tcPr>
            <w:tcW w:w="4657" w:type="dxa"/>
            <w:vMerge/>
            <w:vAlign w:val="center"/>
          </w:tcPr>
          <w:p w14:paraId="07EF4FBC" w14:textId="77777777" w:rsidR="004833E6" w:rsidRPr="00F13C19" w:rsidRDefault="004833E6" w:rsidP="000310F5">
            <w:pPr>
              <w:spacing w:before="0"/>
              <w:ind w:left="0" w:right="116"/>
              <w:jc w:val="left"/>
              <w:rPr>
                <w:rFonts w:cstheme="minorHAnsi"/>
                <w:sz w:val="18"/>
                <w:szCs w:val="18"/>
              </w:rPr>
            </w:pPr>
          </w:p>
        </w:tc>
      </w:tr>
      <w:tr w:rsidR="004833E6" w:rsidRPr="00F13C19" w14:paraId="407D81B5" w14:textId="77777777" w:rsidTr="00CE5ED9">
        <w:tc>
          <w:tcPr>
            <w:tcW w:w="4878" w:type="dxa"/>
          </w:tcPr>
          <w:p w14:paraId="6449DC9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24.2. Procurement methods</w:t>
            </w:r>
          </w:p>
        </w:tc>
        <w:tc>
          <w:tcPr>
            <w:tcW w:w="4657" w:type="dxa"/>
            <w:vMerge/>
            <w:vAlign w:val="center"/>
          </w:tcPr>
          <w:p w14:paraId="00A1210C" w14:textId="77777777" w:rsidR="004833E6" w:rsidRPr="00F13C19" w:rsidRDefault="004833E6" w:rsidP="000310F5">
            <w:pPr>
              <w:spacing w:before="0"/>
              <w:ind w:left="0" w:right="116"/>
              <w:jc w:val="left"/>
              <w:rPr>
                <w:rFonts w:cstheme="minorHAnsi"/>
                <w:sz w:val="18"/>
                <w:szCs w:val="18"/>
              </w:rPr>
            </w:pPr>
          </w:p>
        </w:tc>
      </w:tr>
      <w:tr w:rsidR="004833E6" w:rsidRPr="00F13C19" w14:paraId="66A2052C" w14:textId="77777777" w:rsidTr="00CE5ED9">
        <w:tc>
          <w:tcPr>
            <w:tcW w:w="4878" w:type="dxa"/>
          </w:tcPr>
          <w:p w14:paraId="29E5C703"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24.3. Public access to procurement information</w:t>
            </w:r>
          </w:p>
        </w:tc>
        <w:tc>
          <w:tcPr>
            <w:tcW w:w="4657" w:type="dxa"/>
            <w:vMerge/>
            <w:vAlign w:val="center"/>
          </w:tcPr>
          <w:p w14:paraId="6F107D40" w14:textId="77777777" w:rsidR="004833E6" w:rsidRPr="00F13C19" w:rsidRDefault="004833E6" w:rsidP="000310F5">
            <w:pPr>
              <w:spacing w:before="0"/>
              <w:ind w:left="0" w:right="116"/>
              <w:jc w:val="left"/>
              <w:rPr>
                <w:rFonts w:cstheme="minorHAnsi"/>
                <w:sz w:val="18"/>
                <w:szCs w:val="18"/>
              </w:rPr>
            </w:pPr>
          </w:p>
        </w:tc>
      </w:tr>
      <w:tr w:rsidR="004833E6" w:rsidRPr="00F13C19" w14:paraId="63A26E92" w14:textId="77777777" w:rsidTr="00CE5ED9">
        <w:tc>
          <w:tcPr>
            <w:tcW w:w="4878" w:type="dxa"/>
          </w:tcPr>
          <w:p w14:paraId="70AD4BD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24.4. Procurement complaints management</w:t>
            </w:r>
          </w:p>
        </w:tc>
        <w:tc>
          <w:tcPr>
            <w:tcW w:w="4657" w:type="dxa"/>
            <w:vMerge/>
            <w:vAlign w:val="center"/>
          </w:tcPr>
          <w:p w14:paraId="43425ACE" w14:textId="77777777" w:rsidR="004833E6" w:rsidRPr="00F13C19" w:rsidRDefault="004833E6" w:rsidP="000310F5">
            <w:pPr>
              <w:pStyle w:val="Default"/>
              <w:spacing w:before="0"/>
              <w:ind w:left="0" w:right="116"/>
              <w:jc w:val="left"/>
              <w:rPr>
                <w:rFonts w:asciiTheme="minorHAnsi" w:hAnsiTheme="minorHAnsi" w:cstheme="minorHAnsi"/>
                <w:color w:val="auto"/>
                <w:sz w:val="18"/>
                <w:szCs w:val="18"/>
              </w:rPr>
            </w:pPr>
          </w:p>
        </w:tc>
      </w:tr>
      <w:tr w:rsidR="004833E6" w:rsidRPr="00F13C19" w14:paraId="5FC7C385" w14:textId="77777777" w:rsidTr="00CE5ED9">
        <w:tc>
          <w:tcPr>
            <w:tcW w:w="4878" w:type="dxa"/>
            <w:vAlign w:val="center"/>
          </w:tcPr>
          <w:p w14:paraId="6978B9CB"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PI-25. Internal controls on non-salary expenditure</w:t>
            </w:r>
          </w:p>
        </w:tc>
        <w:tc>
          <w:tcPr>
            <w:tcW w:w="4657" w:type="dxa"/>
            <w:vMerge w:val="restart"/>
            <w:vAlign w:val="center"/>
          </w:tcPr>
          <w:p w14:paraId="577C8A05"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Pr>
                <w:rFonts w:eastAsia="Calibri" w:cstheme="minorHAnsi"/>
                <w:sz w:val="18"/>
                <w:szCs w:val="18"/>
              </w:rPr>
              <w:t>See Pi-20 and PI-21 and specific data collected from Treasury department and questionnaires to Inspection department MoF.</w:t>
            </w:r>
          </w:p>
        </w:tc>
      </w:tr>
      <w:tr w:rsidR="004833E6" w:rsidRPr="00F13C19" w14:paraId="25740B2C" w14:textId="77777777" w:rsidTr="00CE5ED9">
        <w:tc>
          <w:tcPr>
            <w:tcW w:w="4878" w:type="dxa"/>
          </w:tcPr>
          <w:p w14:paraId="0DA4C021"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25.1. Segregation of duties</w:t>
            </w:r>
          </w:p>
        </w:tc>
        <w:tc>
          <w:tcPr>
            <w:tcW w:w="4657" w:type="dxa"/>
            <w:vMerge/>
            <w:vAlign w:val="center"/>
          </w:tcPr>
          <w:p w14:paraId="046B5A4E" w14:textId="77777777" w:rsidR="004833E6" w:rsidRPr="00F13C19" w:rsidRDefault="004833E6" w:rsidP="000310F5">
            <w:pPr>
              <w:spacing w:before="0"/>
              <w:ind w:left="0" w:right="116"/>
              <w:jc w:val="left"/>
              <w:rPr>
                <w:rFonts w:cstheme="minorHAnsi"/>
                <w:sz w:val="18"/>
                <w:szCs w:val="18"/>
              </w:rPr>
            </w:pPr>
          </w:p>
        </w:tc>
      </w:tr>
      <w:tr w:rsidR="004833E6" w:rsidRPr="00F13C19" w14:paraId="2897ABF2" w14:textId="77777777" w:rsidTr="00CE5ED9">
        <w:tc>
          <w:tcPr>
            <w:tcW w:w="4878" w:type="dxa"/>
          </w:tcPr>
          <w:p w14:paraId="6FDD7099"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25.2. Effectiveness of expenditure commitment controls</w:t>
            </w:r>
          </w:p>
        </w:tc>
        <w:tc>
          <w:tcPr>
            <w:tcW w:w="4657" w:type="dxa"/>
            <w:vMerge/>
            <w:vAlign w:val="center"/>
          </w:tcPr>
          <w:p w14:paraId="1D3580B7" w14:textId="77777777" w:rsidR="004833E6" w:rsidRPr="00F13C19" w:rsidRDefault="004833E6" w:rsidP="000310F5">
            <w:pPr>
              <w:spacing w:before="0"/>
              <w:ind w:left="0" w:right="116"/>
              <w:jc w:val="left"/>
              <w:rPr>
                <w:rFonts w:cstheme="minorHAnsi"/>
                <w:sz w:val="18"/>
                <w:szCs w:val="18"/>
              </w:rPr>
            </w:pPr>
          </w:p>
        </w:tc>
      </w:tr>
      <w:tr w:rsidR="004833E6" w:rsidRPr="00F13C19" w14:paraId="78BBE3D3" w14:textId="77777777" w:rsidTr="00CE5ED9">
        <w:tc>
          <w:tcPr>
            <w:tcW w:w="4878" w:type="dxa"/>
          </w:tcPr>
          <w:p w14:paraId="5DAC36F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25.3. Compliance with payment rules and procedures</w:t>
            </w:r>
          </w:p>
        </w:tc>
        <w:tc>
          <w:tcPr>
            <w:tcW w:w="4657" w:type="dxa"/>
            <w:vMerge/>
            <w:vAlign w:val="center"/>
          </w:tcPr>
          <w:p w14:paraId="32C633BF" w14:textId="77777777" w:rsidR="004833E6" w:rsidRPr="00F13C19" w:rsidRDefault="004833E6" w:rsidP="000310F5">
            <w:pPr>
              <w:spacing w:before="0"/>
              <w:ind w:left="0" w:right="116"/>
              <w:jc w:val="left"/>
              <w:rPr>
                <w:rFonts w:cstheme="minorHAnsi"/>
                <w:sz w:val="18"/>
                <w:szCs w:val="18"/>
              </w:rPr>
            </w:pPr>
          </w:p>
        </w:tc>
      </w:tr>
      <w:tr w:rsidR="004833E6" w:rsidRPr="00F13C19" w14:paraId="084F653F" w14:textId="77777777" w:rsidTr="00CE5ED9">
        <w:tc>
          <w:tcPr>
            <w:tcW w:w="4878" w:type="dxa"/>
            <w:vAlign w:val="center"/>
          </w:tcPr>
          <w:p w14:paraId="5B2013C1"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PI-26. Internal audit</w:t>
            </w:r>
          </w:p>
        </w:tc>
        <w:tc>
          <w:tcPr>
            <w:tcW w:w="4657" w:type="dxa"/>
            <w:vMerge w:val="restart"/>
            <w:vAlign w:val="center"/>
          </w:tcPr>
          <w:p w14:paraId="78A2C7EC"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Prime Minister's Decree on National Inspection, No. 160 dated 26/8/1996</w:t>
            </w:r>
          </w:p>
          <w:p w14:paraId="17DCAFC2"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Law on National Inspection, No 41/NA, 2008</w:t>
            </w:r>
          </w:p>
        </w:tc>
      </w:tr>
      <w:tr w:rsidR="004833E6" w:rsidRPr="00F13C19" w14:paraId="5B37F99E" w14:textId="77777777" w:rsidTr="00CE5ED9">
        <w:tc>
          <w:tcPr>
            <w:tcW w:w="4878" w:type="dxa"/>
          </w:tcPr>
          <w:p w14:paraId="68EBC51A"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26.1. Coverage of internal audit</w:t>
            </w:r>
          </w:p>
        </w:tc>
        <w:tc>
          <w:tcPr>
            <w:tcW w:w="4657" w:type="dxa"/>
            <w:vMerge/>
            <w:vAlign w:val="center"/>
          </w:tcPr>
          <w:p w14:paraId="37F55E86" w14:textId="77777777" w:rsidR="004833E6" w:rsidRPr="00F13C19" w:rsidRDefault="004833E6" w:rsidP="000310F5">
            <w:pPr>
              <w:spacing w:before="0"/>
              <w:ind w:left="0" w:right="116"/>
              <w:jc w:val="left"/>
              <w:rPr>
                <w:rFonts w:cstheme="minorHAnsi"/>
                <w:sz w:val="18"/>
                <w:szCs w:val="18"/>
              </w:rPr>
            </w:pPr>
          </w:p>
        </w:tc>
      </w:tr>
      <w:tr w:rsidR="004833E6" w:rsidRPr="00F13C19" w14:paraId="73E81167" w14:textId="77777777" w:rsidTr="00CE5ED9">
        <w:tc>
          <w:tcPr>
            <w:tcW w:w="4878" w:type="dxa"/>
          </w:tcPr>
          <w:p w14:paraId="0D70126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26.2. Nature of audits and standards applied</w:t>
            </w:r>
          </w:p>
        </w:tc>
        <w:tc>
          <w:tcPr>
            <w:tcW w:w="4657" w:type="dxa"/>
            <w:vMerge/>
            <w:vAlign w:val="center"/>
          </w:tcPr>
          <w:p w14:paraId="1F7F5B8E" w14:textId="77777777" w:rsidR="004833E6" w:rsidRPr="00F13C19" w:rsidRDefault="004833E6" w:rsidP="000310F5">
            <w:pPr>
              <w:spacing w:before="0"/>
              <w:ind w:left="0" w:right="116"/>
              <w:jc w:val="left"/>
              <w:rPr>
                <w:rFonts w:cstheme="minorHAnsi"/>
                <w:sz w:val="18"/>
                <w:szCs w:val="18"/>
              </w:rPr>
            </w:pPr>
          </w:p>
        </w:tc>
      </w:tr>
      <w:tr w:rsidR="004833E6" w:rsidRPr="00F13C19" w14:paraId="2FF8A1C9" w14:textId="77777777" w:rsidTr="00CE5ED9">
        <w:tc>
          <w:tcPr>
            <w:tcW w:w="4878" w:type="dxa"/>
          </w:tcPr>
          <w:p w14:paraId="28F08CD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26.3. Implementation of internal audits and reporting</w:t>
            </w:r>
          </w:p>
        </w:tc>
        <w:tc>
          <w:tcPr>
            <w:tcW w:w="4657" w:type="dxa"/>
            <w:vMerge/>
            <w:vAlign w:val="center"/>
          </w:tcPr>
          <w:p w14:paraId="2F56CCB9" w14:textId="77777777" w:rsidR="004833E6" w:rsidRPr="00F13C19" w:rsidRDefault="004833E6" w:rsidP="000310F5">
            <w:pPr>
              <w:spacing w:before="0"/>
              <w:ind w:left="0" w:right="116"/>
              <w:jc w:val="left"/>
              <w:rPr>
                <w:rFonts w:cstheme="minorHAnsi"/>
                <w:sz w:val="18"/>
                <w:szCs w:val="18"/>
              </w:rPr>
            </w:pPr>
          </w:p>
        </w:tc>
      </w:tr>
      <w:tr w:rsidR="004833E6" w:rsidRPr="00F13C19" w14:paraId="1DEA92F2" w14:textId="77777777" w:rsidTr="00CE5ED9">
        <w:tc>
          <w:tcPr>
            <w:tcW w:w="4878" w:type="dxa"/>
          </w:tcPr>
          <w:p w14:paraId="706367EB"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26.4. Response to internal audits</w:t>
            </w:r>
          </w:p>
        </w:tc>
        <w:tc>
          <w:tcPr>
            <w:tcW w:w="4657" w:type="dxa"/>
            <w:vMerge/>
            <w:vAlign w:val="center"/>
          </w:tcPr>
          <w:p w14:paraId="3096A2A6" w14:textId="77777777" w:rsidR="004833E6" w:rsidRPr="00F13C19" w:rsidRDefault="004833E6" w:rsidP="000310F5">
            <w:pPr>
              <w:spacing w:before="0"/>
              <w:ind w:left="0" w:right="116"/>
              <w:jc w:val="left"/>
              <w:rPr>
                <w:rFonts w:cstheme="minorHAnsi"/>
                <w:sz w:val="18"/>
                <w:szCs w:val="18"/>
              </w:rPr>
            </w:pPr>
          </w:p>
        </w:tc>
      </w:tr>
      <w:tr w:rsidR="004833E6" w:rsidRPr="00F13C19" w14:paraId="5E9690AC" w14:textId="77777777" w:rsidTr="00CE5ED9">
        <w:tc>
          <w:tcPr>
            <w:tcW w:w="9535" w:type="dxa"/>
            <w:gridSpan w:val="2"/>
            <w:shd w:val="clear" w:color="auto" w:fill="C2D840"/>
            <w:vAlign w:val="center"/>
          </w:tcPr>
          <w:p w14:paraId="4B14232F"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t>Accounting and reporting</w:t>
            </w:r>
          </w:p>
        </w:tc>
      </w:tr>
      <w:tr w:rsidR="004833E6" w:rsidRPr="00F13C19" w14:paraId="006AF0AD" w14:textId="77777777" w:rsidTr="00CE5ED9">
        <w:tc>
          <w:tcPr>
            <w:tcW w:w="4878" w:type="dxa"/>
            <w:vAlign w:val="center"/>
          </w:tcPr>
          <w:p w14:paraId="51390514"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PI-27. Financial data integrity</w:t>
            </w:r>
          </w:p>
        </w:tc>
        <w:tc>
          <w:tcPr>
            <w:tcW w:w="4657" w:type="dxa"/>
            <w:vMerge w:val="restart"/>
            <w:vAlign w:val="center"/>
          </w:tcPr>
          <w:p w14:paraId="1384AE01" w14:textId="77777777" w:rsidR="004833E6" w:rsidRPr="00F13C19" w:rsidRDefault="004833E6" w:rsidP="000310F5">
            <w:pPr>
              <w:spacing w:before="0"/>
              <w:ind w:left="0" w:right="116"/>
              <w:jc w:val="left"/>
              <w:rPr>
                <w:rFonts w:eastAsia="Calibri" w:cstheme="minorHAnsi"/>
                <w:sz w:val="18"/>
                <w:szCs w:val="18"/>
              </w:rPr>
            </w:pPr>
            <w:r w:rsidRPr="00F13C19">
              <w:rPr>
                <w:rFonts w:eastAsia="Calibri" w:cstheme="minorHAnsi"/>
                <w:sz w:val="18"/>
                <w:szCs w:val="18"/>
              </w:rPr>
              <w:t>Technical Note: Political Economy Analysis for PFM Modernization Program in Support of FMIS Implementation, WB, 31 May 2018</w:t>
            </w:r>
          </w:p>
          <w:p w14:paraId="641418C1"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Decision on organizational structure and roles of the National Treasury, MoF, No. 2833/MoF, Aug 22, 2017</w:t>
            </w:r>
          </w:p>
          <w:p w14:paraId="72068D63" w14:textId="77777777" w:rsidR="004833E6" w:rsidRPr="00F13C19" w:rsidRDefault="004833E6" w:rsidP="000310F5">
            <w:pPr>
              <w:spacing w:before="0"/>
              <w:ind w:left="0" w:right="116"/>
              <w:jc w:val="left"/>
              <w:rPr>
                <w:rFonts w:cstheme="minorHAnsi"/>
                <w:sz w:val="18"/>
                <w:szCs w:val="18"/>
                <w:lang w:val="en-MY"/>
              </w:rPr>
            </w:pPr>
            <w:r w:rsidRPr="00F13C19">
              <w:rPr>
                <w:rFonts w:cstheme="minorHAnsi"/>
                <w:sz w:val="18"/>
                <w:szCs w:val="18"/>
                <w:lang w:val="en-MY"/>
              </w:rPr>
              <w:t>All references under PI-20</w:t>
            </w:r>
          </w:p>
        </w:tc>
      </w:tr>
      <w:tr w:rsidR="004833E6" w:rsidRPr="00F13C19" w14:paraId="423BA86A" w14:textId="77777777" w:rsidTr="00CE5ED9">
        <w:tc>
          <w:tcPr>
            <w:tcW w:w="4878" w:type="dxa"/>
          </w:tcPr>
          <w:p w14:paraId="219FCAEE"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27.1. Bank account reconciliation</w:t>
            </w:r>
          </w:p>
        </w:tc>
        <w:tc>
          <w:tcPr>
            <w:tcW w:w="4657" w:type="dxa"/>
            <w:vMerge/>
            <w:vAlign w:val="center"/>
          </w:tcPr>
          <w:p w14:paraId="0A38DB24" w14:textId="77777777" w:rsidR="004833E6" w:rsidRPr="00F13C19" w:rsidRDefault="004833E6" w:rsidP="000310F5">
            <w:pPr>
              <w:spacing w:before="0"/>
              <w:ind w:left="0" w:right="116"/>
              <w:jc w:val="left"/>
              <w:rPr>
                <w:rFonts w:cstheme="minorHAnsi"/>
                <w:sz w:val="18"/>
                <w:szCs w:val="18"/>
              </w:rPr>
            </w:pPr>
          </w:p>
        </w:tc>
      </w:tr>
      <w:tr w:rsidR="004833E6" w:rsidRPr="00F13C19" w14:paraId="64349BC5" w14:textId="77777777" w:rsidTr="00CE5ED9">
        <w:tc>
          <w:tcPr>
            <w:tcW w:w="4878" w:type="dxa"/>
          </w:tcPr>
          <w:p w14:paraId="05B8D2C6"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27.2. Suspense accounts</w:t>
            </w:r>
          </w:p>
        </w:tc>
        <w:tc>
          <w:tcPr>
            <w:tcW w:w="4657" w:type="dxa"/>
            <w:vMerge/>
            <w:vAlign w:val="center"/>
          </w:tcPr>
          <w:p w14:paraId="1E7AB313" w14:textId="77777777" w:rsidR="004833E6" w:rsidRPr="00F13C19" w:rsidRDefault="004833E6" w:rsidP="000310F5">
            <w:pPr>
              <w:spacing w:before="0"/>
              <w:ind w:left="0" w:right="116"/>
              <w:jc w:val="left"/>
              <w:rPr>
                <w:rFonts w:cstheme="minorHAnsi"/>
                <w:sz w:val="18"/>
                <w:szCs w:val="18"/>
              </w:rPr>
            </w:pPr>
          </w:p>
        </w:tc>
      </w:tr>
      <w:tr w:rsidR="004833E6" w:rsidRPr="00F13C19" w14:paraId="54ADFB34" w14:textId="77777777" w:rsidTr="00CE5ED9">
        <w:tc>
          <w:tcPr>
            <w:tcW w:w="4878" w:type="dxa"/>
          </w:tcPr>
          <w:p w14:paraId="5148B36D"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27.3. Advance accounts</w:t>
            </w:r>
          </w:p>
        </w:tc>
        <w:tc>
          <w:tcPr>
            <w:tcW w:w="4657" w:type="dxa"/>
            <w:vMerge/>
            <w:vAlign w:val="center"/>
          </w:tcPr>
          <w:p w14:paraId="6D1834C9" w14:textId="77777777" w:rsidR="004833E6" w:rsidRPr="00F13C19" w:rsidRDefault="004833E6" w:rsidP="000310F5">
            <w:pPr>
              <w:spacing w:before="0"/>
              <w:ind w:left="0" w:right="116"/>
              <w:jc w:val="left"/>
              <w:rPr>
                <w:rFonts w:cstheme="minorHAnsi"/>
                <w:sz w:val="18"/>
                <w:szCs w:val="18"/>
              </w:rPr>
            </w:pPr>
          </w:p>
        </w:tc>
      </w:tr>
      <w:tr w:rsidR="004833E6" w:rsidRPr="00F13C19" w14:paraId="632D4E04" w14:textId="77777777" w:rsidTr="00CE5ED9">
        <w:tc>
          <w:tcPr>
            <w:tcW w:w="4878" w:type="dxa"/>
          </w:tcPr>
          <w:p w14:paraId="318AE138"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27.4. Financial data integrity processes</w:t>
            </w:r>
          </w:p>
        </w:tc>
        <w:tc>
          <w:tcPr>
            <w:tcW w:w="4657" w:type="dxa"/>
            <w:vMerge/>
            <w:vAlign w:val="center"/>
          </w:tcPr>
          <w:p w14:paraId="37EEE754" w14:textId="77777777" w:rsidR="004833E6" w:rsidRPr="00F13C19" w:rsidRDefault="004833E6" w:rsidP="000310F5">
            <w:pPr>
              <w:spacing w:before="0"/>
              <w:ind w:left="0" w:right="116"/>
              <w:jc w:val="left"/>
              <w:rPr>
                <w:rFonts w:cstheme="minorHAnsi"/>
                <w:sz w:val="18"/>
                <w:szCs w:val="18"/>
              </w:rPr>
            </w:pPr>
          </w:p>
        </w:tc>
      </w:tr>
      <w:tr w:rsidR="004833E6" w:rsidRPr="00F13C19" w14:paraId="77E3FC4A" w14:textId="77777777" w:rsidTr="00CE5ED9">
        <w:tc>
          <w:tcPr>
            <w:tcW w:w="4878" w:type="dxa"/>
            <w:vAlign w:val="center"/>
          </w:tcPr>
          <w:p w14:paraId="5C16DAC0"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PI-28. In-year budget reports</w:t>
            </w:r>
          </w:p>
        </w:tc>
        <w:tc>
          <w:tcPr>
            <w:tcW w:w="4657" w:type="dxa"/>
            <w:vMerge w:val="restart"/>
            <w:vAlign w:val="center"/>
          </w:tcPr>
          <w:p w14:paraId="73D2D5C8"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 xml:space="preserve">Draft report by MoF on budget execution for the first 6 months of FY14/15 and all the measures </w:t>
            </w:r>
            <w:proofErr w:type="gramStart"/>
            <w:r w:rsidRPr="00F13C19">
              <w:rPr>
                <w:rFonts w:eastAsia="Calibri" w:cstheme="minorHAnsi"/>
                <w:sz w:val="18"/>
                <w:szCs w:val="18"/>
              </w:rPr>
              <w:t>in order to</w:t>
            </w:r>
            <w:proofErr w:type="gramEnd"/>
            <w:r w:rsidRPr="00F13C19">
              <w:rPr>
                <w:rFonts w:eastAsia="Calibri" w:cstheme="minorHAnsi"/>
                <w:sz w:val="18"/>
                <w:szCs w:val="18"/>
              </w:rPr>
              <w:t xml:space="preserve"> execute the last 6 months as well as the directions of the state budget for FY15/16. Draft to 9th ordinary session of the 7th legislation July 1-21, 2015, </w:t>
            </w:r>
          </w:p>
          <w:p w14:paraId="7A605848"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 xml:space="preserve">Report by MoF to the cabinets on the first 6-months of state budget execution FY14/15 and measures to reach the targets of the last 6 months as well as the directions for the state budget for FY15/16. April 22-24, 2015, </w:t>
            </w:r>
          </w:p>
          <w:p w14:paraId="5D27C175"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 xml:space="preserve">Prime Minister's Order on Report on NSEDP and State Budget 6 months implementation, prioritized areas for the last 6 months of 2018 and 2019 NSDEP and State Budget preparation. </w:t>
            </w:r>
            <w:proofErr w:type="gramStart"/>
            <w:r w:rsidRPr="00F13C19">
              <w:rPr>
                <w:rFonts w:eastAsia="Calibri" w:cstheme="minorHAnsi"/>
                <w:sz w:val="18"/>
                <w:szCs w:val="18"/>
              </w:rPr>
              <w:t>No. 07/PM,</w:t>
            </w:r>
            <w:proofErr w:type="gramEnd"/>
            <w:r w:rsidRPr="00F13C19">
              <w:rPr>
                <w:rFonts w:eastAsia="Calibri" w:cstheme="minorHAnsi"/>
                <w:sz w:val="18"/>
                <w:szCs w:val="18"/>
              </w:rPr>
              <w:t xml:space="preserve"> dated 22/6/2018</w:t>
            </w:r>
          </w:p>
          <w:p w14:paraId="593596B8" w14:textId="77777777" w:rsidR="004833E6" w:rsidRPr="00F13C19" w:rsidRDefault="004833E6" w:rsidP="000310F5">
            <w:pPr>
              <w:widowControl w:val="0"/>
              <w:tabs>
                <w:tab w:val="left" w:pos="460"/>
              </w:tabs>
              <w:spacing w:before="0"/>
              <w:ind w:left="0" w:right="116"/>
              <w:jc w:val="left"/>
              <w:rPr>
                <w:rFonts w:eastAsia="Calibri" w:cstheme="minorHAnsi"/>
                <w:sz w:val="18"/>
                <w:szCs w:val="18"/>
              </w:rPr>
            </w:pPr>
            <w:r w:rsidRPr="00F13C19">
              <w:rPr>
                <w:rFonts w:eastAsia="Calibri" w:cstheme="minorHAnsi"/>
                <w:sz w:val="18"/>
                <w:szCs w:val="18"/>
              </w:rPr>
              <w:t>Q1 of 2018 Financial Statistic Report, MOF</w:t>
            </w:r>
          </w:p>
        </w:tc>
      </w:tr>
      <w:tr w:rsidR="004833E6" w:rsidRPr="00F13C19" w14:paraId="6647088A" w14:textId="77777777" w:rsidTr="00CE5ED9">
        <w:tc>
          <w:tcPr>
            <w:tcW w:w="4878" w:type="dxa"/>
          </w:tcPr>
          <w:p w14:paraId="00528EDC"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28.1. Coverage and comparability of reports</w:t>
            </w:r>
          </w:p>
        </w:tc>
        <w:tc>
          <w:tcPr>
            <w:tcW w:w="4657" w:type="dxa"/>
            <w:vMerge/>
            <w:vAlign w:val="center"/>
          </w:tcPr>
          <w:p w14:paraId="7A3F37A7" w14:textId="77777777" w:rsidR="004833E6" w:rsidRPr="00F13C19" w:rsidRDefault="004833E6" w:rsidP="000310F5">
            <w:pPr>
              <w:spacing w:before="0"/>
              <w:ind w:left="0" w:right="116"/>
              <w:jc w:val="left"/>
              <w:rPr>
                <w:rFonts w:cstheme="minorHAnsi"/>
                <w:sz w:val="18"/>
                <w:szCs w:val="18"/>
              </w:rPr>
            </w:pPr>
          </w:p>
        </w:tc>
      </w:tr>
      <w:tr w:rsidR="004833E6" w:rsidRPr="00F13C19" w14:paraId="282ACA03" w14:textId="77777777" w:rsidTr="00CE5ED9">
        <w:tc>
          <w:tcPr>
            <w:tcW w:w="4878" w:type="dxa"/>
          </w:tcPr>
          <w:p w14:paraId="4E1F7C8F"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28.2. Timing of in-year budget reports</w:t>
            </w:r>
          </w:p>
        </w:tc>
        <w:tc>
          <w:tcPr>
            <w:tcW w:w="4657" w:type="dxa"/>
            <w:vMerge/>
            <w:vAlign w:val="center"/>
          </w:tcPr>
          <w:p w14:paraId="28FA5F67" w14:textId="77777777" w:rsidR="004833E6" w:rsidRPr="00F13C19" w:rsidRDefault="004833E6" w:rsidP="000310F5">
            <w:pPr>
              <w:spacing w:before="0"/>
              <w:ind w:left="0" w:right="116"/>
              <w:jc w:val="left"/>
              <w:rPr>
                <w:rFonts w:cstheme="minorHAnsi"/>
                <w:sz w:val="18"/>
                <w:szCs w:val="18"/>
              </w:rPr>
            </w:pPr>
          </w:p>
        </w:tc>
      </w:tr>
      <w:tr w:rsidR="004833E6" w:rsidRPr="00F13C19" w14:paraId="1E0B62CF" w14:textId="77777777" w:rsidTr="00CE5ED9">
        <w:tc>
          <w:tcPr>
            <w:tcW w:w="4878" w:type="dxa"/>
          </w:tcPr>
          <w:p w14:paraId="0C949588"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28.3. Accuracy of in-year budget reports</w:t>
            </w:r>
          </w:p>
        </w:tc>
        <w:tc>
          <w:tcPr>
            <w:tcW w:w="4657" w:type="dxa"/>
            <w:vMerge/>
            <w:vAlign w:val="center"/>
          </w:tcPr>
          <w:p w14:paraId="3B393DFA" w14:textId="77777777" w:rsidR="004833E6" w:rsidRPr="00F13C19" w:rsidRDefault="004833E6" w:rsidP="000310F5">
            <w:pPr>
              <w:spacing w:before="0"/>
              <w:ind w:left="0" w:right="116"/>
              <w:jc w:val="left"/>
              <w:rPr>
                <w:rFonts w:cstheme="minorHAnsi"/>
                <w:sz w:val="18"/>
                <w:szCs w:val="18"/>
              </w:rPr>
            </w:pPr>
          </w:p>
        </w:tc>
      </w:tr>
      <w:tr w:rsidR="004833E6" w:rsidRPr="00F13C19" w14:paraId="735BFBFF" w14:textId="77777777" w:rsidTr="00CE5ED9">
        <w:tc>
          <w:tcPr>
            <w:tcW w:w="4878" w:type="dxa"/>
            <w:vAlign w:val="center"/>
          </w:tcPr>
          <w:p w14:paraId="35DA6183"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PI-29. Annual financial reports</w:t>
            </w:r>
          </w:p>
        </w:tc>
        <w:tc>
          <w:tcPr>
            <w:tcW w:w="4657" w:type="dxa"/>
            <w:vMerge w:val="restart"/>
            <w:vAlign w:val="center"/>
          </w:tcPr>
          <w:p w14:paraId="15DBAEEA" w14:textId="77777777" w:rsidR="004833E6" w:rsidRPr="002C76BA" w:rsidRDefault="004833E6" w:rsidP="000310F5">
            <w:pPr>
              <w:spacing w:before="0"/>
              <w:ind w:left="0" w:right="116"/>
              <w:jc w:val="left"/>
              <w:rPr>
                <w:rFonts w:eastAsia="Calibri" w:cstheme="minorHAnsi"/>
                <w:sz w:val="18"/>
                <w:szCs w:val="18"/>
              </w:rPr>
            </w:pPr>
            <w:r w:rsidRPr="002C76BA">
              <w:rPr>
                <w:rFonts w:eastAsia="Calibri" w:cstheme="minorHAnsi"/>
                <w:sz w:val="18"/>
                <w:szCs w:val="18"/>
              </w:rPr>
              <w:t>Expansion of the Chart of Accounts</w:t>
            </w:r>
            <w:r w:rsidRPr="00F13C19">
              <w:rPr>
                <w:rFonts w:eastAsia="Calibri" w:cstheme="minorHAnsi"/>
                <w:sz w:val="18"/>
                <w:szCs w:val="18"/>
              </w:rPr>
              <w:t xml:space="preserve">, ppt presentation, </w:t>
            </w:r>
            <w:r w:rsidRPr="002C76BA">
              <w:rPr>
                <w:rFonts w:eastAsia="Calibri" w:cstheme="minorHAnsi"/>
                <w:sz w:val="18"/>
                <w:szCs w:val="18"/>
              </w:rPr>
              <w:t>Workshop</w:t>
            </w:r>
            <w:r w:rsidRPr="00F13C19">
              <w:rPr>
                <w:rFonts w:eastAsia="Calibri" w:cstheme="minorHAnsi"/>
                <w:sz w:val="18"/>
                <w:szCs w:val="18"/>
              </w:rPr>
              <w:t>, MoF, 5 Sept. 2018</w:t>
            </w:r>
          </w:p>
          <w:p w14:paraId="27D2160F" w14:textId="77777777" w:rsidR="004833E6" w:rsidRDefault="004833E6" w:rsidP="000310F5">
            <w:pPr>
              <w:spacing w:before="0"/>
              <w:ind w:left="0" w:right="116"/>
              <w:jc w:val="left"/>
              <w:rPr>
                <w:rFonts w:eastAsia="Calibri" w:cstheme="minorHAnsi"/>
                <w:sz w:val="18"/>
                <w:szCs w:val="18"/>
              </w:rPr>
            </w:pPr>
            <w:r w:rsidRPr="00F13C19">
              <w:rPr>
                <w:rFonts w:eastAsia="Calibri" w:cstheme="minorHAnsi"/>
                <w:sz w:val="18"/>
                <w:szCs w:val="18"/>
              </w:rPr>
              <w:t xml:space="preserve">Lao PDR, Adopting Cash Basis IPSAS: gap analysis and action plan, technical assistance </w:t>
            </w:r>
            <w:proofErr w:type="gramStart"/>
            <w:r w:rsidRPr="00F13C19">
              <w:rPr>
                <w:rFonts w:eastAsia="Calibri" w:cstheme="minorHAnsi"/>
                <w:sz w:val="18"/>
                <w:szCs w:val="18"/>
              </w:rPr>
              <w:t>reports ,</w:t>
            </w:r>
            <w:proofErr w:type="gramEnd"/>
            <w:r w:rsidRPr="00F13C19">
              <w:rPr>
                <w:rFonts w:eastAsia="Calibri" w:cstheme="minorHAnsi"/>
                <w:sz w:val="18"/>
                <w:szCs w:val="18"/>
              </w:rPr>
              <w:t xml:space="preserve"> FAD, IMF, April 2017</w:t>
            </w:r>
          </w:p>
          <w:p w14:paraId="41A50921" w14:textId="77777777" w:rsidR="004833E6" w:rsidRPr="00F13C19" w:rsidRDefault="004833E6" w:rsidP="000310F5">
            <w:pPr>
              <w:spacing w:before="0"/>
              <w:ind w:left="0" w:right="116"/>
              <w:jc w:val="left"/>
              <w:rPr>
                <w:rFonts w:cstheme="minorHAnsi"/>
                <w:sz w:val="18"/>
                <w:szCs w:val="18"/>
              </w:rPr>
            </w:pPr>
            <w:r>
              <w:rPr>
                <w:rFonts w:cstheme="minorHAnsi"/>
                <w:sz w:val="18"/>
                <w:szCs w:val="18"/>
              </w:rPr>
              <w:t>Treasury and Budget reports submitted to SAO for 2014-15, 2015-16 and 2017.</w:t>
            </w:r>
          </w:p>
        </w:tc>
      </w:tr>
      <w:tr w:rsidR="004833E6" w:rsidRPr="00F13C19" w14:paraId="3DFC175F" w14:textId="77777777" w:rsidTr="00CE5ED9">
        <w:tc>
          <w:tcPr>
            <w:tcW w:w="4878" w:type="dxa"/>
          </w:tcPr>
          <w:p w14:paraId="2ADF4AA4"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29.1. Completeness of annual financial reports</w:t>
            </w:r>
          </w:p>
        </w:tc>
        <w:tc>
          <w:tcPr>
            <w:tcW w:w="4657" w:type="dxa"/>
            <w:vMerge/>
            <w:vAlign w:val="center"/>
          </w:tcPr>
          <w:p w14:paraId="533F49B9" w14:textId="77777777" w:rsidR="004833E6" w:rsidRPr="00F13C19" w:rsidRDefault="004833E6" w:rsidP="000310F5">
            <w:pPr>
              <w:spacing w:before="0"/>
              <w:ind w:left="0" w:right="116"/>
              <w:jc w:val="left"/>
              <w:rPr>
                <w:rFonts w:cstheme="minorHAnsi"/>
                <w:sz w:val="18"/>
                <w:szCs w:val="18"/>
              </w:rPr>
            </w:pPr>
          </w:p>
        </w:tc>
      </w:tr>
      <w:tr w:rsidR="004833E6" w:rsidRPr="00F13C19" w14:paraId="43184202" w14:textId="77777777" w:rsidTr="00CE5ED9">
        <w:tc>
          <w:tcPr>
            <w:tcW w:w="4878" w:type="dxa"/>
          </w:tcPr>
          <w:p w14:paraId="0B197733"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29.2. Submission of the reports for external audit</w:t>
            </w:r>
          </w:p>
        </w:tc>
        <w:tc>
          <w:tcPr>
            <w:tcW w:w="4657" w:type="dxa"/>
            <w:vMerge/>
            <w:vAlign w:val="center"/>
          </w:tcPr>
          <w:p w14:paraId="6AFE9147" w14:textId="77777777" w:rsidR="004833E6" w:rsidRPr="00F13C19" w:rsidRDefault="004833E6" w:rsidP="000310F5">
            <w:pPr>
              <w:spacing w:before="0"/>
              <w:ind w:left="0" w:right="116"/>
              <w:jc w:val="left"/>
              <w:rPr>
                <w:rFonts w:cstheme="minorHAnsi"/>
                <w:sz w:val="18"/>
                <w:szCs w:val="18"/>
              </w:rPr>
            </w:pPr>
          </w:p>
        </w:tc>
      </w:tr>
      <w:tr w:rsidR="004833E6" w:rsidRPr="00F13C19" w14:paraId="35C2C9EB" w14:textId="77777777" w:rsidTr="00CE5ED9">
        <w:tc>
          <w:tcPr>
            <w:tcW w:w="4878" w:type="dxa"/>
          </w:tcPr>
          <w:p w14:paraId="14A9324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29.3. Accounting standards</w:t>
            </w:r>
          </w:p>
        </w:tc>
        <w:tc>
          <w:tcPr>
            <w:tcW w:w="4657" w:type="dxa"/>
            <w:vMerge/>
            <w:vAlign w:val="center"/>
          </w:tcPr>
          <w:p w14:paraId="39F98DD4" w14:textId="77777777" w:rsidR="004833E6" w:rsidRPr="00F13C19" w:rsidRDefault="004833E6" w:rsidP="000310F5">
            <w:pPr>
              <w:spacing w:before="0"/>
              <w:ind w:left="0" w:right="116"/>
              <w:jc w:val="left"/>
              <w:rPr>
                <w:rFonts w:cstheme="minorHAnsi"/>
                <w:sz w:val="18"/>
                <w:szCs w:val="18"/>
              </w:rPr>
            </w:pPr>
          </w:p>
        </w:tc>
      </w:tr>
      <w:tr w:rsidR="004833E6" w:rsidRPr="00F13C19" w14:paraId="1968C72A" w14:textId="77777777" w:rsidTr="00CE5ED9">
        <w:tc>
          <w:tcPr>
            <w:tcW w:w="9535" w:type="dxa"/>
            <w:gridSpan w:val="2"/>
            <w:shd w:val="clear" w:color="auto" w:fill="B34384"/>
            <w:vAlign w:val="center"/>
          </w:tcPr>
          <w:p w14:paraId="0CC9164A"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lastRenderedPageBreak/>
              <w:t>External scrutiny and audit</w:t>
            </w:r>
          </w:p>
        </w:tc>
      </w:tr>
      <w:tr w:rsidR="004833E6" w:rsidRPr="00F13C19" w14:paraId="57691DC9" w14:textId="77777777" w:rsidTr="00CE5ED9">
        <w:tc>
          <w:tcPr>
            <w:tcW w:w="4878" w:type="dxa"/>
            <w:vAlign w:val="center"/>
          </w:tcPr>
          <w:p w14:paraId="63AD4529" w14:textId="77777777" w:rsidR="004833E6" w:rsidRPr="00117D3D" w:rsidRDefault="004833E6" w:rsidP="000310F5">
            <w:pPr>
              <w:spacing w:before="0"/>
              <w:ind w:left="0" w:right="116"/>
              <w:jc w:val="left"/>
              <w:rPr>
                <w:rFonts w:cstheme="minorHAnsi"/>
                <w:b/>
                <w:sz w:val="18"/>
                <w:szCs w:val="18"/>
              </w:rPr>
            </w:pPr>
            <w:r w:rsidRPr="00117D3D">
              <w:rPr>
                <w:rFonts w:cstheme="minorHAnsi"/>
                <w:b/>
                <w:sz w:val="18"/>
                <w:szCs w:val="18"/>
              </w:rPr>
              <w:t xml:space="preserve">PI-30. External audit </w:t>
            </w:r>
          </w:p>
        </w:tc>
        <w:tc>
          <w:tcPr>
            <w:tcW w:w="4657" w:type="dxa"/>
            <w:vMerge w:val="restart"/>
            <w:vAlign w:val="center"/>
          </w:tcPr>
          <w:p w14:paraId="09432ADC" w14:textId="77777777" w:rsidR="004833E6" w:rsidRPr="00F13C19" w:rsidRDefault="004833E6" w:rsidP="000310F5">
            <w:pPr>
              <w:autoSpaceDE w:val="0"/>
              <w:autoSpaceDN w:val="0"/>
              <w:adjustRightInd w:val="0"/>
              <w:spacing w:before="0"/>
              <w:ind w:left="0" w:right="116"/>
              <w:jc w:val="left"/>
              <w:rPr>
                <w:rFonts w:cstheme="minorHAnsi"/>
                <w:sz w:val="18"/>
                <w:szCs w:val="18"/>
              </w:rPr>
            </w:pPr>
            <w:r w:rsidRPr="002C76BA">
              <w:rPr>
                <w:rFonts w:cstheme="minorHAnsi"/>
                <w:sz w:val="18"/>
                <w:szCs w:val="18"/>
              </w:rPr>
              <w:t xml:space="preserve">Lao </w:t>
            </w:r>
            <w:proofErr w:type="gramStart"/>
            <w:r w:rsidRPr="002C76BA">
              <w:rPr>
                <w:rFonts w:cstheme="minorHAnsi"/>
                <w:sz w:val="18"/>
                <w:szCs w:val="18"/>
              </w:rPr>
              <w:t xml:space="preserve">PDR </w:t>
            </w:r>
            <w:r w:rsidRPr="00F13C19">
              <w:rPr>
                <w:rFonts w:cstheme="minorHAnsi"/>
                <w:sz w:val="18"/>
                <w:szCs w:val="18"/>
              </w:rPr>
              <w:t xml:space="preserve"> </w:t>
            </w:r>
            <w:r w:rsidRPr="002C76BA">
              <w:rPr>
                <w:rFonts w:cstheme="minorHAnsi"/>
                <w:sz w:val="18"/>
                <w:szCs w:val="18"/>
              </w:rPr>
              <w:t>Preliminary</w:t>
            </w:r>
            <w:proofErr w:type="gramEnd"/>
            <w:r w:rsidRPr="002C76BA">
              <w:rPr>
                <w:rFonts w:cstheme="minorHAnsi"/>
                <w:sz w:val="18"/>
                <w:szCs w:val="18"/>
              </w:rPr>
              <w:t xml:space="preserve"> Review and Self-assessment of Progress under </w:t>
            </w:r>
            <w:r w:rsidRPr="00F13C19">
              <w:rPr>
                <w:rFonts w:cstheme="minorHAnsi"/>
                <w:sz w:val="18"/>
                <w:szCs w:val="18"/>
              </w:rPr>
              <w:t xml:space="preserve">SAO Action Plan 2009-2020 Audit, WB draft May 2016  </w:t>
            </w:r>
          </w:p>
          <w:p w14:paraId="70D00226" w14:textId="77777777" w:rsidR="004833E6" w:rsidRPr="00F13C19" w:rsidRDefault="004833E6" w:rsidP="000310F5">
            <w:pPr>
              <w:autoSpaceDE w:val="0"/>
              <w:autoSpaceDN w:val="0"/>
              <w:adjustRightInd w:val="0"/>
              <w:spacing w:before="0"/>
              <w:ind w:left="0" w:right="116"/>
              <w:jc w:val="left"/>
              <w:rPr>
                <w:rFonts w:cstheme="minorHAnsi"/>
                <w:sz w:val="18"/>
                <w:szCs w:val="18"/>
              </w:rPr>
            </w:pPr>
            <w:r w:rsidRPr="00F13C19">
              <w:rPr>
                <w:rFonts w:cstheme="minorHAnsi"/>
                <w:sz w:val="18"/>
                <w:szCs w:val="18"/>
              </w:rPr>
              <w:t>Law on Independent Audit, No 51/NA, 22 July 2014 and Law on State Audit, ref. 16/NA, 6 July 2012</w:t>
            </w:r>
          </w:p>
          <w:p w14:paraId="76EF6FE6" w14:textId="77777777" w:rsidR="004833E6" w:rsidRPr="00F13C19" w:rsidRDefault="004833E6" w:rsidP="000310F5">
            <w:pPr>
              <w:autoSpaceDE w:val="0"/>
              <w:autoSpaceDN w:val="0"/>
              <w:adjustRightInd w:val="0"/>
              <w:spacing w:before="0"/>
              <w:ind w:left="0" w:right="116"/>
              <w:jc w:val="left"/>
              <w:rPr>
                <w:rFonts w:cstheme="minorHAnsi"/>
                <w:sz w:val="18"/>
                <w:szCs w:val="18"/>
              </w:rPr>
            </w:pPr>
            <w:r w:rsidRPr="00F13C19">
              <w:rPr>
                <w:rFonts w:cstheme="minorHAnsi"/>
                <w:sz w:val="18"/>
                <w:szCs w:val="18"/>
              </w:rPr>
              <w:t xml:space="preserve">Report by </w:t>
            </w:r>
            <w:proofErr w:type="gramStart"/>
            <w:r w:rsidRPr="00F13C19">
              <w:rPr>
                <w:rFonts w:cstheme="minorHAnsi"/>
                <w:sz w:val="18"/>
                <w:szCs w:val="18"/>
              </w:rPr>
              <w:t>SAO  President</w:t>
            </w:r>
            <w:proofErr w:type="gramEnd"/>
            <w:r w:rsidRPr="00F13C19">
              <w:rPr>
                <w:rFonts w:cstheme="minorHAnsi"/>
                <w:sz w:val="18"/>
                <w:szCs w:val="18"/>
              </w:rPr>
              <w:t xml:space="preserve"> on State Budget execution FY 2014-15 (published).</w:t>
            </w:r>
          </w:p>
          <w:p w14:paraId="5AA4D3BF"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Report by SAO on yearly audit Finding FY 2017 and as well as the direction of auditing plan for </w:t>
            </w:r>
            <w:proofErr w:type="gramStart"/>
            <w:r w:rsidRPr="00F13C19">
              <w:rPr>
                <w:rFonts w:cstheme="minorHAnsi"/>
                <w:sz w:val="18"/>
                <w:szCs w:val="18"/>
              </w:rPr>
              <w:t>2018  and</w:t>
            </w:r>
            <w:proofErr w:type="gramEnd"/>
            <w:r w:rsidRPr="00F13C19">
              <w:rPr>
                <w:rFonts w:cstheme="minorHAnsi"/>
                <w:sz w:val="18"/>
                <w:szCs w:val="18"/>
              </w:rPr>
              <w:t xml:space="preserve"> the result on budget execution for the year 2015 - 2016. No 1399/SAO, Oct </w:t>
            </w:r>
            <w:proofErr w:type="gramStart"/>
            <w:r w:rsidRPr="00F13C19">
              <w:rPr>
                <w:rFonts w:cstheme="minorHAnsi"/>
                <w:sz w:val="18"/>
                <w:szCs w:val="18"/>
              </w:rPr>
              <w:t>16</w:t>
            </w:r>
            <w:proofErr w:type="gramEnd"/>
            <w:r w:rsidRPr="00F13C19">
              <w:rPr>
                <w:rFonts w:cstheme="minorHAnsi"/>
                <w:sz w:val="18"/>
                <w:szCs w:val="18"/>
              </w:rPr>
              <w:t xml:space="preserve"> 2017.</w:t>
            </w:r>
          </w:p>
          <w:p w14:paraId="005C36B5"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SAO data on audit plans 2017 and 2018 and list of SAO reports published on SAO website </w:t>
            </w:r>
          </w:p>
          <w:p w14:paraId="6CAB7BF1"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Instruction on Standardization of State Audit, No. 1142/SAO, Date: 15/9/2016</w:t>
            </w:r>
          </w:p>
          <w:p w14:paraId="09BEC39E" w14:textId="77777777" w:rsidR="004833E6" w:rsidRPr="00F13C19" w:rsidRDefault="004833E6" w:rsidP="000310F5">
            <w:pPr>
              <w:spacing w:before="0"/>
              <w:ind w:left="0" w:right="116"/>
              <w:jc w:val="left"/>
              <w:rPr>
                <w:rFonts w:cstheme="minorHAnsi"/>
                <w:sz w:val="18"/>
                <w:szCs w:val="18"/>
              </w:rPr>
            </w:pPr>
            <w:proofErr w:type="spellStart"/>
            <w:r w:rsidRPr="00F13C19">
              <w:rPr>
                <w:rFonts w:cstheme="minorHAnsi"/>
                <w:sz w:val="18"/>
                <w:szCs w:val="18"/>
              </w:rPr>
              <w:t>ToRs</w:t>
            </w:r>
            <w:proofErr w:type="spellEnd"/>
            <w:r w:rsidRPr="00F13C19">
              <w:rPr>
                <w:rFonts w:cstheme="minorHAnsi"/>
                <w:sz w:val="18"/>
                <w:szCs w:val="18"/>
              </w:rPr>
              <w:t xml:space="preserve"> for State Audit Department, Enterprises Audit Department, Banks Audit Department, Quality Assurance of Audit results Unit</w:t>
            </w:r>
          </w:p>
          <w:p w14:paraId="76633805"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Aide Memoire Budget Oversight function mission, WB Aug. 2-7, 2017</w:t>
            </w:r>
          </w:p>
        </w:tc>
      </w:tr>
      <w:tr w:rsidR="004833E6" w:rsidRPr="00F13C19" w14:paraId="2C11BB76" w14:textId="77777777" w:rsidTr="00CE5ED9">
        <w:tc>
          <w:tcPr>
            <w:tcW w:w="4878" w:type="dxa"/>
          </w:tcPr>
          <w:p w14:paraId="76A89F87"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30.1. Audit coverage and standards</w:t>
            </w:r>
          </w:p>
        </w:tc>
        <w:tc>
          <w:tcPr>
            <w:tcW w:w="4657" w:type="dxa"/>
            <w:vMerge/>
            <w:vAlign w:val="center"/>
          </w:tcPr>
          <w:p w14:paraId="3DFCF362" w14:textId="77777777" w:rsidR="004833E6" w:rsidRPr="00F13C19" w:rsidRDefault="004833E6" w:rsidP="000310F5">
            <w:pPr>
              <w:spacing w:before="0"/>
              <w:ind w:left="0" w:right="116"/>
              <w:jc w:val="left"/>
              <w:rPr>
                <w:rFonts w:cstheme="minorHAnsi"/>
                <w:sz w:val="18"/>
                <w:szCs w:val="18"/>
              </w:rPr>
            </w:pPr>
          </w:p>
        </w:tc>
      </w:tr>
      <w:tr w:rsidR="004833E6" w:rsidRPr="00F13C19" w14:paraId="1B09DD09" w14:textId="77777777" w:rsidTr="00CE5ED9">
        <w:tc>
          <w:tcPr>
            <w:tcW w:w="4878" w:type="dxa"/>
          </w:tcPr>
          <w:p w14:paraId="3F5174EF"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30.2. Submission of audit reports to the legislature </w:t>
            </w:r>
          </w:p>
        </w:tc>
        <w:tc>
          <w:tcPr>
            <w:tcW w:w="4657" w:type="dxa"/>
            <w:vMerge/>
            <w:vAlign w:val="center"/>
          </w:tcPr>
          <w:p w14:paraId="32FFD136" w14:textId="77777777" w:rsidR="004833E6" w:rsidRPr="00F13C19" w:rsidRDefault="004833E6" w:rsidP="000310F5">
            <w:pPr>
              <w:spacing w:before="0"/>
              <w:ind w:left="0" w:right="116"/>
              <w:jc w:val="left"/>
              <w:rPr>
                <w:rFonts w:cstheme="minorHAnsi"/>
                <w:sz w:val="18"/>
                <w:szCs w:val="18"/>
              </w:rPr>
            </w:pPr>
          </w:p>
        </w:tc>
      </w:tr>
      <w:tr w:rsidR="004833E6" w:rsidRPr="00F13C19" w14:paraId="2AEF0809" w14:textId="77777777" w:rsidTr="00CE5ED9">
        <w:tc>
          <w:tcPr>
            <w:tcW w:w="4878" w:type="dxa"/>
          </w:tcPr>
          <w:p w14:paraId="647162A2"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30.3. External audit </w:t>
            </w:r>
            <w:proofErr w:type="gramStart"/>
            <w:r w:rsidRPr="00F13C19">
              <w:rPr>
                <w:rFonts w:cstheme="minorHAnsi"/>
                <w:sz w:val="18"/>
                <w:szCs w:val="18"/>
              </w:rPr>
              <w:t>follow</w:t>
            </w:r>
            <w:proofErr w:type="gramEnd"/>
            <w:r w:rsidRPr="00F13C19">
              <w:rPr>
                <w:rFonts w:cstheme="minorHAnsi"/>
                <w:sz w:val="18"/>
                <w:szCs w:val="18"/>
              </w:rPr>
              <w:t xml:space="preserve"> up</w:t>
            </w:r>
          </w:p>
        </w:tc>
        <w:tc>
          <w:tcPr>
            <w:tcW w:w="4657" w:type="dxa"/>
            <w:vMerge/>
            <w:vAlign w:val="center"/>
          </w:tcPr>
          <w:p w14:paraId="6CE1BBD0" w14:textId="77777777" w:rsidR="004833E6" w:rsidRPr="00F13C19" w:rsidRDefault="004833E6" w:rsidP="000310F5">
            <w:pPr>
              <w:spacing w:before="0"/>
              <w:ind w:left="0" w:right="116"/>
              <w:jc w:val="left"/>
              <w:rPr>
                <w:rFonts w:cstheme="minorHAnsi"/>
                <w:sz w:val="18"/>
                <w:szCs w:val="18"/>
              </w:rPr>
            </w:pPr>
          </w:p>
        </w:tc>
      </w:tr>
      <w:tr w:rsidR="004833E6" w:rsidRPr="00F13C19" w14:paraId="6F0DF8A0" w14:textId="77777777" w:rsidTr="00CE5ED9">
        <w:tc>
          <w:tcPr>
            <w:tcW w:w="4878" w:type="dxa"/>
          </w:tcPr>
          <w:p w14:paraId="2F140348"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30.4. Supreme Audit Institution independence</w:t>
            </w:r>
          </w:p>
        </w:tc>
        <w:tc>
          <w:tcPr>
            <w:tcW w:w="4657" w:type="dxa"/>
            <w:vMerge/>
            <w:vAlign w:val="center"/>
          </w:tcPr>
          <w:p w14:paraId="2DCEBBF9" w14:textId="77777777" w:rsidR="004833E6" w:rsidRPr="00F13C19" w:rsidRDefault="004833E6" w:rsidP="000310F5">
            <w:pPr>
              <w:spacing w:before="0"/>
              <w:ind w:left="0" w:right="116"/>
              <w:jc w:val="left"/>
              <w:rPr>
                <w:rFonts w:cstheme="minorHAnsi"/>
                <w:sz w:val="18"/>
                <w:szCs w:val="18"/>
              </w:rPr>
            </w:pPr>
          </w:p>
        </w:tc>
      </w:tr>
      <w:tr w:rsidR="004833E6" w:rsidRPr="00F13C19" w14:paraId="5D7BCF50" w14:textId="77777777" w:rsidTr="00CE5ED9">
        <w:tc>
          <w:tcPr>
            <w:tcW w:w="4878" w:type="dxa"/>
            <w:vAlign w:val="center"/>
          </w:tcPr>
          <w:p w14:paraId="060802AC" w14:textId="77777777" w:rsidR="004833E6" w:rsidRPr="00117D3D" w:rsidRDefault="004833E6" w:rsidP="000310F5">
            <w:pPr>
              <w:spacing w:before="0"/>
              <w:ind w:left="0" w:right="116"/>
              <w:jc w:val="left"/>
              <w:rPr>
                <w:rFonts w:cstheme="minorHAnsi"/>
                <w:b/>
                <w:bCs/>
                <w:sz w:val="18"/>
                <w:szCs w:val="18"/>
              </w:rPr>
            </w:pPr>
            <w:r w:rsidRPr="00117D3D">
              <w:rPr>
                <w:rFonts w:eastAsia="SimSun" w:cstheme="minorHAnsi"/>
                <w:b/>
                <w:sz w:val="18"/>
                <w:szCs w:val="18"/>
              </w:rPr>
              <w:t>PI-31. Legislative scrutiny of audit reports</w:t>
            </w:r>
          </w:p>
        </w:tc>
        <w:tc>
          <w:tcPr>
            <w:tcW w:w="4657" w:type="dxa"/>
            <w:vMerge w:val="restart"/>
            <w:vAlign w:val="center"/>
          </w:tcPr>
          <w:p w14:paraId="7C5B2D5D"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NA Law 2015</w:t>
            </w:r>
          </w:p>
          <w:p w14:paraId="50E8416B" w14:textId="77777777" w:rsidR="004833E6" w:rsidRPr="00F13C19" w:rsidRDefault="004833E6" w:rsidP="000310F5">
            <w:pPr>
              <w:spacing w:before="0"/>
              <w:ind w:left="0" w:right="116"/>
              <w:jc w:val="left"/>
              <w:rPr>
                <w:rFonts w:cstheme="minorHAnsi"/>
                <w:sz w:val="18"/>
                <w:szCs w:val="18"/>
              </w:rPr>
            </w:pPr>
            <w:proofErr w:type="spellStart"/>
            <w:r w:rsidRPr="00F13C19">
              <w:rPr>
                <w:rFonts w:cstheme="minorHAnsi"/>
                <w:sz w:val="18"/>
                <w:szCs w:val="18"/>
              </w:rPr>
              <w:t>ToRs</w:t>
            </w:r>
            <w:proofErr w:type="spellEnd"/>
            <w:r w:rsidRPr="00F13C19">
              <w:rPr>
                <w:rFonts w:cstheme="minorHAnsi"/>
                <w:sz w:val="18"/>
                <w:szCs w:val="18"/>
              </w:rPr>
              <w:t xml:space="preserve"> of the Planning, Finance and Audit Committee</w:t>
            </w:r>
          </w:p>
          <w:p w14:paraId="792290CA"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NA Resolution on the approval of the 7th NSEDP mid-term implementation report, NSEDP implementation and State Budget implementation report for FY 2012-13 and Plans for FY 2013-14, No. 02 /NA, dated July 26, 2013</w:t>
            </w:r>
          </w:p>
          <w:p w14:paraId="3E199D4E"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Resolution by NA on the approval on Audit result on Budget Execution FY 2013 - 2014 the 10th ordinary, 7th Legislation No, 026/NA, Dec </w:t>
            </w:r>
            <w:proofErr w:type="gramStart"/>
            <w:r w:rsidRPr="00F13C19">
              <w:rPr>
                <w:rFonts w:cstheme="minorHAnsi"/>
                <w:sz w:val="18"/>
                <w:szCs w:val="18"/>
              </w:rPr>
              <w:t>5</w:t>
            </w:r>
            <w:proofErr w:type="gramEnd"/>
            <w:r w:rsidRPr="00F13C19">
              <w:rPr>
                <w:rFonts w:cstheme="minorHAnsi"/>
                <w:sz w:val="18"/>
                <w:szCs w:val="18"/>
              </w:rPr>
              <w:t xml:space="preserve"> 2015.</w:t>
            </w:r>
          </w:p>
          <w:p w14:paraId="77B47FFE"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 xml:space="preserve">NA Resolution on the approval of revised SAO Audit Finding FY 2013-14, Report on Audit result on Budget execution for FY 2014-15 and yearly report for FY 2015-16 and as well as the direction for 2017. </w:t>
            </w:r>
            <w:proofErr w:type="gramStart"/>
            <w:r w:rsidRPr="00F13C19">
              <w:rPr>
                <w:rFonts w:cstheme="minorHAnsi"/>
                <w:sz w:val="18"/>
                <w:szCs w:val="18"/>
              </w:rPr>
              <w:t>No. 012 /NA,</w:t>
            </w:r>
            <w:proofErr w:type="gramEnd"/>
            <w:r w:rsidRPr="00F13C19">
              <w:rPr>
                <w:rFonts w:cstheme="minorHAnsi"/>
                <w:sz w:val="18"/>
                <w:szCs w:val="18"/>
              </w:rPr>
              <w:t xml:space="preserve"> dated Oct 31, 2016.</w:t>
            </w:r>
          </w:p>
          <w:p w14:paraId="629F1820" w14:textId="77777777" w:rsidR="004833E6" w:rsidRPr="00F13C19" w:rsidRDefault="004833E6" w:rsidP="000310F5">
            <w:pPr>
              <w:spacing w:before="0"/>
              <w:ind w:left="0" w:right="116"/>
              <w:jc w:val="left"/>
              <w:rPr>
                <w:rFonts w:cstheme="minorHAnsi"/>
                <w:sz w:val="18"/>
                <w:szCs w:val="18"/>
              </w:rPr>
            </w:pPr>
            <w:r w:rsidRPr="00F13C19">
              <w:rPr>
                <w:rFonts w:cstheme="minorHAnsi"/>
                <w:sz w:val="18"/>
                <w:szCs w:val="18"/>
              </w:rPr>
              <w:t>NA Resolution at the 4th ordinary, 8th Legislation on the approval of SAO Audit result on Budget Execution FY 2015 - 2016, SAO Annual implementation Report 2017 and 2018 work plan, report from Government Inspection Authority on the inspection of the SAO audit report on State budget implementation 2013-2014 and 2014-2015, No. 074/NA, dated November 17, 2017</w:t>
            </w:r>
          </w:p>
          <w:p w14:paraId="0C6D7059" w14:textId="77777777" w:rsidR="004833E6" w:rsidRPr="00F13C19" w:rsidRDefault="004833E6" w:rsidP="000310F5">
            <w:pPr>
              <w:spacing w:before="0"/>
              <w:ind w:left="0" w:right="116"/>
              <w:jc w:val="left"/>
              <w:rPr>
                <w:rFonts w:cstheme="minorHAnsi"/>
                <w:sz w:val="18"/>
                <w:szCs w:val="18"/>
              </w:rPr>
            </w:pPr>
          </w:p>
        </w:tc>
      </w:tr>
      <w:tr w:rsidR="004833E6" w:rsidRPr="00F13C19" w14:paraId="5EEC7ED6" w14:textId="77777777" w:rsidTr="00CE5ED9">
        <w:tc>
          <w:tcPr>
            <w:tcW w:w="4878" w:type="dxa"/>
          </w:tcPr>
          <w:p w14:paraId="71CD06C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31.1. Timing of audit report scrutiny</w:t>
            </w:r>
          </w:p>
        </w:tc>
        <w:tc>
          <w:tcPr>
            <w:tcW w:w="4657" w:type="dxa"/>
            <w:vMerge/>
            <w:vAlign w:val="center"/>
          </w:tcPr>
          <w:p w14:paraId="6188FA05" w14:textId="77777777" w:rsidR="004833E6" w:rsidRPr="00F13C19" w:rsidRDefault="004833E6" w:rsidP="000310F5">
            <w:pPr>
              <w:spacing w:before="0"/>
              <w:ind w:left="0" w:right="116"/>
              <w:jc w:val="left"/>
              <w:rPr>
                <w:rFonts w:cstheme="minorHAnsi"/>
                <w:sz w:val="18"/>
                <w:szCs w:val="18"/>
              </w:rPr>
            </w:pPr>
          </w:p>
        </w:tc>
      </w:tr>
      <w:tr w:rsidR="004833E6" w:rsidRPr="00F13C19" w14:paraId="4CAEC9CA" w14:textId="77777777" w:rsidTr="00CE5ED9">
        <w:tc>
          <w:tcPr>
            <w:tcW w:w="4878" w:type="dxa"/>
          </w:tcPr>
          <w:p w14:paraId="31CABC99"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31.2. Hearings on audit findings</w:t>
            </w:r>
          </w:p>
        </w:tc>
        <w:tc>
          <w:tcPr>
            <w:tcW w:w="4657" w:type="dxa"/>
            <w:vMerge/>
            <w:vAlign w:val="center"/>
          </w:tcPr>
          <w:p w14:paraId="49B1FFCA" w14:textId="77777777" w:rsidR="004833E6" w:rsidRPr="00F13C19" w:rsidRDefault="004833E6" w:rsidP="000310F5">
            <w:pPr>
              <w:spacing w:before="0"/>
              <w:ind w:left="0" w:right="116"/>
              <w:jc w:val="left"/>
              <w:rPr>
                <w:rFonts w:cstheme="minorHAnsi"/>
                <w:sz w:val="18"/>
                <w:szCs w:val="18"/>
              </w:rPr>
            </w:pPr>
          </w:p>
        </w:tc>
      </w:tr>
      <w:tr w:rsidR="004833E6" w:rsidRPr="00F13C19" w14:paraId="6B6A3331" w14:textId="77777777" w:rsidTr="00CE5ED9">
        <w:tc>
          <w:tcPr>
            <w:tcW w:w="4878" w:type="dxa"/>
          </w:tcPr>
          <w:p w14:paraId="68802951"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31.3. Recommendations on audit by the legislature</w:t>
            </w:r>
          </w:p>
        </w:tc>
        <w:tc>
          <w:tcPr>
            <w:tcW w:w="4657" w:type="dxa"/>
            <w:vMerge/>
            <w:vAlign w:val="center"/>
          </w:tcPr>
          <w:p w14:paraId="17BDE796" w14:textId="77777777" w:rsidR="004833E6" w:rsidRPr="00F13C19" w:rsidRDefault="004833E6" w:rsidP="000310F5">
            <w:pPr>
              <w:spacing w:before="0"/>
              <w:ind w:left="0" w:right="116"/>
              <w:jc w:val="left"/>
              <w:rPr>
                <w:rFonts w:cstheme="minorHAnsi"/>
                <w:sz w:val="18"/>
                <w:szCs w:val="18"/>
              </w:rPr>
            </w:pPr>
          </w:p>
        </w:tc>
      </w:tr>
      <w:tr w:rsidR="004833E6" w:rsidRPr="00F13C19" w14:paraId="097F1F6A" w14:textId="77777777" w:rsidTr="00CE5ED9">
        <w:tc>
          <w:tcPr>
            <w:tcW w:w="4878" w:type="dxa"/>
          </w:tcPr>
          <w:p w14:paraId="643AC680" w14:textId="77777777" w:rsidR="004833E6" w:rsidRPr="00F13C19" w:rsidRDefault="004833E6" w:rsidP="000310F5">
            <w:pPr>
              <w:spacing w:before="0"/>
              <w:ind w:left="0" w:right="116"/>
              <w:jc w:val="left"/>
              <w:rPr>
                <w:rFonts w:cstheme="minorHAnsi"/>
                <w:bCs/>
                <w:sz w:val="18"/>
                <w:szCs w:val="18"/>
              </w:rPr>
            </w:pPr>
            <w:r w:rsidRPr="00F13C19">
              <w:rPr>
                <w:rFonts w:cstheme="minorHAnsi"/>
                <w:sz w:val="18"/>
                <w:szCs w:val="18"/>
              </w:rPr>
              <w:t>31.4. Transparency of legislative scrutiny of audit reports</w:t>
            </w:r>
          </w:p>
        </w:tc>
        <w:tc>
          <w:tcPr>
            <w:tcW w:w="4657" w:type="dxa"/>
            <w:vMerge/>
            <w:vAlign w:val="center"/>
          </w:tcPr>
          <w:p w14:paraId="3DDE0553" w14:textId="77777777" w:rsidR="004833E6" w:rsidRPr="00F13C19" w:rsidRDefault="004833E6" w:rsidP="000310F5">
            <w:pPr>
              <w:spacing w:before="0"/>
              <w:ind w:left="0" w:right="116"/>
              <w:jc w:val="left"/>
              <w:rPr>
                <w:rFonts w:cstheme="minorHAnsi"/>
                <w:sz w:val="18"/>
                <w:szCs w:val="18"/>
              </w:rPr>
            </w:pPr>
          </w:p>
        </w:tc>
      </w:tr>
    </w:tbl>
    <w:p w14:paraId="6CE4EC50" w14:textId="77777777" w:rsidR="004833E6" w:rsidRPr="00F13C19" w:rsidRDefault="004833E6" w:rsidP="004833E6">
      <w:pPr>
        <w:ind w:right="116"/>
        <w:rPr>
          <w:rFonts w:cstheme="minorHAnsi"/>
          <w:sz w:val="18"/>
          <w:szCs w:val="18"/>
        </w:rPr>
      </w:pPr>
      <w:r w:rsidRPr="00F13C19">
        <w:rPr>
          <w:rFonts w:cstheme="minorHAnsi"/>
          <w:w w:val="105"/>
          <w:sz w:val="18"/>
          <w:szCs w:val="18"/>
        </w:rPr>
        <w:br w:type="page"/>
      </w:r>
    </w:p>
    <w:p w14:paraId="254AABDB" w14:textId="77777777" w:rsidR="00D05D38" w:rsidRPr="0055560C" w:rsidRDefault="00D05D38" w:rsidP="00D05D38">
      <w:pPr>
        <w:spacing w:after="240"/>
        <w:rPr>
          <w:rFonts w:ascii="Times New Roman" w:eastAsiaTheme="minorEastAsia" w:hAnsi="Times New Roman"/>
          <w:b/>
          <w:sz w:val="28"/>
        </w:rPr>
      </w:pPr>
      <w:bookmarkStart w:id="137" w:name="_Toc518901829"/>
      <w:r w:rsidRPr="0055560C">
        <w:rPr>
          <w:rFonts w:ascii="Times New Roman" w:eastAsiaTheme="minorEastAsia" w:hAnsi="Times New Roman"/>
          <w:b/>
          <w:sz w:val="28"/>
        </w:rPr>
        <w:lastRenderedPageBreak/>
        <w:t xml:space="preserve">Annex 3C: Source of information </w:t>
      </w:r>
      <w:r>
        <w:rPr>
          <w:rFonts w:ascii="Times New Roman" w:eastAsiaTheme="minorEastAsia" w:hAnsi="Times New Roman"/>
          <w:b/>
          <w:sz w:val="28"/>
        </w:rPr>
        <w:t>from</w:t>
      </w:r>
      <w:r w:rsidRPr="0055560C">
        <w:rPr>
          <w:rFonts w:ascii="Times New Roman" w:eastAsiaTheme="minorEastAsia" w:hAnsi="Times New Roman"/>
          <w:b/>
          <w:sz w:val="28"/>
        </w:rPr>
        <w:t xml:space="preserve"> Analytical Studies and Reports</w:t>
      </w:r>
    </w:p>
    <w:p w14:paraId="3CAFAE86" w14:textId="77777777" w:rsidR="00D05D38" w:rsidRDefault="00D05D38" w:rsidP="00D05D38">
      <w:pPr>
        <w:spacing w:after="240"/>
        <w:rPr>
          <w:rFonts w:ascii="Times New Roman" w:eastAsiaTheme="minorEastAsia" w:hAnsi="Times New Roman"/>
          <w:b/>
          <w:sz w:val="28"/>
        </w:rPr>
      </w:pPr>
      <w:r w:rsidRPr="0055560C">
        <w:rPr>
          <w:rFonts w:ascii="Times New Roman" w:eastAsiaTheme="minorEastAsia" w:hAnsi="Times New Roman"/>
          <w:b/>
          <w:sz w:val="28"/>
        </w:rPr>
        <w:t xml:space="preserve">General Document </w:t>
      </w:r>
    </w:p>
    <w:p w14:paraId="3AC72CD6" w14:textId="77777777" w:rsidR="00D05D38" w:rsidRPr="009F36F3" w:rsidRDefault="00310D44" w:rsidP="00D05D38">
      <w:pPr>
        <w:pStyle w:val="ListParagraph"/>
        <w:numPr>
          <w:ilvl w:val="0"/>
          <w:numId w:val="114"/>
        </w:numPr>
        <w:spacing w:after="240"/>
        <w:rPr>
          <w:rFonts w:ascii="Times New Roman" w:eastAsiaTheme="minorEastAsia" w:hAnsi="Times New Roman"/>
          <w:b/>
          <w:sz w:val="32"/>
        </w:rPr>
      </w:pPr>
      <w:r w:rsidRPr="00310D44">
        <w:rPr>
          <w:rFonts w:ascii="Times New Roman" w:hAnsi="Times New Roman"/>
          <w:bCs/>
          <w:sz w:val="20"/>
          <w:szCs w:val="18"/>
        </w:rPr>
        <w:t>WYG reports:  Transition Planning for Upgrade of GFIS and COTS based FMIS Acquisition, September 2017 and Transition Planning for Upgrade of GFIS and COTS based FMIS Acquisition, October 2017, Updated Business Process Maps and Proposed Changes 2017, October 2017 and Business Process Maps, Proposed Changes and Requirements for Treasury Information Management System (TIMS). November 2012.</w:t>
      </w:r>
    </w:p>
    <w:p w14:paraId="060FE5A3" w14:textId="77777777" w:rsidR="00D05D38" w:rsidRPr="009F36F3" w:rsidRDefault="00310D44" w:rsidP="00D05D38">
      <w:pPr>
        <w:pStyle w:val="ListParagraph"/>
        <w:numPr>
          <w:ilvl w:val="0"/>
          <w:numId w:val="114"/>
        </w:numPr>
        <w:ind w:right="116"/>
        <w:rPr>
          <w:rFonts w:ascii="Times New Roman" w:hAnsi="Times New Roman"/>
          <w:bCs/>
          <w:sz w:val="20"/>
          <w:szCs w:val="18"/>
        </w:rPr>
      </w:pPr>
      <w:r w:rsidRPr="00310D44">
        <w:rPr>
          <w:rFonts w:ascii="Times New Roman" w:hAnsi="Times New Roman"/>
          <w:bCs/>
          <w:sz w:val="20"/>
          <w:szCs w:val="18"/>
        </w:rPr>
        <w:t>Foreign Aid Implementation Report (FAIR)</w:t>
      </w:r>
    </w:p>
    <w:p w14:paraId="2AE9542A"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Foreign Aid Implementation Report (FAIR) Fiscal Year 2015-16 and 2017</w:t>
      </w:r>
    </w:p>
    <w:p w14:paraId="544EA0B4" w14:textId="77777777" w:rsidR="00D05D38" w:rsidRPr="009F36F3" w:rsidRDefault="00310D44" w:rsidP="00D05D38">
      <w:pPr>
        <w:pStyle w:val="ListParagraph"/>
        <w:numPr>
          <w:ilvl w:val="0"/>
          <w:numId w:val="114"/>
        </w:numPr>
        <w:ind w:right="116"/>
        <w:rPr>
          <w:rFonts w:ascii="Times New Roman" w:hAnsi="Times New Roman"/>
          <w:bCs/>
          <w:sz w:val="20"/>
          <w:szCs w:val="18"/>
        </w:rPr>
      </w:pPr>
      <w:r w:rsidRPr="00310D44">
        <w:rPr>
          <w:rFonts w:ascii="Times New Roman" w:hAnsi="Times New Roman"/>
          <w:sz w:val="20"/>
          <w:szCs w:val="18"/>
        </w:rPr>
        <w:t>Position paper on transfer mechanism, ADB, 2017 (draft)</w:t>
      </w:r>
    </w:p>
    <w:p w14:paraId="6778043C"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Support for governance and capacity development - Decentralization-Inception Report March 18 2018-2, ADB</w:t>
      </w:r>
    </w:p>
    <w:p w14:paraId="024772C1" w14:textId="77777777" w:rsidR="00D05D38" w:rsidRPr="009F36F3" w:rsidRDefault="00310D44" w:rsidP="00D05D38">
      <w:pPr>
        <w:pStyle w:val="ListParagraph"/>
        <w:numPr>
          <w:ilvl w:val="0"/>
          <w:numId w:val="114"/>
        </w:numPr>
        <w:rPr>
          <w:rFonts w:ascii="Times New Roman" w:hAnsi="Times New Roman"/>
          <w:sz w:val="20"/>
          <w:szCs w:val="18"/>
        </w:rPr>
      </w:pPr>
      <w:r w:rsidRPr="00310D44">
        <w:rPr>
          <w:rFonts w:ascii="Times New Roman" w:hAnsi="Times New Roman"/>
          <w:sz w:val="20"/>
          <w:szCs w:val="18"/>
        </w:rPr>
        <w:t>Policy Brief: Education and Health Sectors - Public Expenditure Arrangements, WB, June 2018 (draft)</w:t>
      </w:r>
    </w:p>
    <w:p w14:paraId="0A09FA62" w14:textId="77777777" w:rsidR="00D05D38" w:rsidRPr="009F36F3" w:rsidRDefault="00310D44" w:rsidP="00D05D38">
      <w:pPr>
        <w:pStyle w:val="ListParagraph"/>
        <w:numPr>
          <w:ilvl w:val="0"/>
          <w:numId w:val="114"/>
        </w:numPr>
        <w:rPr>
          <w:rFonts w:ascii="Times New Roman" w:hAnsi="Times New Roman"/>
          <w:sz w:val="20"/>
          <w:szCs w:val="18"/>
        </w:rPr>
      </w:pPr>
      <w:r w:rsidRPr="00310D44">
        <w:rPr>
          <w:rFonts w:ascii="Times New Roman" w:hAnsi="Times New Roman"/>
          <w:sz w:val="20"/>
          <w:szCs w:val="18"/>
        </w:rPr>
        <w:t>Lao Economic Monitor, April 2017, thematic section: financing the Health sector in Lao PDR, WB Lao PDR</w:t>
      </w:r>
    </w:p>
    <w:p w14:paraId="3BD731C9"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PFM in the Health Sector in Lao PDR – Service Delivery Challenges and Opportunities, WB draft, October 2018</w:t>
      </w:r>
    </w:p>
    <w:p w14:paraId="499DAE9F"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Nutrition in Lao PDR, Causes, Determinants and Bottlenecks, WB, June 2016</w:t>
      </w:r>
    </w:p>
    <w:p w14:paraId="4140E6AC"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 xml:space="preserve">Government expenditure on health, Overall Trends </w:t>
      </w:r>
      <w:proofErr w:type="gramStart"/>
      <w:r w:rsidRPr="00310D44">
        <w:rPr>
          <w:rFonts w:ascii="Times New Roman" w:hAnsi="Times New Roman"/>
          <w:sz w:val="20"/>
          <w:szCs w:val="18"/>
        </w:rPr>
        <w:t>And</w:t>
      </w:r>
      <w:proofErr w:type="gramEnd"/>
      <w:r w:rsidRPr="00310D44">
        <w:rPr>
          <w:rFonts w:ascii="Times New Roman" w:hAnsi="Times New Roman"/>
          <w:sz w:val="20"/>
          <w:szCs w:val="18"/>
        </w:rPr>
        <w:t xml:space="preserve"> Findings From A Health Center Survey, WB, May 2016</w:t>
      </w:r>
    </w:p>
    <w:p w14:paraId="71DE3750"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Managing transition, Reaching the Vulnerable while Pursuing Universal Health Coverage, Health Financing System Assessment in Lao PDR, WB, Dec 2017</w:t>
      </w:r>
    </w:p>
    <w:p w14:paraId="74FCE84D" w14:textId="77777777" w:rsidR="00D05D38" w:rsidRPr="009F36F3" w:rsidRDefault="00310D44" w:rsidP="00D05D38">
      <w:pPr>
        <w:pStyle w:val="ListParagraph"/>
        <w:widowControl w:val="0"/>
        <w:numPr>
          <w:ilvl w:val="0"/>
          <w:numId w:val="114"/>
        </w:numPr>
        <w:tabs>
          <w:tab w:val="left" w:pos="463"/>
        </w:tabs>
        <w:ind w:right="116"/>
        <w:rPr>
          <w:rFonts w:ascii="Times New Roman" w:eastAsia="Calibri" w:hAnsi="Times New Roman"/>
          <w:sz w:val="20"/>
          <w:szCs w:val="18"/>
        </w:rPr>
      </w:pPr>
      <w:r w:rsidRPr="00310D44">
        <w:rPr>
          <w:rFonts w:ascii="Times New Roman" w:eastAsia="Calibri" w:hAnsi="Times New Roman"/>
          <w:sz w:val="20"/>
          <w:szCs w:val="18"/>
        </w:rPr>
        <w:t>Lao Economic Monitor, April 2017, December 2017 and April 2018.</w:t>
      </w:r>
    </w:p>
    <w:p w14:paraId="2568D613" w14:textId="77777777" w:rsidR="00D05D38" w:rsidRPr="009F36F3" w:rsidRDefault="00310D44" w:rsidP="00D05D38">
      <w:pPr>
        <w:pStyle w:val="ListParagraph"/>
        <w:widowControl w:val="0"/>
        <w:numPr>
          <w:ilvl w:val="0"/>
          <w:numId w:val="114"/>
        </w:numPr>
        <w:tabs>
          <w:tab w:val="left" w:pos="463"/>
        </w:tabs>
        <w:ind w:right="116"/>
        <w:rPr>
          <w:rFonts w:ascii="Times New Roman" w:eastAsia="Calibri" w:hAnsi="Times New Roman"/>
          <w:sz w:val="20"/>
          <w:szCs w:val="18"/>
        </w:rPr>
      </w:pPr>
      <w:r w:rsidRPr="00310D44">
        <w:rPr>
          <w:rFonts w:ascii="Times New Roman" w:eastAsia="Calibri" w:hAnsi="Times New Roman"/>
          <w:sz w:val="20"/>
          <w:szCs w:val="18"/>
        </w:rPr>
        <w:t>Staff Report for the 2016 and 2017 Article IV consultation – Debt sustainability Analysis, IMF</w:t>
      </w:r>
    </w:p>
    <w:p w14:paraId="41E9535F" w14:textId="77777777" w:rsidR="00D05D38" w:rsidRPr="009F36F3" w:rsidRDefault="00310D44" w:rsidP="00D05D38">
      <w:pPr>
        <w:pStyle w:val="ListParagraph"/>
        <w:numPr>
          <w:ilvl w:val="0"/>
          <w:numId w:val="114"/>
        </w:numPr>
        <w:ind w:right="116"/>
        <w:rPr>
          <w:rFonts w:ascii="Times New Roman" w:eastAsia="Calibri" w:hAnsi="Times New Roman"/>
          <w:sz w:val="20"/>
          <w:szCs w:val="18"/>
        </w:rPr>
      </w:pPr>
      <w:r w:rsidRPr="00310D44">
        <w:rPr>
          <w:rFonts w:ascii="Times New Roman" w:eastAsia="Calibri" w:hAnsi="Times New Roman"/>
          <w:sz w:val="20"/>
          <w:szCs w:val="18"/>
        </w:rPr>
        <w:t>WB Technical Note on Method and Institutional Arrangements for Revenue Forecasting: Functions, Methodologies, and proposal for Lao PDR, June 2018</w:t>
      </w:r>
    </w:p>
    <w:p w14:paraId="2F302D64" w14:textId="77777777" w:rsidR="00D05D38" w:rsidRPr="009F36F3" w:rsidRDefault="00310D44" w:rsidP="00D05D38">
      <w:pPr>
        <w:pStyle w:val="ListParagraph"/>
        <w:numPr>
          <w:ilvl w:val="0"/>
          <w:numId w:val="114"/>
        </w:numPr>
        <w:ind w:right="116"/>
        <w:rPr>
          <w:rFonts w:ascii="Times New Roman" w:eastAsia="Calibri" w:hAnsi="Times New Roman"/>
          <w:sz w:val="20"/>
          <w:szCs w:val="18"/>
        </w:rPr>
      </w:pPr>
      <w:r w:rsidRPr="00310D44">
        <w:rPr>
          <w:rFonts w:ascii="Times New Roman" w:eastAsia="Calibri" w:hAnsi="Times New Roman"/>
          <w:sz w:val="20"/>
          <w:szCs w:val="18"/>
        </w:rPr>
        <w:t>Lao PDR, Public Expenditure Analysis, Synthesis Note, WB, June 2018</w:t>
      </w:r>
    </w:p>
    <w:p w14:paraId="664A32E9" w14:textId="77777777" w:rsidR="00D05D38" w:rsidRPr="009F36F3" w:rsidRDefault="00310D44" w:rsidP="00D05D38">
      <w:pPr>
        <w:pStyle w:val="ListParagraph"/>
        <w:numPr>
          <w:ilvl w:val="0"/>
          <w:numId w:val="114"/>
        </w:numPr>
        <w:ind w:right="116"/>
        <w:rPr>
          <w:rFonts w:ascii="Times New Roman" w:eastAsia="Calibri" w:hAnsi="Times New Roman"/>
          <w:sz w:val="20"/>
          <w:szCs w:val="18"/>
        </w:rPr>
      </w:pPr>
      <w:r w:rsidRPr="00310D44">
        <w:rPr>
          <w:rFonts w:ascii="Times New Roman" w:eastAsia="Calibri" w:hAnsi="Times New Roman"/>
          <w:sz w:val="20"/>
          <w:szCs w:val="18"/>
        </w:rPr>
        <w:t>Lao PDR Systematic Country Diagnostic, Priorities for Ending Poverty and Boosting Shared Prosperity, WB, March 9, 2017</w:t>
      </w:r>
    </w:p>
    <w:p w14:paraId="47900FD4" w14:textId="77777777" w:rsidR="00D05D38" w:rsidRPr="009F36F3" w:rsidRDefault="00310D44" w:rsidP="00D05D38">
      <w:pPr>
        <w:pStyle w:val="ListParagraph"/>
        <w:widowControl w:val="0"/>
        <w:numPr>
          <w:ilvl w:val="0"/>
          <w:numId w:val="114"/>
        </w:numPr>
        <w:tabs>
          <w:tab w:val="left" w:pos="463"/>
        </w:tabs>
        <w:ind w:right="116"/>
        <w:rPr>
          <w:rFonts w:ascii="Times New Roman" w:eastAsia="Calibri" w:hAnsi="Times New Roman"/>
          <w:sz w:val="20"/>
          <w:szCs w:val="18"/>
        </w:rPr>
      </w:pPr>
      <w:r w:rsidRPr="00310D44">
        <w:rPr>
          <w:rFonts w:ascii="Times New Roman" w:eastAsia="Calibri" w:hAnsi="Times New Roman"/>
          <w:sz w:val="20"/>
          <w:szCs w:val="18"/>
        </w:rPr>
        <w:t>Revision VAT Law, towards international practices, ppt presentation, WB December 2017</w:t>
      </w:r>
    </w:p>
    <w:p w14:paraId="7CBC032A"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Tax reform for growth and revenue mobilization, WB ppt presentation, December 2017</w:t>
      </w:r>
    </w:p>
    <w:p w14:paraId="53D26994"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A comparative Analysis in Tax administration in Asia and the Pacific, ADB, July 2018</w:t>
      </w:r>
    </w:p>
    <w:p w14:paraId="4A292E67"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Simplifying the Tax System to Enhance Revenue and Efficiency technical Assistance Report, FAD, IMF June 2017</w:t>
      </w:r>
    </w:p>
    <w:p w14:paraId="28E604E1"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 xml:space="preserve">Technical assistance report (draft) implementing Tax administration reform and developing a </w:t>
      </w:r>
      <w:proofErr w:type="gramStart"/>
      <w:r w:rsidRPr="00310D44">
        <w:rPr>
          <w:rFonts w:ascii="Times New Roman" w:hAnsi="Times New Roman"/>
          <w:sz w:val="20"/>
          <w:szCs w:val="18"/>
        </w:rPr>
        <w:t>Medium Term</w:t>
      </w:r>
      <w:proofErr w:type="gramEnd"/>
      <w:r w:rsidRPr="00310D44">
        <w:rPr>
          <w:rFonts w:ascii="Times New Roman" w:hAnsi="Times New Roman"/>
          <w:sz w:val="20"/>
          <w:szCs w:val="18"/>
        </w:rPr>
        <w:t xml:space="preserve"> Revenue Strategy, FAD, IMF June 2018 </w:t>
      </w:r>
    </w:p>
    <w:p w14:paraId="1B55EEF4"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Mission Report: Tax Administration Support to the Large Tax Payer Unit, WB, October 2017</w:t>
      </w:r>
    </w:p>
    <w:p w14:paraId="4ABCB77E"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Technical Note: Implementation of a Risk Based Audits System for the Large Tax Payers, WB. 20 June 2018</w:t>
      </w:r>
    </w:p>
    <w:p w14:paraId="44D84719" w14:textId="77777777" w:rsidR="00D05D38" w:rsidRPr="009F36F3" w:rsidRDefault="00310D44" w:rsidP="00D05D38">
      <w:pPr>
        <w:pStyle w:val="ListParagraph"/>
        <w:widowControl w:val="0"/>
        <w:numPr>
          <w:ilvl w:val="0"/>
          <w:numId w:val="114"/>
        </w:numPr>
        <w:tabs>
          <w:tab w:val="left" w:pos="460"/>
        </w:tabs>
        <w:ind w:right="116"/>
        <w:rPr>
          <w:rFonts w:ascii="Times New Roman" w:eastAsia="Calibri" w:hAnsi="Times New Roman"/>
          <w:sz w:val="20"/>
          <w:szCs w:val="18"/>
        </w:rPr>
      </w:pPr>
      <w:r w:rsidRPr="00310D44">
        <w:rPr>
          <w:rFonts w:ascii="Times New Roman" w:eastAsia="Calibri" w:hAnsi="Times New Roman"/>
          <w:sz w:val="20"/>
          <w:szCs w:val="18"/>
        </w:rPr>
        <w:t>Technical Note on Next Steps to Improve Cash Management and Fiscal Reporting, WB June 2017</w:t>
      </w:r>
    </w:p>
    <w:p w14:paraId="382C5A42" w14:textId="77777777" w:rsidR="00D05D38" w:rsidRPr="009F36F3" w:rsidRDefault="00310D44" w:rsidP="00D05D38">
      <w:pPr>
        <w:pStyle w:val="ListParagraph"/>
        <w:widowControl w:val="0"/>
        <w:numPr>
          <w:ilvl w:val="0"/>
          <w:numId w:val="114"/>
        </w:numPr>
        <w:tabs>
          <w:tab w:val="left" w:pos="460"/>
        </w:tabs>
        <w:ind w:right="116"/>
        <w:rPr>
          <w:rFonts w:ascii="Times New Roman" w:eastAsia="Calibri" w:hAnsi="Times New Roman"/>
          <w:sz w:val="20"/>
          <w:szCs w:val="18"/>
        </w:rPr>
      </w:pPr>
      <w:r w:rsidRPr="00310D44">
        <w:rPr>
          <w:rFonts w:ascii="Times New Roman" w:eastAsia="Calibri" w:hAnsi="Times New Roman"/>
          <w:sz w:val="20"/>
          <w:szCs w:val="18"/>
        </w:rPr>
        <w:t>GFIS Technical Note, WB September 2016</w:t>
      </w:r>
    </w:p>
    <w:p w14:paraId="188F5718" w14:textId="77777777" w:rsidR="00D05D38" w:rsidRPr="009F36F3" w:rsidRDefault="00310D44" w:rsidP="00D05D38">
      <w:pPr>
        <w:pStyle w:val="ListParagraph"/>
        <w:widowControl w:val="0"/>
        <w:numPr>
          <w:ilvl w:val="0"/>
          <w:numId w:val="114"/>
        </w:numPr>
        <w:tabs>
          <w:tab w:val="left" w:pos="460"/>
        </w:tabs>
        <w:ind w:right="116"/>
        <w:rPr>
          <w:rFonts w:ascii="Times New Roman" w:eastAsia="Calibri" w:hAnsi="Times New Roman"/>
          <w:sz w:val="20"/>
          <w:szCs w:val="18"/>
        </w:rPr>
      </w:pPr>
      <w:r w:rsidRPr="00310D44">
        <w:rPr>
          <w:rFonts w:ascii="Times New Roman" w:eastAsia="Calibri" w:hAnsi="Times New Roman"/>
          <w:sz w:val="20"/>
          <w:szCs w:val="18"/>
        </w:rPr>
        <w:t>Technical Specifications for the introduction of GFIS e-payment gateway and Provincial interfaces to GFIS, WYG Sept 2017</w:t>
      </w:r>
    </w:p>
    <w:p w14:paraId="4E0CE146"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Technical Note on Transition Planning for Upgrade of GFIS and COTS based FMIS Acquisition, WYG Sept 2017</w:t>
      </w:r>
    </w:p>
    <w:p w14:paraId="5F2B250D"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Treasury Payment Systems Report, WB June 2017</w:t>
      </w:r>
    </w:p>
    <w:p w14:paraId="15394FC6"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WB Lao TIMS 2017 Updated Business Process Maps and Proposed Changes 2017, June 2017</w:t>
      </w:r>
    </w:p>
    <w:p w14:paraId="52B60F8F"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Aide Memoire Preparation and Capacity Development for Wage-bill Modelling, WB Mission, Lao PDR, September 20-28, 2017</w:t>
      </w:r>
    </w:p>
    <w:p w14:paraId="2D7FB65E"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WB Policy Brief: Towards Better Management of the Public Sector Wage Bill and Work Force, April 2018</w:t>
      </w:r>
    </w:p>
    <w:p w14:paraId="178410B0"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rPr>
        <w:t>PIMS ppt presentation, Sept. 2017</w:t>
      </w:r>
    </w:p>
    <w:p w14:paraId="4080EFED" w14:textId="77777777" w:rsidR="00D05D38" w:rsidRPr="009F36F3" w:rsidRDefault="00310D44" w:rsidP="00D05D38">
      <w:pPr>
        <w:pStyle w:val="ListParagraph"/>
        <w:numPr>
          <w:ilvl w:val="0"/>
          <w:numId w:val="114"/>
        </w:numPr>
        <w:ind w:right="116"/>
        <w:rPr>
          <w:rFonts w:ascii="Times New Roman" w:hAnsi="Times New Roman"/>
          <w:sz w:val="20"/>
          <w:szCs w:val="18"/>
          <w:lang w:val="en-MY"/>
        </w:rPr>
      </w:pPr>
      <w:r w:rsidRPr="00310D44">
        <w:rPr>
          <w:rFonts w:ascii="Times New Roman" w:hAnsi="Times New Roman"/>
          <w:sz w:val="20"/>
          <w:szCs w:val="18"/>
          <w:lang w:val="en-MY"/>
        </w:rPr>
        <w:t>Technical Note Finalization of Procurement Law and Drafting of Secondary Legislation, WB June 3, 2018</w:t>
      </w:r>
    </w:p>
    <w:p w14:paraId="2D813595" w14:textId="77777777" w:rsidR="00D05D38" w:rsidRPr="009F36F3" w:rsidRDefault="00310D44" w:rsidP="00D05D38">
      <w:pPr>
        <w:pStyle w:val="ListParagraph"/>
        <w:numPr>
          <w:ilvl w:val="0"/>
          <w:numId w:val="114"/>
        </w:numPr>
        <w:ind w:right="116"/>
        <w:rPr>
          <w:rFonts w:ascii="Times New Roman" w:hAnsi="Times New Roman"/>
          <w:sz w:val="20"/>
          <w:szCs w:val="18"/>
          <w:lang w:val="en-MY"/>
        </w:rPr>
      </w:pPr>
      <w:r w:rsidRPr="00310D44">
        <w:rPr>
          <w:rFonts w:ascii="Times New Roman" w:hAnsi="Times New Roman"/>
          <w:sz w:val="20"/>
          <w:szCs w:val="18"/>
          <w:lang w:val="en-MY"/>
        </w:rPr>
        <w:t>Procurement Risk Assessment Final report, ADB April 25, 2016</w:t>
      </w:r>
    </w:p>
    <w:p w14:paraId="50F170D7" w14:textId="77777777" w:rsidR="00D05D38" w:rsidRPr="009F36F3" w:rsidRDefault="00310D44" w:rsidP="00D05D38">
      <w:pPr>
        <w:pStyle w:val="ListParagraph"/>
        <w:numPr>
          <w:ilvl w:val="0"/>
          <w:numId w:val="114"/>
        </w:numPr>
        <w:ind w:right="116"/>
        <w:rPr>
          <w:rFonts w:ascii="Times New Roman" w:hAnsi="Times New Roman"/>
          <w:sz w:val="20"/>
          <w:szCs w:val="18"/>
          <w:lang w:val="en-MY"/>
        </w:rPr>
      </w:pPr>
      <w:r w:rsidRPr="00310D44">
        <w:rPr>
          <w:rFonts w:ascii="Times New Roman" w:hAnsi="Times New Roman"/>
          <w:sz w:val="20"/>
          <w:szCs w:val="18"/>
          <w:lang w:val="en-MY"/>
        </w:rPr>
        <w:t>Lao PDR case study, Ministry of Public Works and Transport, WB, Aug 2014.</w:t>
      </w:r>
    </w:p>
    <w:p w14:paraId="5982CE88" w14:textId="77777777" w:rsidR="00D05D38" w:rsidRPr="009F36F3" w:rsidRDefault="00310D44" w:rsidP="00D05D38">
      <w:pPr>
        <w:pStyle w:val="ListParagraph"/>
        <w:numPr>
          <w:ilvl w:val="0"/>
          <w:numId w:val="114"/>
        </w:numPr>
        <w:ind w:right="116"/>
        <w:rPr>
          <w:rFonts w:ascii="Times New Roman" w:hAnsi="Times New Roman"/>
          <w:sz w:val="20"/>
          <w:szCs w:val="18"/>
        </w:rPr>
      </w:pPr>
      <w:r w:rsidRPr="00310D44">
        <w:rPr>
          <w:rFonts w:ascii="Times New Roman" w:hAnsi="Times New Roman"/>
          <w:sz w:val="20"/>
          <w:szCs w:val="18"/>
          <w:lang w:val="en-MY"/>
        </w:rPr>
        <w:lastRenderedPageBreak/>
        <w:t>Report on Bottlenecks in the Procurement in Lao PDR, WB June 23, 2014</w:t>
      </w:r>
    </w:p>
    <w:p w14:paraId="0A3A1CDD" w14:textId="77777777" w:rsidR="00D05D38" w:rsidRPr="009F36F3" w:rsidRDefault="00310D44" w:rsidP="00D05D38">
      <w:pPr>
        <w:pStyle w:val="ListParagraph"/>
        <w:numPr>
          <w:ilvl w:val="0"/>
          <w:numId w:val="114"/>
        </w:numPr>
        <w:spacing w:after="160" w:line="259" w:lineRule="auto"/>
        <w:ind w:right="116"/>
        <w:rPr>
          <w:rFonts w:ascii="Times New Roman" w:eastAsia="Calibri" w:hAnsi="Times New Roman"/>
          <w:sz w:val="20"/>
          <w:szCs w:val="18"/>
        </w:rPr>
      </w:pPr>
      <w:r w:rsidRPr="00310D44">
        <w:rPr>
          <w:rFonts w:ascii="Times New Roman" w:eastAsia="Calibri" w:hAnsi="Times New Roman"/>
          <w:sz w:val="20"/>
          <w:szCs w:val="18"/>
        </w:rPr>
        <w:t>Technical Note: Political Economy Analysis for PFM Modernization Program in Support of FMIS Implementation, WB, 31 May 2018</w:t>
      </w:r>
    </w:p>
    <w:p w14:paraId="7271FB83" w14:textId="77777777" w:rsidR="00D05D38" w:rsidRPr="009F36F3" w:rsidRDefault="00310D44" w:rsidP="00D05D38">
      <w:pPr>
        <w:pStyle w:val="ListParagraph"/>
        <w:numPr>
          <w:ilvl w:val="0"/>
          <w:numId w:val="114"/>
        </w:numPr>
        <w:ind w:right="116"/>
        <w:rPr>
          <w:rFonts w:ascii="Times New Roman" w:eastAsia="Calibri" w:hAnsi="Times New Roman"/>
          <w:sz w:val="20"/>
          <w:szCs w:val="18"/>
        </w:rPr>
      </w:pPr>
      <w:r w:rsidRPr="00310D44">
        <w:rPr>
          <w:rFonts w:ascii="Times New Roman" w:eastAsia="Calibri" w:hAnsi="Times New Roman"/>
          <w:sz w:val="20"/>
          <w:szCs w:val="18"/>
        </w:rPr>
        <w:t>Expansion of the Chart of Accounts, ppt presentation, Workshop, MoF, 5 Sept. 2018</w:t>
      </w:r>
    </w:p>
    <w:p w14:paraId="19CAB765" w14:textId="77777777" w:rsidR="00D05D38" w:rsidRPr="009F36F3" w:rsidRDefault="00310D44" w:rsidP="00D05D38">
      <w:pPr>
        <w:pStyle w:val="ListParagraph"/>
        <w:numPr>
          <w:ilvl w:val="0"/>
          <w:numId w:val="114"/>
        </w:numPr>
        <w:ind w:right="116"/>
        <w:rPr>
          <w:rFonts w:ascii="Times New Roman" w:eastAsia="Calibri" w:hAnsi="Times New Roman"/>
          <w:sz w:val="20"/>
          <w:szCs w:val="18"/>
        </w:rPr>
      </w:pPr>
      <w:r w:rsidRPr="00310D44">
        <w:rPr>
          <w:rFonts w:ascii="Times New Roman" w:eastAsia="Calibri" w:hAnsi="Times New Roman"/>
          <w:sz w:val="20"/>
          <w:szCs w:val="18"/>
        </w:rPr>
        <w:t xml:space="preserve">Lao PDR, Adopting Cash Basis IPSAS: gap analysis and action plan, technical assistance </w:t>
      </w:r>
      <w:proofErr w:type="gramStart"/>
      <w:r w:rsidRPr="00310D44">
        <w:rPr>
          <w:rFonts w:ascii="Times New Roman" w:eastAsia="Calibri" w:hAnsi="Times New Roman"/>
          <w:sz w:val="20"/>
          <w:szCs w:val="18"/>
        </w:rPr>
        <w:t>reports ,</w:t>
      </w:r>
      <w:proofErr w:type="gramEnd"/>
      <w:r w:rsidRPr="00310D44">
        <w:rPr>
          <w:rFonts w:ascii="Times New Roman" w:eastAsia="Calibri" w:hAnsi="Times New Roman"/>
          <w:sz w:val="20"/>
          <w:szCs w:val="18"/>
        </w:rPr>
        <w:t xml:space="preserve"> FAD, IMF, April 2017</w:t>
      </w:r>
    </w:p>
    <w:p w14:paraId="10EA5943" w14:textId="77777777" w:rsidR="00D05D38" w:rsidRPr="009F36F3" w:rsidRDefault="00310D44" w:rsidP="00D05D38">
      <w:pPr>
        <w:pStyle w:val="ListParagraph"/>
        <w:numPr>
          <w:ilvl w:val="0"/>
          <w:numId w:val="114"/>
        </w:numPr>
        <w:autoSpaceDE w:val="0"/>
        <w:autoSpaceDN w:val="0"/>
        <w:adjustRightInd w:val="0"/>
        <w:ind w:right="116"/>
        <w:rPr>
          <w:rFonts w:ascii="Times New Roman" w:hAnsi="Times New Roman"/>
          <w:sz w:val="20"/>
          <w:szCs w:val="18"/>
        </w:rPr>
      </w:pPr>
      <w:r w:rsidRPr="00310D44">
        <w:rPr>
          <w:rFonts w:ascii="Times New Roman" w:hAnsi="Times New Roman"/>
          <w:sz w:val="20"/>
          <w:szCs w:val="18"/>
        </w:rPr>
        <w:t xml:space="preserve">Lao </w:t>
      </w:r>
      <w:proofErr w:type="gramStart"/>
      <w:r w:rsidRPr="00310D44">
        <w:rPr>
          <w:rFonts w:ascii="Times New Roman" w:hAnsi="Times New Roman"/>
          <w:sz w:val="20"/>
          <w:szCs w:val="18"/>
        </w:rPr>
        <w:t>PDR  Preliminary</w:t>
      </w:r>
      <w:proofErr w:type="gramEnd"/>
      <w:r w:rsidRPr="00310D44">
        <w:rPr>
          <w:rFonts w:ascii="Times New Roman" w:hAnsi="Times New Roman"/>
          <w:sz w:val="20"/>
          <w:szCs w:val="18"/>
        </w:rPr>
        <w:t xml:space="preserve"> Review and Self-assessment of Progress under SAO Action Plan 2009-2020 Audit, WB draft May 2016  </w:t>
      </w:r>
    </w:p>
    <w:p w14:paraId="096F2254" w14:textId="77777777" w:rsidR="00D05D38" w:rsidRPr="009F36F3" w:rsidRDefault="00310D44" w:rsidP="00D05D38">
      <w:pPr>
        <w:pStyle w:val="ListParagraph"/>
        <w:numPr>
          <w:ilvl w:val="0"/>
          <w:numId w:val="114"/>
        </w:numPr>
        <w:ind w:right="116"/>
        <w:rPr>
          <w:rFonts w:ascii="Times New Roman" w:eastAsia="Calibri" w:hAnsi="Times New Roman"/>
          <w:sz w:val="20"/>
          <w:szCs w:val="18"/>
        </w:rPr>
      </w:pPr>
      <w:r w:rsidRPr="00310D44">
        <w:rPr>
          <w:rFonts w:ascii="Times New Roman" w:hAnsi="Times New Roman"/>
          <w:sz w:val="20"/>
          <w:szCs w:val="18"/>
        </w:rPr>
        <w:t>Aide Memoire Budget Oversight function mission, WB Aug. 2-7, 2017</w:t>
      </w:r>
    </w:p>
    <w:p w14:paraId="0784B2D5" w14:textId="77777777" w:rsidR="00D05D38" w:rsidRDefault="00D05D38" w:rsidP="00D05D38">
      <w:pPr>
        <w:spacing w:after="240"/>
        <w:rPr>
          <w:rFonts w:ascii="Times New Roman" w:eastAsiaTheme="minorEastAsia" w:hAnsi="Times New Roman"/>
          <w:b/>
          <w:sz w:val="28"/>
        </w:rPr>
      </w:pPr>
      <w:r w:rsidRPr="0055560C">
        <w:rPr>
          <w:rFonts w:ascii="Times New Roman" w:eastAsiaTheme="minorEastAsia" w:hAnsi="Times New Roman"/>
          <w:b/>
          <w:sz w:val="28"/>
        </w:rPr>
        <w:t>Websites</w:t>
      </w:r>
    </w:p>
    <w:p w14:paraId="08CD3F58" w14:textId="77777777" w:rsidR="00D05D38" w:rsidRDefault="008E0EF0" w:rsidP="00D05D38">
      <w:pPr>
        <w:spacing w:before="0"/>
        <w:rPr>
          <w:rFonts w:ascii="Times New Roman" w:eastAsiaTheme="minorEastAsia" w:hAnsi="Times New Roman"/>
          <w:sz w:val="18"/>
          <w:szCs w:val="18"/>
        </w:rPr>
      </w:pPr>
      <w:hyperlink r:id="rId91" w:history="1">
        <w:r w:rsidR="00D05D38" w:rsidRPr="00042414">
          <w:rPr>
            <w:rStyle w:val="Hyperlink"/>
            <w:rFonts w:ascii="Times New Roman" w:eastAsiaTheme="minorEastAsia" w:hAnsi="Times New Roman"/>
            <w:sz w:val="18"/>
            <w:szCs w:val="18"/>
          </w:rPr>
          <w:t>www.mof.gov.la</w:t>
        </w:r>
      </w:hyperlink>
    </w:p>
    <w:p w14:paraId="4503BBA8" w14:textId="77777777" w:rsidR="00D05D38" w:rsidRDefault="008E0EF0" w:rsidP="00D05D38">
      <w:pPr>
        <w:spacing w:before="0"/>
        <w:rPr>
          <w:rFonts w:ascii="Times New Roman" w:eastAsiaTheme="minorEastAsia" w:hAnsi="Times New Roman"/>
          <w:sz w:val="18"/>
          <w:szCs w:val="18"/>
        </w:rPr>
      </w:pPr>
      <w:hyperlink r:id="rId92" w:history="1">
        <w:r w:rsidR="00D05D38" w:rsidRPr="00042414">
          <w:rPr>
            <w:rStyle w:val="Hyperlink"/>
            <w:rFonts w:ascii="Times New Roman" w:eastAsiaTheme="minorEastAsia" w:hAnsi="Times New Roman"/>
            <w:sz w:val="18"/>
            <w:szCs w:val="18"/>
          </w:rPr>
          <w:t>www.na.gov.la</w:t>
        </w:r>
      </w:hyperlink>
    </w:p>
    <w:p w14:paraId="3B42E7B6" w14:textId="77777777" w:rsidR="00D05D38" w:rsidRDefault="008E0EF0" w:rsidP="00D05D38">
      <w:pPr>
        <w:spacing w:before="0"/>
        <w:rPr>
          <w:rFonts w:ascii="Times New Roman" w:eastAsiaTheme="minorEastAsia" w:hAnsi="Times New Roman"/>
          <w:sz w:val="18"/>
          <w:szCs w:val="18"/>
        </w:rPr>
      </w:pPr>
      <w:hyperlink r:id="rId93" w:history="1">
        <w:r w:rsidR="00D05D38" w:rsidRPr="00042414">
          <w:rPr>
            <w:rStyle w:val="Hyperlink"/>
            <w:rFonts w:ascii="Times New Roman" w:eastAsiaTheme="minorEastAsia" w:hAnsi="Times New Roman"/>
            <w:sz w:val="18"/>
            <w:szCs w:val="18"/>
          </w:rPr>
          <w:t>www.rtm.org.la</w:t>
        </w:r>
      </w:hyperlink>
    </w:p>
    <w:p w14:paraId="10BFF621" w14:textId="77777777" w:rsidR="00D05D38" w:rsidRDefault="008E0EF0" w:rsidP="00D05D38">
      <w:pPr>
        <w:spacing w:before="0"/>
        <w:rPr>
          <w:rFonts w:ascii="Times New Roman" w:eastAsiaTheme="minorEastAsia" w:hAnsi="Times New Roman"/>
          <w:sz w:val="18"/>
          <w:szCs w:val="18"/>
        </w:rPr>
      </w:pPr>
      <w:hyperlink r:id="rId94" w:history="1">
        <w:r w:rsidR="00D05D38" w:rsidRPr="00042414">
          <w:rPr>
            <w:rStyle w:val="Hyperlink"/>
            <w:rFonts w:ascii="Times New Roman" w:eastAsiaTheme="minorEastAsia" w:hAnsi="Times New Roman"/>
            <w:sz w:val="18"/>
            <w:szCs w:val="18"/>
          </w:rPr>
          <w:t>www.sao.gov.la</w:t>
        </w:r>
      </w:hyperlink>
    </w:p>
    <w:p w14:paraId="2F520EA1" w14:textId="77777777" w:rsidR="00D05D38" w:rsidRDefault="008E0EF0" w:rsidP="00D05D38">
      <w:pPr>
        <w:spacing w:before="0"/>
        <w:rPr>
          <w:rFonts w:ascii="Times New Roman" w:eastAsiaTheme="minorEastAsia" w:hAnsi="Times New Roman"/>
          <w:sz w:val="18"/>
          <w:szCs w:val="18"/>
        </w:rPr>
      </w:pPr>
      <w:hyperlink r:id="rId95" w:history="1">
        <w:r w:rsidR="00D05D38" w:rsidRPr="00042414">
          <w:rPr>
            <w:rStyle w:val="Hyperlink"/>
            <w:rFonts w:ascii="Times New Roman" w:eastAsiaTheme="minorEastAsia" w:hAnsi="Times New Roman"/>
            <w:sz w:val="18"/>
            <w:szCs w:val="18"/>
          </w:rPr>
          <w:t>www.moh.gov.la</w:t>
        </w:r>
      </w:hyperlink>
    </w:p>
    <w:p w14:paraId="7A080AA1" w14:textId="77777777" w:rsidR="00D05D38" w:rsidRDefault="008E0EF0" w:rsidP="00D05D38">
      <w:pPr>
        <w:spacing w:before="0"/>
        <w:rPr>
          <w:rFonts w:ascii="Times New Roman" w:eastAsiaTheme="minorEastAsia" w:hAnsi="Times New Roman"/>
          <w:sz w:val="18"/>
          <w:szCs w:val="18"/>
        </w:rPr>
      </w:pPr>
      <w:hyperlink r:id="rId96" w:history="1">
        <w:r w:rsidR="00D05D38" w:rsidRPr="00042414">
          <w:rPr>
            <w:rStyle w:val="Hyperlink"/>
            <w:rFonts w:ascii="Times New Roman" w:eastAsiaTheme="minorEastAsia" w:hAnsi="Times New Roman"/>
            <w:sz w:val="18"/>
            <w:szCs w:val="18"/>
          </w:rPr>
          <w:t>www.moes.edu.la</w:t>
        </w:r>
      </w:hyperlink>
    </w:p>
    <w:p w14:paraId="218CC205" w14:textId="77777777" w:rsidR="00D05D38" w:rsidRDefault="008E0EF0" w:rsidP="00D05D38">
      <w:pPr>
        <w:spacing w:before="0"/>
        <w:rPr>
          <w:rFonts w:ascii="Times New Roman" w:eastAsiaTheme="minorEastAsia" w:hAnsi="Times New Roman"/>
          <w:sz w:val="18"/>
          <w:szCs w:val="18"/>
        </w:rPr>
      </w:pPr>
      <w:hyperlink r:id="rId97" w:history="1">
        <w:r w:rsidR="00D05D38" w:rsidRPr="00042414">
          <w:rPr>
            <w:rStyle w:val="Hyperlink"/>
            <w:rFonts w:ascii="Times New Roman" w:eastAsiaTheme="minorEastAsia" w:hAnsi="Times New Roman"/>
            <w:sz w:val="18"/>
            <w:szCs w:val="18"/>
          </w:rPr>
          <w:t>www.molsw.gov.la</w:t>
        </w:r>
      </w:hyperlink>
    </w:p>
    <w:p w14:paraId="2FFBF34A" w14:textId="77777777" w:rsidR="00D05D38" w:rsidRDefault="008E0EF0" w:rsidP="00D05D38">
      <w:pPr>
        <w:spacing w:before="0"/>
        <w:rPr>
          <w:rFonts w:ascii="Times New Roman" w:eastAsiaTheme="minorEastAsia" w:hAnsi="Times New Roman"/>
          <w:sz w:val="18"/>
          <w:szCs w:val="18"/>
        </w:rPr>
      </w:pPr>
      <w:hyperlink r:id="rId98" w:history="1">
        <w:r w:rsidR="00D05D38" w:rsidRPr="00042414">
          <w:rPr>
            <w:rStyle w:val="Hyperlink"/>
            <w:rFonts w:ascii="Times New Roman" w:eastAsiaTheme="minorEastAsia" w:hAnsi="Times New Roman"/>
            <w:sz w:val="18"/>
            <w:szCs w:val="18"/>
          </w:rPr>
          <w:t>www.investlaos.gov.la</w:t>
        </w:r>
      </w:hyperlink>
    </w:p>
    <w:p w14:paraId="6FB11D92" w14:textId="77777777" w:rsidR="00D05D38" w:rsidRDefault="008E0EF0" w:rsidP="00D05D38">
      <w:pPr>
        <w:spacing w:before="0"/>
        <w:rPr>
          <w:rFonts w:ascii="Times New Roman" w:eastAsiaTheme="minorEastAsia" w:hAnsi="Times New Roman"/>
          <w:sz w:val="18"/>
          <w:szCs w:val="18"/>
        </w:rPr>
      </w:pPr>
      <w:hyperlink r:id="rId99" w:history="1">
        <w:r w:rsidR="00D05D38" w:rsidRPr="00042414">
          <w:rPr>
            <w:rStyle w:val="Hyperlink"/>
            <w:rFonts w:ascii="Times New Roman" w:eastAsiaTheme="minorEastAsia" w:hAnsi="Times New Roman"/>
            <w:sz w:val="18"/>
            <w:szCs w:val="18"/>
          </w:rPr>
          <w:t>www.moha.gov.la</w:t>
        </w:r>
      </w:hyperlink>
      <w:r w:rsidR="00D05D38">
        <w:rPr>
          <w:rFonts w:ascii="Times New Roman" w:eastAsiaTheme="minorEastAsia" w:hAnsi="Times New Roman"/>
          <w:sz w:val="18"/>
          <w:szCs w:val="18"/>
        </w:rPr>
        <w:t xml:space="preserve"> </w:t>
      </w:r>
    </w:p>
    <w:p w14:paraId="78C85303" w14:textId="77777777" w:rsidR="00D05D38" w:rsidRDefault="008E0EF0" w:rsidP="00D05D38">
      <w:pPr>
        <w:spacing w:before="0"/>
        <w:rPr>
          <w:rFonts w:ascii="Times New Roman" w:eastAsiaTheme="minorEastAsia" w:hAnsi="Times New Roman"/>
          <w:sz w:val="18"/>
          <w:szCs w:val="18"/>
        </w:rPr>
      </w:pPr>
      <w:hyperlink r:id="rId100" w:history="1">
        <w:r w:rsidR="00D05D38" w:rsidRPr="00042414">
          <w:rPr>
            <w:rStyle w:val="Hyperlink"/>
            <w:rFonts w:ascii="Times New Roman" w:eastAsiaTheme="minorEastAsia" w:hAnsi="Times New Roman"/>
            <w:sz w:val="18"/>
            <w:szCs w:val="18"/>
          </w:rPr>
          <w:t>www.worldbank.org/en/country/lao</w:t>
        </w:r>
      </w:hyperlink>
      <w:r w:rsidR="00D05D38">
        <w:rPr>
          <w:rFonts w:ascii="Times New Roman" w:eastAsiaTheme="minorEastAsia" w:hAnsi="Times New Roman"/>
          <w:sz w:val="18"/>
          <w:szCs w:val="18"/>
        </w:rPr>
        <w:t xml:space="preserve"> </w:t>
      </w:r>
    </w:p>
    <w:p w14:paraId="3825865D" w14:textId="77777777" w:rsidR="00D05D38" w:rsidRDefault="008E0EF0" w:rsidP="00D05D38">
      <w:pPr>
        <w:spacing w:before="0"/>
        <w:rPr>
          <w:rFonts w:ascii="Times New Roman" w:eastAsiaTheme="minorEastAsia" w:hAnsi="Times New Roman"/>
          <w:sz w:val="18"/>
          <w:szCs w:val="18"/>
        </w:rPr>
      </w:pPr>
      <w:hyperlink r:id="rId101" w:history="1">
        <w:r w:rsidR="00D05D38" w:rsidRPr="00042414">
          <w:rPr>
            <w:rStyle w:val="Hyperlink"/>
            <w:rFonts w:ascii="Times New Roman" w:eastAsiaTheme="minorEastAsia" w:hAnsi="Times New Roman"/>
            <w:sz w:val="18"/>
            <w:szCs w:val="18"/>
          </w:rPr>
          <w:t>www.laoofficialgazette.gov.la</w:t>
        </w:r>
      </w:hyperlink>
      <w:r w:rsidR="00D05D38">
        <w:rPr>
          <w:rFonts w:ascii="Times New Roman" w:eastAsiaTheme="minorEastAsia" w:hAnsi="Times New Roman"/>
          <w:sz w:val="18"/>
          <w:szCs w:val="18"/>
        </w:rPr>
        <w:t xml:space="preserve"> </w:t>
      </w:r>
    </w:p>
    <w:p w14:paraId="12A06366" w14:textId="77777777" w:rsidR="00D05D38" w:rsidRDefault="008E0EF0" w:rsidP="00D05D38">
      <w:pPr>
        <w:spacing w:before="0"/>
        <w:rPr>
          <w:rFonts w:ascii="Times New Roman" w:eastAsiaTheme="minorEastAsia" w:hAnsi="Times New Roman"/>
          <w:sz w:val="18"/>
          <w:szCs w:val="18"/>
        </w:rPr>
      </w:pPr>
      <w:hyperlink r:id="rId102" w:history="1">
        <w:r w:rsidR="00D05D38" w:rsidRPr="00042414">
          <w:rPr>
            <w:rStyle w:val="Hyperlink"/>
            <w:rFonts w:ascii="Times New Roman" w:eastAsiaTheme="minorEastAsia" w:hAnsi="Times New Roman"/>
            <w:sz w:val="18"/>
            <w:szCs w:val="18"/>
          </w:rPr>
          <w:t>www.</w:t>
        </w:r>
      </w:hyperlink>
      <w:hyperlink r:id="rId103" w:history="1">
        <w:r w:rsidR="00D05D38" w:rsidRPr="00042414">
          <w:rPr>
            <w:rStyle w:val="Hyperlink"/>
            <w:rFonts w:ascii="Times New Roman" w:eastAsiaTheme="minorEastAsia" w:hAnsi="Times New Roman"/>
            <w:sz w:val="18"/>
            <w:szCs w:val="18"/>
          </w:rPr>
          <w:t>taxservice.mof.gov.la</w:t>
        </w:r>
      </w:hyperlink>
    </w:p>
    <w:p w14:paraId="2E11E9B7" w14:textId="77777777" w:rsidR="009F36F3" w:rsidRDefault="009F36F3">
      <w:pPr>
        <w:spacing w:after="240" w:line="276" w:lineRule="auto"/>
        <w:rPr>
          <w:rFonts w:ascii="Times New Roman" w:hAnsi="Times New Roman"/>
          <w:bCs/>
          <w:color w:val="1F497D" w:themeColor="text2"/>
          <w:sz w:val="40"/>
        </w:rPr>
      </w:pPr>
      <w:r>
        <w:rPr>
          <w:rFonts w:ascii="Times New Roman" w:hAnsi="Times New Roman"/>
        </w:rPr>
        <w:br w:type="page"/>
      </w:r>
    </w:p>
    <w:p w14:paraId="003FEB06" w14:textId="77777777" w:rsidR="00D737E9" w:rsidRDefault="007518E4">
      <w:pPr>
        <w:pStyle w:val="Heading1"/>
        <w:ind w:left="0"/>
        <w:jc w:val="both"/>
        <w:rPr>
          <w:rFonts w:ascii="Times New Roman" w:hAnsi="Times New Roman"/>
        </w:rPr>
      </w:pPr>
      <w:bookmarkStart w:id="138" w:name="_Toc4149025"/>
      <w:r w:rsidRPr="00C135BA">
        <w:rPr>
          <w:rFonts w:ascii="Times New Roman" w:hAnsi="Times New Roman"/>
        </w:rPr>
        <w:lastRenderedPageBreak/>
        <w:t>Annex 4: Calculation Sheets for PI-1, PI-2 and PI-3</w:t>
      </w:r>
      <w:bookmarkEnd w:id="137"/>
      <w:bookmarkEnd w:id="138"/>
      <w:r w:rsidRPr="00C135BA">
        <w:rPr>
          <w:rFonts w:ascii="Times New Roman" w:hAnsi="Times New Roman"/>
        </w:rPr>
        <w:t xml:space="preserve"> </w:t>
      </w:r>
    </w:p>
    <w:p w14:paraId="2F27FAFB" w14:textId="77777777" w:rsidR="007518E4" w:rsidRDefault="007518E4" w:rsidP="00E12685">
      <w:pPr>
        <w:spacing w:before="0"/>
        <w:ind w:left="0"/>
      </w:pPr>
      <w:r>
        <w:br w:type="page"/>
      </w:r>
    </w:p>
    <w:tbl>
      <w:tblPr>
        <w:tblW w:w="8324" w:type="dxa"/>
        <w:tblLook w:val="04A0" w:firstRow="1" w:lastRow="0" w:firstColumn="1" w:lastColumn="0" w:noHBand="0" w:noVBand="1"/>
      </w:tblPr>
      <w:tblGrid>
        <w:gridCol w:w="2438"/>
        <w:gridCol w:w="1026"/>
        <w:gridCol w:w="1180"/>
        <w:gridCol w:w="1161"/>
        <w:gridCol w:w="936"/>
        <w:gridCol w:w="936"/>
        <w:gridCol w:w="801"/>
      </w:tblGrid>
      <w:tr w:rsidR="007518E4" w:rsidRPr="006A5EFC" w14:paraId="5D33D778" w14:textId="77777777" w:rsidTr="007518E4">
        <w:trPr>
          <w:trHeight w:val="20"/>
        </w:trPr>
        <w:tc>
          <w:tcPr>
            <w:tcW w:w="2438" w:type="dxa"/>
            <w:tcBorders>
              <w:top w:val="nil"/>
              <w:left w:val="nil"/>
              <w:bottom w:val="single" w:sz="4" w:space="0" w:color="auto"/>
              <w:right w:val="nil"/>
            </w:tcBorders>
            <w:shd w:val="clear" w:color="auto" w:fill="auto"/>
            <w:noWrap/>
            <w:vAlign w:val="bottom"/>
            <w:hideMark/>
          </w:tcPr>
          <w:p w14:paraId="2BD432B2" w14:textId="77777777" w:rsidR="007518E4" w:rsidRPr="006A5EFC" w:rsidRDefault="000310F5" w:rsidP="00E12685">
            <w:pPr>
              <w:spacing w:before="0"/>
              <w:ind w:left="0"/>
              <w:jc w:val="left"/>
              <w:rPr>
                <w:rFonts w:ascii="Times New Roman" w:hAnsi="Times New Roman"/>
                <w:b/>
                <w:bCs/>
                <w:color w:val="000000" w:themeColor="text1"/>
                <w:sz w:val="18"/>
                <w:szCs w:val="18"/>
                <w:lang w:val="en-GB" w:eastAsia="en-GB"/>
              </w:rPr>
            </w:pPr>
            <w:r>
              <w:rPr>
                <w:rFonts w:ascii="Times New Roman" w:hAnsi="Times New Roman"/>
                <w:b/>
                <w:bCs/>
                <w:color w:val="000000" w:themeColor="text1"/>
                <w:sz w:val="18"/>
                <w:szCs w:val="18"/>
                <w:lang w:val="en-GB" w:eastAsia="en-GB"/>
              </w:rPr>
              <w:lastRenderedPageBreak/>
              <w:t>Table 1</w:t>
            </w:r>
            <w:r w:rsidR="007518E4" w:rsidRPr="006A5EFC">
              <w:rPr>
                <w:rFonts w:ascii="Times New Roman" w:hAnsi="Times New Roman"/>
                <w:b/>
                <w:bCs/>
                <w:color w:val="000000" w:themeColor="text1"/>
                <w:sz w:val="18"/>
                <w:szCs w:val="18"/>
                <w:lang w:val="en-GB" w:eastAsia="en-GB"/>
              </w:rPr>
              <w:t xml:space="preserve"> - Line Ministries</w:t>
            </w:r>
          </w:p>
        </w:tc>
        <w:tc>
          <w:tcPr>
            <w:tcW w:w="1026" w:type="dxa"/>
            <w:tcBorders>
              <w:top w:val="nil"/>
              <w:left w:val="nil"/>
              <w:bottom w:val="single" w:sz="4" w:space="0" w:color="auto"/>
              <w:right w:val="nil"/>
            </w:tcBorders>
            <w:shd w:val="clear" w:color="auto" w:fill="auto"/>
            <w:noWrap/>
            <w:vAlign w:val="bottom"/>
            <w:hideMark/>
          </w:tcPr>
          <w:p w14:paraId="06A9B1C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180" w:type="dxa"/>
            <w:tcBorders>
              <w:top w:val="nil"/>
              <w:left w:val="nil"/>
              <w:bottom w:val="single" w:sz="4" w:space="0" w:color="auto"/>
              <w:right w:val="nil"/>
            </w:tcBorders>
            <w:shd w:val="clear" w:color="auto" w:fill="auto"/>
            <w:noWrap/>
            <w:vAlign w:val="bottom"/>
            <w:hideMark/>
          </w:tcPr>
          <w:p w14:paraId="3715F45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007" w:type="dxa"/>
            <w:tcBorders>
              <w:top w:val="nil"/>
              <w:left w:val="nil"/>
              <w:bottom w:val="single" w:sz="4" w:space="0" w:color="auto"/>
              <w:right w:val="nil"/>
            </w:tcBorders>
            <w:shd w:val="clear" w:color="auto" w:fill="auto"/>
            <w:noWrap/>
            <w:vAlign w:val="bottom"/>
            <w:hideMark/>
          </w:tcPr>
          <w:p w14:paraId="604B674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nil"/>
              <w:left w:val="nil"/>
              <w:bottom w:val="single" w:sz="4" w:space="0" w:color="auto"/>
              <w:right w:val="nil"/>
            </w:tcBorders>
            <w:shd w:val="clear" w:color="auto" w:fill="auto"/>
            <w:noWrap/>
            <w:vAlign w:val="bottom"/>
            <w:hideMark/>
          </w:tcPr>
          <w:p w14:paraId="47C6C991"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nil"/>
              <w:left w:val="nil"/>
              <w:bottom w:val="single" w:sz="4" w:space="0" w:color="auto"/>
              <w:right w:val="nil"/>
            </w:tcBorders>
            <w:shd w:val="clear" w:color="auto" w:fill="auto"/>
            <w:noWrap/>
            <w:vAlign w:val="bottom"/>
            <w:hideMark/>
          </w:tcPr>
          <w:p w14:paraId="302F9C4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nil"/>
              <w:left w:val="nil"/>
              <w:bottom w:val="single" w:sz="4" w:space="0" w:color="auto"/>
              <w:right w:val="nil"/>
            </w:tcBorders>
            <w:shd w:val="clear" w:color="auto" w:fill="auto"/>
            <w:noWrap/>
            <w:vAlign w:val="bottom"/>
            <w:hideMark/>
          </w:tcPr>
          <w:p w14:paraId="2D8B89D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7BAD6B33"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DF2AF" w14:textId="77777777" w:rsidR="007518E4" w:rsidRPr="006A5EFC" w:rsidRDefault="007518E4" w:rsidP="00E12685">
            <w:pPr>
              <w:spacing w:before="0"/>
              <w:ind w:left="0"/>
              <w:jc w:val="right"/>
              <w:rPr>
                <w:rFonts w:ascii="Times New Roman" w:hAnsi="Times New Roman"/>
                <w:b/>
                <w:bCs/>
                <w:color w:val="000000" w:themeColor="text1"/>
                <w:sz w:val="18"/>
                <w:szCs w:val="18"/>
                <w:lang w:val="en-GB" w:eastAsia="en-GB"/>
              </w:rPr>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3E01D" w14:textId="77777777" w:rsidR="007518E4" w:rsidRPr="00832A87" w:rsidRDefault="007518E4" w:rsidP="00E12685">
            <w:pPr>
              <w:spacing w:before="0"/>
              <w:ind w:left="0"/>
              <w:jc w:val="left"/>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2014/15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9AFBF" w14:textId="77777777" w:rsidR="007518E4" w:rsidRPr="00CD0767" w:rsidRDefault="007518E4" w:rsidP="00E12685">
            <w:pPr>
              <w:spacing w:before="0"/>
              <w:ind w:left="0"/>
              <w:jc w:val="left"/>
              <w:rPr>
                <w:rFonts w:ascii="Times New Roman" w:hAnsi="Times New Roman"/>
                <w:bCs/>
                <w:color w:val="000000" w:themeColor="text1"/>
                <w:sz w:val="18"/>
                <w:szCs w:val="18"/>
                <w:lang w:val="en-GB" w:eastAsia="en-GB"/>
              </w:rPr>
            </w:pPr>
            <w:r w:rsidRPr="00CD0767">
              <w:rPr>
                <w:rFonts w:ascii="Times New Roman" w:hAnsi="Times New Roman"/>
                <w:bCs/>
                <w:sz w:val="18"/>
                <w:szCs w:val="18"/>
                <w:lang w:val="en-GB" w:eastAsia="en-GB"/>
              </w:rPr>
              <w:t>Million Kip</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80BDA"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B7F64"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2E6F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337B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39E0A21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6902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administrative or functional head</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59935" w14:textId="77777777" w:rsidR="007518E4" w:rsidRPr="00832A87" w:rsidRDefault="007518E4" w:rsidP="00E12685">
            <w:pPr>
              <w:spacing w:before="0"/>
              <w:ind w:left="0"/>
              <w:jc w:val="center"/>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budget</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3936A" w14:textId="77777777" w:rsidR="007518E4" w:rsidRPr="00832A87" w:rsidRDefault="007518E4" w:rsidP="00E12685">
            <w:pPr>
              <w:spacing w:before="0"/>
              <w:ind w:left="0"/>
              <w:jc w:val="center"/>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actual</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CB51CE" w14:textId="77777777" w:rsidR="007518E4" w:rsidRPr="00832A87" w:rsidRDefault="007518E4" w:rsidP="00E12685">
            <w:pPr>
              <w:spacing w:before="0"/>
              <w:ind w:left="0"/>
              <w:jc w:val="center"/>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adjusted budget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E0EE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deviation</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E56D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absolute deviation</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61C1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percent</w:t>
            </w:r>
          </w:p>
        </w:tc>
      </w:tr>
      <w:tr w:rsidR="007518E4" w:rsidRPr="006A5EFC" w14:paraId="3C0FE652"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6BF8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Finance</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DF0F0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754,882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4FC5E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765,001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D4D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742,210.4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AEBF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10,119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A454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10,119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1A97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1EF6607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39D5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Planning and Investment</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B7423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32,094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73C8E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32,593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F94C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31,555.3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C1D2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CF6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C71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w:t>
            </w:r>
          </w:p>
        </w:tc>
      </w:tr>
      <w:tr w:rsidR="007518E4" w:rsidRPr="006A5EFC" w14:paraId="11D2CCA3"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0F7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Agriculture and Forestry</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61337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570,634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FFC04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571,210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06D8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561,055.2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0EE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5DB4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A113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1AEF48BA"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14D6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Public Works and Transport</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03272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2,279,415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11E7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2,290,188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A904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2,241,152.7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AD7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10,773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5690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10,773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A280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1AA29F1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5BE6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Energy and Mining</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26E73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197,230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80E26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196,547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95BF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193,919.3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9B31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-683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8B1E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683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DD35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602452DF"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DABB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Industry and Commerce</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706E9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34,612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4F167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36,087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E4A0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34,031.0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B6E4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1,475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261F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1,475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47E0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79A787A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C1DF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Foreign Affairs</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6738B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65,571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F8B5F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237,186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91ED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64,470.3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0153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171,615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A980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171,615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61A9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266%</w:t>
            </w:r>
          </w:p>
        </w:tc>
      </w:tr>
      <w:tr w:rsidR="007518E4" w:rsidRPr="006A5EFC" w14:paraId="71795553"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BAEE4"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Justice</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4134A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44,698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8E8E2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44,184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FC50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43,947.7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6A87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9879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2913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3EE489C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B3E6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Information and Culture</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25A29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140,997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BB5B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140,434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7AD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138,630.2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11F0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-563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A9A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563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988D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61A95BA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6B564"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Labor</w:t>
            </w:r>
            <w:proofErr w:type="spellEnd"/>
            <w:r w:rsidRPr="006A5EFC">
              <w:rPr>
                <w:rFonts w:ascii="Times New Roman" w:hAnsi="Times New Roman"/>
                <w:color w:val="000000" w:themeColor="text1"/>
                <w:sz w:val="18"/>
                <w:szCs w:val="18"/>
                <w:lang w:val="en-GB" w:eastAsia="en-GB"/>
              </w:rPr>
              <w:t xml:space="preserve"> and Social Welfare</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E9A13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807,790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DA4CF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786,787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769F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794,230.3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9C29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-21,003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BC14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21,003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1814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w:t>
            </w:r>
          </w:p>
        </w:tc>
      </w:tr>
      <w:tr w:rsidR="007518E4" w:rsidRPr="006A5EFC" w14:paraId="57FC7C56"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98C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Education and Sports</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4AE58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1,018,685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55B9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1,045,281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6A17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1,001,584.9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E341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26,596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388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26,596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F7A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w:t>
            </w:r>
          </w:p>
        </w:tc>
      </w:tr>
      <w:tr w:rsidR="007518E4" w:rsidRPr="006A5EFC" w14:paraId="696A823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AD1C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Public Health</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E6D4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1,083,193</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03EAA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1,153,224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EE88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1,065,009.8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B82A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70,031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DA9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70,031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1CD3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w:t>
            </w:r>
          </w:p>
        </w:tc>
      </w:tr>
      <w:tr w:rsidR="007518E4" w:rsidRPr="006A5EFC" w14:paraId="6320D54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2132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Supreme People's Court</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6A31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61,339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5B082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64,051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4FB4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60,309.4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8288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2,712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7D88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2,712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A74D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4209D8A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33D6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Public Prosecutor General</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77FAE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58,327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E233D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60,090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B553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57,347.9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0C27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1,763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5FD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1,763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D0C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w:t>
            </w:r>
          </w:p>
        </w:tc>
      </w:tr>
      <w:tr w:rsidR="007518E4" w:rsidRPr="006A5EFC" w14:paraId="3D24122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861C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Audit Agency</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5B8EC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21,338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80EAF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24,829</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DA6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20,979.9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F84B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3,491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3BA7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3,491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4906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w:t>
            </w:r>
          </w:p>
        </w:tc>
      </w:tr>
      <w:tr w:rsidR="007518E4" w:rsidRPr="006A5EFC" w14:paraId="730A6172"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993D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Science and Technology</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08D2D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63,084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EC4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66,070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2254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62,025.1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16C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2,986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493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2,986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397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6152E5C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93CB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Water Resource and Environment</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ABEEE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142,830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928C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168,660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F173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140,432.3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B660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25,830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6503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25,830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146B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18%</w:t>
            </w:r>
          </w:p>
        </w:tc>
      </w:tr>
      <w:tr w:rsidR="007518E4" w:rsidRPr="006A5EFC" w14:paraId="24457B90"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AA2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Other Organization</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E8AF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5,009,909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00E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4,546,468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E136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4,925,811.3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A728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-463,441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8ED1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463,441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CD78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w:t>
            </w:r>
          </w:p>
        </w:tc>
      </w:tr>
      <w:tr w:rsidR="007518E4" w:rsidRPr="006A5EFC" w14:paraId="4009318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2002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Other</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ECC4E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10,336,765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A27C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10,288,040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606E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10,163,250.3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338B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-48,725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715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48,725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C154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771471A6"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D5E02" w14:textId="77777777" w:rsidR="007518E4" w:rsidRPr="006A5EFC" w:rsidRDefault="007518E4" w:rsidP="00E12685">
            <w:pPr>
              <w:spacing w:before="0"/>
              <w:ind w:left="0"/>
              <w:jc w:val="lef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Provinces</w:t>
            </w:r>
          </w:p>
        </w:tc>
        <w:tc>
          <w:tcPr>
            <w:tcW w:w="102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C506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4C1C1"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00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9D03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5DCA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E79C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2F7A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352949FC"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EA4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Vientiane Capital City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CB7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732,079.09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A38A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589,869.49</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BF69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605,945.83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F16B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-142,210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6E52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142,210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33C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w:t>
            </w:r>
          </w:p>
        </w:tc>
      </w:tr>
      <w:tr w:rsidR="007518E4" w:rsidRPr="006A5EFC" w14:paraId="0B9E24E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8299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Phongsaly</w:t>
            </w:r>
            <w:proofErr w:type="spellEnd"/>
            <w:r w:rsidRPr="006A5EFC">
              <w:rPr>
                <w:rFonts w:ascii="Times New Roman" w:hAnsi="Times New Roman"/>
                <w:color w:val="000000" w:themeColor="text1"/>
                <w:sz w:val="18"/>
                <w:szCs w:val="18"/>
                <w:lang w:val="en-GB" w:eastAsia="en-GB"/>
              </w:rPr>
              <w:t xml:space="preserve">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FF53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302,445.00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F591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305,485.17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530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315,598.95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EF9F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3,040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795A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3,040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5E2E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718C375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9ED0F"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xml:space="preserve">Luang </w:t>
            </w:r>
            <w:proofErr w:type="spellStart"/>
            <w:r w:rsidRPr="006A5EFC">
              <w:rPr>
                <w:rFonts w:ascii="Times New Roman" w:hAnsi="Times New Roman"/>
                <w:color w:val="000000" w:themeColor="text1"/>
                <w:sz w:val="18"/>
                <w:szCs w:val="18"/>
                <w:lang w:val="en-GB" w:eastAsia="en-GB"/>
              </w:rPr>
              <w:t>Namtha</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8351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354,186.37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86DC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320,950.11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7F8E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333,329.35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9EB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-33,236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6038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33,236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15AF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w:t>
            </w:r>
          </w:p>
        </w:tc>
      </w:tr>
      <w:tr w:rsidR="007518E4" w:rsidRPr="006A5EFC" w14:paraId="3F47D4B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3A42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Oudomxay</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D31C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484,603.22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B6F5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459,731.03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A4FF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463,067.54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A92E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-24,872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21EB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24,872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0AC1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2E6C074A"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285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Bokeo</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D1E4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280,988.00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F0B4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265,268.41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07F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276,657.02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CB3F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-15,720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5EB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15,720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AF3E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w:t>
            </w:r>
          </w:p>
        </w:tc>
      </w:tr>
      <w:tr w:rsidR="007518E4" w:rsidRPr="006A5EFC" w14:paraId="7439E78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06CF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Luang Prabang</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0F35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572,932.90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4C9A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572,633.52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981C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588,727.04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B02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91D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299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2CE1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2070205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5153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Huaphan</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D42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441,122.29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92CB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439,021.85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6295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451,304.02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C26C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-2,100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7662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2,100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7785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076479A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5336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Sayabouly</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2883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446,313.00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0282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464,060.08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1444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478,117.74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4FEA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17,747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B3D7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17,747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1D99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5C6AC8BC"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AC2D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XiengKhouang</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0C80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467,454.18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5C6C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450,299.72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76FC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450,741.60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8C517"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-17,154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F76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17,154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9ABA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7512E51E"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3AE7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Vientiane province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7C5D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518,040.00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EC4E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571,409.55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3B1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580,658.96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8EBB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53,370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8F68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53,370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B67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w:t>
            </w:r>
          </w:p>
        </w:tc>
      </w:tr>
      <w:tr w:rsidR="007518E4" w:rsidRPr="006A5EFC" w14:paraId="351E14E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B3B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Xaysomboun</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6A0F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141,958.00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ABDF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132,618.67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74F9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170,172.17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A5B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-9,339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3C82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9,339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27C7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3DEEE25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4F82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Bolikhamsay</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0AAE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438,405.02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961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442,118.53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F9D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454,307.75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B97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3,714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2E63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3,714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FAA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382E0CC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217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Khammouane</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771E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504,886.00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8AAC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467,083.15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CF08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499,572.12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37F1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-37,803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B93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37,803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37CF8"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w:t>
            </w:r>
          </w:p>
        </w:tc>
      </w:tr>
      <w:tr w:rsidR="007518E4" w:rsidRPr="006A5EFC" w14:paraId="1C4DBE3A"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5AE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Savannakhet</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6231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748,177.57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1AC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733,508.17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5245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764,763.67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3F3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-14,669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8401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14,669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FDE3E"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w:t>
            </w:r>
          </w:p>
        </w:tc>
      </w:tr>
      <w:tr w:rsidR="007518E4" w:rsidRPr="006A5EFC" w14:paraId="51462777"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7786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Saravane</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3169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369,973.00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716A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435,806.50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85B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440,270.94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2B79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65,834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ADEBA"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65,834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F2D3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15%</w:t>
            </w:r>
          </w:p>
        </w:tc>
      </w:tr>
      <w:tr w:rsidR="007518E4" w:rsidRPr="006A5EFC" w14:paraId="764DDC2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D89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Sekong</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538CC"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384,701.30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0C93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341,237.21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349E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353,593.41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C20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-43,464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DD58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43,464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5F11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12%</w:t>
            </w:r>
          </w:p>
        </w:tc>
      </w:tr>
      <w:tr w:rsidR="007518E4" w:rsidRPr="006A5EFC" w14:paraId="06E6F1C3"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3F99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Champasack</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2670"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787,632.31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16CB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664,043.66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4234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682,020.14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B7973"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-123,589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EEBE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123,589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961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18%</w:t>
            </w:r>
          </w:p>
        </w:tc>
      </w:tr>
      <w:tr w:rsidR="007518E4" w:rsidRPr="006A5EFC" w14:paraId="18C61320"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56D8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Attapue</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9E6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300,710.00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1A9A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307,552.46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5B25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314,909.38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DBE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6,842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BB8A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6,842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8D8E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w:t>
            </w:r>
          </w:p>
        </w:tc>
      </w:tr>
      <w:tr w:rsidR="007518E4" w:rsidRPr="006A5EFC" w14:paraId="3B6E344A"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87A1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1429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5A1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1474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737B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2578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4B84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7085DB4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8D314"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allocated expenditure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51B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31,000,000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0D89"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30,479,627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606C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30,565,711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DE69D"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-520,373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0055"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1,478,399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A9AE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2E78A74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E53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interests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789F"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F5F74"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1,125,647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DAA0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9912"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FFD91"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55BB"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31E43D1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7009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contingency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DEBCF"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26F6" w14:textId="77777777" w:rsidR="007518E4" w:rsidRPr="006A5EFC" w:rsidRDefault="007518E4" w:rsidP="00E12685">
            <w:pPr>
              <w:spacing w:before="0"/>
              <w:ind w:left="0"/>
              <w:jc w:val="righ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F7F2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D3E6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C35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5DD3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4F06DC2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07CD" w14:textId="77777777" w:rsidR="007518E4" w:rsidRPr="00832A87" w:rsidRDefault="007518E4" w:rsidP="00E12685">
            <w:pPr>
              <w:spacing w:before="0"/>
              <w:ind w:left="0"/>
              <w:jc w:val="left"/>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total expenditure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00DA6" w14:textId="77777777" w:rsidR="007518E4" w:rsidRPr="00832A87" w:rsidRDefault="007518E4" w:rsidP="00E12685">
            <w:pPr>
              <w:spacing w:before="0"/>
              <w:ind w:left="0"/>
              <w:jc w:val="right"/>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31,000,000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92C4" w14:textId="77777777" w:rsidR="007518E4" w:rsidRPr="00832A87" w:rsidRDefault="007518E4" w:rsidP="00E12685">
            <w:pPr>
              <w:spacing w:before="0"/>
              <w:ind w:left="0"/>
              <w:jc w:val="right"/>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31,605,370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32D9D" w14:textId="77777777" w:rsidR="007518E4" w:rsidRPr="006A5EFC" w:rsidRDefault="007518E4" w:rsidP="00E12685">
            <w:pPr>
              <w:spacing w:before="0"/>
              <w:ind w:left="0"/>
              <w:jc w:val="lef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9B3A9" w14:textId="77777777" w:rsidR="007518E4" w:rsidRPr="006A5EFC" w:rsidRDefault="007518E4" w:rsidP="00E12685">
            <w:pPr>
              <w:spacing w:before="0"/>
              <w:ind w:left="0"/>
              <w:jc w:val="lef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E02C7" w14:textId="77777777" w:rsidR="007518E4" w:rsidRPr="006A5EFC" w:rsidRDefault="007518E4" w:rsidP="00E12685">
            <w:pPr>
              <w:spacing w:before="0"/>
              <w:ind w:left="0"/>
              <w:jc w:val="lef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D88D4" w14:textId="77777777" w:rsidR="007518E4" w:rsidRPr="006A5EFC" w:rsidRDefault="007518E4" w:rsidP="00E12685">
            <w:pPr>
              <w:spacing w:before="0"/>
              <w:ind w:left="0"/>
              <w:jc w:val="lef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 </w:t>
            </w:r>
          </w:p>
        </w:tc>
      </w:tr>
      <w:tr w:rsidR="007518E4" w:rsidRPr="006A5EFC" w14:paraId="4818326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85AF2"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aggregate outturn (PI-1)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5D824" w14:textId="77777777" w:rsidR="007518E4" w:rsidRPr="00832A87" w:rsidRDefault="007518E4" w:rsidP="00E12685">
            <w:pPr>
              <w:spacing w:before="0"/>
              <w:ind w:left="0"/>
              <w:jc w:val="left"/>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1E24C"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37C51"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E8E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77F3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9567F" w14:textId="77777777" w:rsidR="007518E4" w:rsidRPr="006A5EFC" w:rsidRDefault="007518E4" w:rsidP="00E12685">
            <w:pPr>
              <w:spacing w:before="0"/>
              <w:ind w:left="0"/>
              <w:jc w:val="righ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102.0%</w:t>
            </w:r>
          </w:p>
        </w:tc>
      </w:tr>
      <w:tr w:rsidR="007518E4" w:rsidRPr="006A5EFC" w14:paraId="572F256F"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ABAD"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composition (PI-2) variance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0FB43"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 xml:space="preserve">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43D5D"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 xml:space="preserve">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2F4B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3322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8C19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77E24" w14:textId="77777777" w:rsidR="007518E4" w:rsidRPr="006A5EFC" w:rsidRDefault="007518E4" w:rsidP="00E12685">
            <w:pPr>
              <w:spacing w:before="0"/>
              <w:ind w:left="0"/>
              <w:jc w:val="righ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4.8%</w:t>
            </w:r>
          </w:p>
        </w:tc>
      </w:tr>
      <w:tr w:rsidR="007518E4" w:rsidRPr="006A5EFC" w14:paraId="6A4008A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C04EA"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contingency share of budget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6CEF"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0E430" w14:textId="77777777" w:rsidR="007518E4" w:rsidRPr="00832A87" w:rsidRDefault="007518E4" w:rsidP="00E12685">
            <w:pPr>
              <w:spacing w:before="0"/>
              <w:ind w:left="0"/>
              <w:jc w:val="left"/>
              <w:rPr>
                <w:rFonts w:ascii="Times New Roman" w:hAnsi="Times New Roman"/>
                <w:color w:val="000000" w:themeColor="text1"/>
                <w:sz w:val="18"/>
                <w:szCs w:val="18"/>
                <w:lang w:val="en-GB" w:eastAsia="en-GB"/>
              </w:rPr>
            </w:pPr>
            <w:r w:rsidRPr="00832A87">
              <w:rPr>
                <w:rFonts w:ascii="Times New Roman" w:hAnsi="Times New Roman"/>
                <w:color w:val="000000" w:themeColor="text1"/>
                <w:sz w:val="18"/>
                <w:szCs w:val="18"/>
                <w:lang w:val="en-GB" w:eastAsia="en-GB"/>
              </w:rPr>
              <w:t>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EFDB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7840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161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C33" w14:textId="77777777" w:rsidR="007518E4" w:rsidRPr="006A5EFC" w:rsidRDefault="007518E4" w:rsidP="00E12685">
            <w:pPr>
              <w:spacing w:before="0"/>
              <w:ind w:left="0"/>
              <w:jc w:val="righ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0.0%</w:t>
            </w:r>
          </w:p>
        </w:tc>
      </w:tr>
    </w:tbl>
    <w:p w14:paraId="3599C11F" w14:textId="77777777" w:rsidR="007518E4" w:rsidRDefault="007518E4" w:rsidP="00E12685">
      <w:pPr>
        <w:spacing w:before="0"/>
        <w:ind w:left="0"/>
      </w:pPr>
    </w:p>
    <w:p w14:paraId="669287CB" w14:textId="77777777" w:rsidR="007518E4" w:rsidRDefault="007518E4" w:rsidP="00E12685">
      <w:pPr>
        <w:spacing w:before="0"/>
        <w:ind w:left="0"/>
      </w:pPr>
      <w:r>
        <w:br w:type="page"/>
      </w:r>
    </w:p>
    <w:tbl>
      <w:tblPr>
        <w:tblW w:w="8324" w:type="dxa"/>
        <w:tblLook w:val="04A0" w:firstRow="1" w:lastRow="0" w:firstColumn="1" w:lastColumn="0" w:noHBand="0" w:noVBand="1"/>
      </w:tblPr>
      <w:tblGrid>
        <w:gridCol w:w="2438"/>
        <w:gridCol w:w="1026"/>
        <w:gridCol w:w="1180"/>
        <w:gridCol w:w="1026"/>
        <w:gridCol w:w="936"/>
        <w:gridCol w:w="936"/>
        <w:gridCol w:w="801"/>
      </w:tblGrid>
      <w:tr w:rsidR="007518E4" w:rsidRPr="006A5EFC" w14:paraId="44A79D90" w14:textId="77777777" w:rsidTr="007518E4">
        <w:trPr>
          <w:trHeight w:val="284"/>
        </w:trPr>
        <w:tc>
          <w:tcPr>
            <w:tcW w:w="2438" w:type="dxa"/>
            <w:tcBorders>
              <w:top w:val="nil"/>
              <w:left w:val="single" w:sz="4" w:space="0" w:color="auto"/>
              <w:bottom w:val="single" w:sz="4" w:space="0" w:color="auto"/>
              <w:right w:val="nil"/>
            </w:tcBorders>
            <w:shd w:val="clear" w:color="auto" w:fill="auto"/>
            <w:noWrap/>
            <w:vAlign w:val="bottom"/>
            <w:hideMark/>
          </w:tcPr>
          <w:p w14:paraId="1E70662B" w14:textId="77777777" w:rsidR="007518E4" w:rsidRPr="006A5EFC" w:rsidRDefault="000310F5" w:rsidP="00E12685">
            <w:pPr>
              <w:spacing w:before="0"/>
              <w:ind w:left="0"/>
              <w:jc w:val="left"/>
              <w:rPr>
                <w:rFonts w:ascii="Times New Roman" w:hAnsi="Times New Roman"/>
                <w:b/>
                <w:bCs/>
                <w:color w:val="000000" w:themeColor="text1"/>
                <w:sz w:val="18"/>
                <w:szCs w:val="18"/>
                <w:lang w:val="en-GB" w:eastAsia="en-GB"/>
              </w:rPr>
            </w:pPr>
            <w:r>
              <w:rPr>
                <w:rFonts w:ascii="Times New Roman" w:hAnsi="Times New Roman"/>
                <w:b/>
                <w:bCs/>
                <w:color w:val="000000" w:themeColor="text1"/>
                <w:sz w:val="18"/>
                <w:szCs w:val="18"/>
                <w:lang w:val="en-GB" w:eastAsia="en-GB"/>
              </w:rPr>
              <w:lastRenderedPageBreak/>
              <w:t>Table 2</w:t>
            </w:r>
            <w:r w:rsidR="007518E4" w:rsidRPr="006A5EFC">
              <w:rPr>
                <w:rFonts w:ascii="Times New Roman" w:hAnsi="Times New Roman"/>
                <w:b/>
                <w:bCs/>
                <w:color w:val="000000" w:themeColor="text1"/>
                <w:sz w:val="18"/>
                <w:szCs w:val="18"/>
                <w:lang w:val="en-GB" w:eastAsia="en-GB"/>
              </w:rPr>
              <w:t xml:space="preserve"> - Line Ministries</w:t>
            </w:r>
          </w:p>
        </w:tc>
        <w:tc>
          <w:tcPr>
            <w:tcW w:w="1026" w:type="dxa"/>
            <w:tcBorders>
              <w:top w:val="nil"/>
              <w:left w:val="nil"/>
              <w:bottom w:val="single" w:sz="4" w:space="0" w:color="auto"/>
              <w:right w:val="nil"/>
            </w:tcBorders>
            <w:shd w:val="clear" w:color="auto" w:fill="auto"/>
            <w:noWrap/>
            <w:vAlign w:val="bottom"/>
            <w:hideMark/>
          </w:tcPr>
          <w:p w14:paraId="590C36EB"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1180" w:type="dxa"/>
            <w:tcBorders>
              <w:top w:val="nil"/>
              <w:left w:val="nil"/>
              <w:bottom w:val="single" w:sz="4" w:space="0" w:color="auto"/>
              <w:right w:val="nil"/>
            </w:tcBorders>
            <w:shd w:val="clear" w:color="auto" w:fill="auto"/>
            <w:noWrap/>
            <w:vAlign w:val="bottom"/>
            <w:hideMark/>
          </w:tcPr>
          <w:p w14:paraId="44A3B12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1007" w:type="dxa"/>
            <w:tcBorders>
              <w:top w:val="nil"/>
              <w:left w:val="nil"/>
              <w:bottom w:val="single" w:sz="4" w:space="0" w:color="auto"/>
              <w:right w:val="nil"/>
            </w:tcBorders>
            <w:shd w:val="clear" w:color="auto" w:fill="auto"/>
            <w:noWrap/>
            <w:vAlign w:val="bottom"/>
            <w:hideMark/>
          </w:tcPr>
          <w:p w14:paraId="56D038E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936" w:type="dxa"/>
            <w:tcBorders>
              <w:top w:val="nil"/>
              <w:left w:val="nil"/>
              <w:bottom w:val="single" w:sz="4" w:space="0" w:color="auto"/>
              <w:right w:val="nil"/>
            </w:tcBorders>
            <w:shd w:val="clear" w:color="auto" w:fill="auto"/>
            <w:noWrap/>
            <w:vAlign w:val="bottom"/>
            <w:hideMark/>
          </w:tcPr>
          <w:p w14:paraId="0D24BD6F"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936" w:type="dxa"/>
            <w:tcBorders>
              <w:top w:val="nil"/>
              <w:left w:val="nil"/>
              <w:bottom w:val="single" w:sz="4" w:space="0" w:color="auto"/>
              <w:right w:val="nil"/>
            </w:tcBorders>
            <w:shd w:val="clear" w:color="auto" w:fill="auto"/>
            <w:noWrap/>
            <w:vAlign w:val="bottom"/>
            <w:hideMark/>
          </w:tcPr>
          <w:p w14:paraId="5583FCE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801" w:type="dxa"/>
            <w:tcBorders>
              <w:top w:val="nil"/>
              <w:left w:val="nil"/>
              <w:bottom w:val="single" w:sz="4" w:space="0" w:color="auto"/>
              <w:right w:val="nil"/>
            </w:tcBorders>
            <w:shd w:val="clear" w:color="auto" w:fill="auto"/>
            <w:noWrap/>
            <w:vAlign w:val="bottom"/>
            <w:hideMark/>
          </w:tcPr>
          <w:p w14:paraId="438AF361"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r>
      <w:tr w:rsidR="007518E4" w:rsidRPr="006A5EFC" w14:paraId="3A6AA27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48888" w14:textId="77777777" w:rsidR="007518E4" w:rsidRPr="006A5EFC" w:rsidRDefault="007518E4" w:rsidP="00E12685">
            <w:pPr>
              <w:spacing w:before="0"/>
              <w:ind w:left="0"/>
              <w:jc w:val="right"/>
              <w:rPr>
                <w:rFonts w:ascii="Times New Roman" w:hAnsi="Times New Roman"/>
                <w:b/>
                <w:bCs/>
                <w:color w:val="000000" w:themeColor="text1"/>
                <w:sz w:val="18"/>
                <w:szCs w:val="18"/>
                <w:lang w:val="en-GB" w:eastAsia="en-GB"/>
              </w:rPr>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6C6D6" w14:textId="77777777" w:rsidR="007518E4" w:rsidRPr="00832A87" w:rsidRDefault="007518E4" w:rsidP="00E12685">
            <w:pPr>
              <w:spacing w:before="0"/>
              <w:ind w:left="0"/>
              <w:jc w:val="left"/>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2015/2016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6DC48" w14:textId="77777777" w:rsidR="007518E4" w:rsidRPr="00CD0767" w:rsidRDefault="007518E4" w:rsidP="00E12685">
            <w:pPr>
              <w:spacing w:before="0"/>
              <w:ind w:left="0"/>
              <w:jc w:val="left"/>
              <w:rPr>
                <w:rFonts w:ascii="Times New Roman" w:hAnsi="Times New Roman"/>
                <w:bCs/>
                <w:color w:val="000000" w:themeColor="text1"/>
                <w:sz w:val="18"/>
                <w:szCs w:val="18"/>
                <w:lang w:val="en-GB" w:eastAsia="en-GB"/>
              </w:rPr>
            </w:pPr>
            <w:r w:rsidRPr="00CD0767">
              <w:rPr>
                <w:rFonts w:ascii="Times New Roman" w:hAnsi="Times New Roman"/>
                <w:bCs/>
                <w:sz w:val="18"/>
                <w:szCs w:val="18"/>
                <w:lang w:val="en-GB" w:eastAsia="en-GB"/>
              </w:rPr>
              <w:t>Million Kip</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D7624"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A47E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62AE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80D8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w:t>
            </w:r>
          </w:p>
        </w:tc>
      </w:tr>
      <w:tr w:rsidR="007518E4" w:rsidRPr="006A5EFC" w14:paraId="6846DD9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7AD9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administrative or functional head</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A2A3A" w14:textId="77777777" w:rsidR="007518E4" w:rsidRPr="00832A87" w:rsidRDefault="007518E4" w:rsidP="00E12685">
            <w:pPr>
              <w:spacing w:before="0"/>
              <w:ind w:left="0"/>
              <w:jc w:val="center"/>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budget</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E6C4" w14:textId="77777777" w:rsidR="007518E4" w:rsidRPr="00832A87" w:rsidRDefault="007518E4" w:rsidP="00E12685">
            <w:pPr>
              <w:spacing w:before="0"/>
              <w:ind w:left="0"/>
              <w:jc w:val="center"/>
              <w:rPr>
                <w:rFonts w:ascii="Times New Roman" w:hAnsi="Times New Roman"/>
                <w:bCs/>
                <w:color w:val="000000" w:themeColor="text1"/>
                <w:sz w:val="18"/>
                <w:szCs w:val="18"/>
                <w:lang w:val="en-GB" w:eastAsia="en-GB"/>
              </w:rPr>
            </w:pPr>
            <w:r w:rsidRPr="00832A87">
              <w:rPr>
                <w:rFonts w:ascii="Times New Roman" w:hAnsi="Times New Roman"/>
                <w:bCs/>
                <w:color w:val="000000" w:themeColor="text1"/>
                <w:sz w:val="18"/>
                <w:szCs w:val="18"/>
                <w:lang w:val="en-GB" w:eastAsia="en-GB"/>
              </w:rPr>
              <w:t>Actual</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CB8BB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adjusted budget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B291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deviation</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4659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absolute deviation</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AD26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percent</w:t>
            </w:r>
          </w:p>
        </w:tc>
      </w:tr>
      <w:tr w:rsidR="007518E4" w:rsidRPr="006A5EFC" w14:paraId="197BCEB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F9C5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Finance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E393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807,507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750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799,208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4BAA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772,293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87C9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(8,299)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9F5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8,299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DE1C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4F8C18D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6DFA8"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Planning and Investment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F164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33,929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AC3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30,616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99D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32,449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A6B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29DE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3,313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A8D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w:t>
            </w:r>
          </w:p>
        </w:tc>
      </w:tr>
      <w:tr w:rsidR="007518E4" w:rsidRPr="006A5EFC" w14:paraId="51C2714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2C64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Agriculture and Forestry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E670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460,862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E5A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440,274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0683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440,764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BFE0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(20,588)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DDEE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20,588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E691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7382323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3CB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Public Works and Transport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5C10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2,363,224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D1C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2,269,236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EADF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2,260,166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9B2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(93,988)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0C00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93,988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44B8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5182CA5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E30D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Energy and Mining</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8A7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215,835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A3D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193,240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7656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206,423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A8C7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(22,595)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AAB5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22,595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BC57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w:t>
            </w:r>
          </w:p>
        </w:tc>
      </w:tr>
      <w:tr w:rsidR="007518E4" w:rsidRPr="006A5EFC" w14:paraId="61D10B5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9EF6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Industry and Commerce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152C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37,864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15D6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39,361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932B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36,213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E7A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1,497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5B75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1,497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7CEB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4F9BA29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7E9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Foreign Affairs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E739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75,026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4868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243,054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99E6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71,754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E48C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168,028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F99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168,028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8074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224%</w:t>
            </w:r>
          </w:p>
        </w:tc>
      </w:tr>
      <w:tr w:rsidR="007518E4" w:rsidRPr="006A5EFC" w14:paraId="371C0859"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8F0AB"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Justice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58EF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47,470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429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45,588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B48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45,400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8B43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(1,882)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E15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1,882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FE9D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0743288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0D3B"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Information and Culture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D748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121,584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C9F6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112,882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B56D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116,282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FEAE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(8,702)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33D3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8,702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41A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w:t>
            </w:r>
          </w:p>
        </w:tc>
      </w:tr>
      <w:tr w:rsidR="007518E4" w:rsidRPr="006A5EFC" w14:paraId="6612747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7088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Labor</w:t>
            </w:r>
            <w:proofErr w:type="spellEnd"/>
            <w:r w:rsidRPr="006A5EFC">
              <w:rPr>
                <w:rFonts w:ascii="Times New Roman" w:hAnsi="Times New Roman"/>
                <w:color w:val="000000" w:themeColor="text1"/>
                <w:sz w:val="18"/>
                <w:szCs w:val="18"/>
                <w:lang w:val="en-GB" w:eastAsia="en-GB"/>
              </w:rPr>
              <w:t xml:space="preserve"> and Social Welfare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001E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867,981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6F93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859,340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30F6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830,129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23E7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(8,641)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BAC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8,641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4984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2912FE1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A0A0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Education and Sports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E63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1,204,470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EC77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1,298,635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BAC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1,151,944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C1D4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94,165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AEE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94,165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13DF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w:t>
            </w:r>
          </w:p>
        </w:tc>
      </w:tr>
      <w:tr w:rsidR="007518E4" w:rsidRPr="006A5EFC" w14:paraId="064DA71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B0F5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Public Health</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C1D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1,063,101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058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1,024,873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593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1,016,740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B9B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(38,228)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67B0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38,228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B711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5A63576E"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FF83E"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Home Affairs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3490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5579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27,123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826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E03A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02EF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74E4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46FC241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DFC0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Supreme People's Court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E6C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72,145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3026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1160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68,999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6929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1628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C873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772B1D0E"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181C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Public Prosecutor General</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F5E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63,787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54D2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D876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61,005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0DAD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7D16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8525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68A687E7"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6994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Audit Agency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3E91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23,896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1706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19B2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22,854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CD1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D752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4EAF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1AD32FBC"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8D0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Science and Technology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6EC6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37,158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1C3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33,144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C452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35,538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65EA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(4,014)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948C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4,014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A426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11%</w:t>
            </w:r>
          </w:p>
        </w:tc>
      </w:tr>
      <w:tr w:rsidR="007518E4" w:rsidRPr="006A5EFC" w14:paraId="6E39BAE0"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AF47F"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Water Resource and Environment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284A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170,366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6DBD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165,300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BDE2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162,937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585D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212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5,066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0E12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w:t>
            </w:r>
          </w:p>
        </w:tc>
      </w:tr>
      <w:tr w:rsidR="007518E4" w:rsidRPr="006A5EFC" w14:paraId="6B58705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3284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xml:space="preserve">Post and telecommunication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DDCA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7B65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88,827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B54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60DB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892F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397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124BEB1A"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B4301"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Statistics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3F3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460F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41,887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80BB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54EC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D15F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FA7F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0ED89A50"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710C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Other Organization</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C3F7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5,463,968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C4D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C768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5,225,690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BF8E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78F6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319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n/a</w:t>
            </w:r>
          </w:p>
        </w:tc>
      </w:tr>
      <w:tr w:rsidR="007518E4" w:rsidRPr="006A5EFC" w14:paraId="112B4E3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4B499"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Other (reserve)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11AA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8,819,095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7BCE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14,411,118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B92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8,434,502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474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5,592,023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4D19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5,592,023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D41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63%</w:t>
            </w:r>
          </w:p>
        </w:tc>
      </w:tr>
      <w:tr w:rsidR="007518E4" w:rsidRPr="006A5EFC" w14:paraId="7DC2E8E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3E96C" w14:textId="77777777" w:rsidR="007518E4" w:rsidRPr="006A5EFC" w:rsidRDefault="007518E4" w:rsidP="00E12685">
            <w:pPr>
              <w:spacing w:before="0"/>
              <w:ind w:left="0"/>
              <w:jc w:val="left"/>
              <w:rPr>
                <w:rFonts w:ascii="Times New Roman" w:hAnsi="Times New Roman"/>
                <w:b/>
                <w:bCs/>
                <w:color w:val="000000" w:themeColor="text1"/>
                <w:sz w:val="18"/>
                <w:szCs w:val="18"/>
                <w:lang w:val="en-GB" w:eastAsia="en-GB"/>
              </w:rPr>
            </w:pPr>
            <w:r w:rsidRPr="006A5EFC">
              <w:rPr>
                <w:rFonts w:ascii="Times New Roman" w:hAnsi="Times New Roman"/>
                <w:b/>
                <w:bCs/>
                <w:color w:val="000000" w:themeColor="text1"/>
                <w:sz w:val="18"/>
                <w:szCs w:val="18"/>
                <w:lang w:val="en-GB" w:eastAsia="en-GB"/>
              </w:rPr>
              <w:t>Provinces</w:t>
            </w:r>
          </w:p>
        </w:tc>
        <w:tc>
          <w:tcPr>
            <w:tcW w:w="102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EB5D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11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31B2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100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662E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D957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C6DC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8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CE3F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r>
      <w:tr w:rsidR="007518E4" w:rsidRPr="006A5EFC" w14:paraId="7609FC40"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B6A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Vientiane Capital City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1BD2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1,354,880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03A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587,004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0AA4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601,861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935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(767,876)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CB1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767,876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424F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w:t>
            </w:r>
          </w:p>
        </w:tc>
      </w:tr>
      <w:tr w:rsidR="007518E4" w:rsidRPr="006A5EFC" w14:paraId="0AFF6AE2"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F273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Phongsaly</w:t>
            </w:r>
            <w:proofErr w:type="spellEnd"/>
            <w:r w:rsidRPr="006A5EFC">
              <w:rPr>
                <w:rFonts w:ascii="Times New Roman" w:hAnsi="Times New Roman"/>
                <w:color w:val="000000" w:themeColor="text1"/>
                <w:sz w:val="18"/>
                <w:szCs w:val="18"/>
                <w:lang w:val="en-GB" w:eastAsia="en-GB"/>
              </w:rPr>
              <w:t xml:space="preserve">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A46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325,689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3956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324,111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880C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337,912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0B6F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(1,578)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7304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1,578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460B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0%</w:t>
            </w:r>
          </w:p>
        </w:tc>
      </w:tr>
      <w:tr w:rsidR="007518E4" w:rsidRPr="006A5EFC" w14:paraId="7562670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41322"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 xml:space="preserve">Luang </w:t>
            </w:r>
            <w:proofErr w:type="spellStart"/>
            <w:r w:rsidRPr="006A5EFC">
              <w:rPr>
                <w:rFonts w:ascii="Times New Roman" w:hAnsi="Times New Roman"/>
                <w:color w:val="000000" w:themeColor="text1"/>
                <w:sz w:val="18"/>
                <w:szCs w:val="18"/>
                <w:lang w:val="en-GB" w:eastAsia="en-GB"/>
              </w:rPr>
              <w:t>Namtha</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EA73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336,577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B4B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322,155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5C4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334,270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3CA5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(14,422)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5339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14,422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8B0C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w:t>
            </w:r>
          </w:p>
        </w:tc>
      </w:tr>
      <w:tr w:rsidR="007518E4" w:rsidRPr="006A5EFC" w14:paraId="38F6CB1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691B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Oudomxay</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0F92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535,124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985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463,290</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965B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465,560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07C0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(71,834)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2919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71,834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7925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13%</w:t>
            </w:r>
          </w:p>
        </w:tc>
      </w:tr>
      <w:tr w:rsidR="007518E4" w:rsidRPr="006A5EFC" w14:paraId="657CCA14"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9C18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Bokeo</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2ADF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362,462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A6A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277,264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F6C2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280,503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3FEB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(85,198)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717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85,198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3BFA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24%</w:t>
            </w:r>
          </w:p>
        </w:tc>
      </w:tr>
      <w:tr w:rsidR="007518E4" w:rsidRPr="006A5EFC" w14:paraId="047B58FE"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13BA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Luang Prabang</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96B9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619,774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0C96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601,428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8C6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615,972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9BA3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(18,346)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A58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18,346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0D65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w:t>
            </w:r>
          </w:p>
        </w:tc>
      </w:tr>
      <w:tr w:rsidR="007518E4" w:rsidRPr="006A5EFC" w14:paraId="77BD821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C126"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Huaphan</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7D1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832,097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B7EC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499,964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A74F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508,594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5690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(332,133)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970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332,133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691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40%</w:t>
            </w:r>
          </w:p>
        </w:tc>
      </w:tr>
      <w:tr w:rsidR="007518E4" w:rsidRPr="006A5EFC" w14:paraId="2EA21AA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445D5"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Sayabouly</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7CCE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502,415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840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479,182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FCC6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503,042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151A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(23,233)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489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23,233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483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11F2DBC6"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56D1C"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XiengKhouang</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788F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498,907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F262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495,591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6A01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506,530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9A0D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B972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3,316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22DC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w:t>
            </w:r>
          </w:p>
        </w:tc>
      </w:tr>
      <w:tr w:rsidR="007518E4" w:rsidRPr="006A5EFC" w14:paraId="22BB0E47"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026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Vientiane province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75AE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576,110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F55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592,813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C9C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606,830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8691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16,703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D34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16,703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39B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w:t>
            </w:r>
          </w:p>
        </w:tc>
      </w:tr>
      <w:tr w:rsidR="007518E4" w:rsidRPr="006A5EFC" w14:paraId="7BCDA3A8"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F89BD"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Xaysomboun</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109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222,922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77A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199,556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412B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225,346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FCB0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(23,366)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CBAB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23,366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4AD6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10%</w:t>
            </w:r>
          </w:p>
        </w:tc>
      </w:tr>
      <w:tr w:rsidR="007518E4" w:rsidRPr="006A5EFC" w14:paraId="36D2E32C"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C5074"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Bolikhamsay</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745B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482,375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38B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449,774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1C52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468,193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47E8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(32,601)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7887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32,601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C21A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w:t>
            </w:r>
          </w:p>
        </w:tc>
      </w:tr>
      <w:tr w:rsidR="007518E4" w:rsidRPr="006A5EFC" w14:paraId="7E9E900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E5FA"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Khammouane</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07D3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556,676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169B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521,608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0B81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512,059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2FC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(35,068)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EFC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35,068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4FF2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6%</w:t>
            </w:r>
          </w:p>
        </w:tc>
      </w:tr>
      <w:tr w:rsidR="007518E4" w:rsidRPr="006A5EFC" w14:paraId="2620211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75FB7"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Savannakhet</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B1F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822,031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48D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781,031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81A5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773,289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87AF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(41,000)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12D8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41,000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C031C"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22AB8941"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13F2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Saravane</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801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404,411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11D6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426,597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139B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436,451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86F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22,186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334D"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22,186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20A2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w:t>
            </w:r>
          </w:p>
        </w:tc>
      </w:tr>
      <w:tr w:rsidR="007518E4" w:rsidRPr="006A5EFC" w14:paraId="100A40C3"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D405B"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Sekong</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AB04F"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460,653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AAAF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380,348</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D2DD4"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398,897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3FA0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(80,305)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BA7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80,305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DD5A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17%</w:t>
            </w:r>
          </w:p>
        </w:tc>
      </w:tr>
      <w:tr w:rsidR="007518E4" w:rsidRPr="006A5EFC" w14:paraId="04BAF01D"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32B30"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Champasack</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D30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773,104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F130"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702,571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98E03"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716,729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9DF2E"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(70,533)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3DC9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70,533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2C136"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9%</w:t>
            </w:r>
          </w:p>
        </w:tc>
      </w:tr>
      <w:tr w:rsidR="007518E4" w:rsidRPr="006A5EFC" w14:paraId="3D6713D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A448F"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roofErr w:type="spellStart"/>
            <w:r w:rsidRPr="006A5EFC">
              <w:rPr>
                <w:rFonts w:ascii="Times New Roman" w:hAnsi="Times New Roman"/>
                <w:color w:val="000000" w:themeColor="text1"/>
                <w:sz w:val="18"/>
                <w:szCs w:val="18"/>
                <w:lang w:val="en-GB" w:eastAsia="en-GB"/>
              </w:rPr>
              <w:t>Attapue</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CFDA"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330,522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BDE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324,871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F38D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333,218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F46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(5,651)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4B9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5,651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DCBFB"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r w:rsidRPr="006A5EFC">
              <w:rPr>
                <w:rFonts w:ascii="Times New Roman" w:hAnsi="Times New Roman"/>
                <w:color w:val="000000" w:themeColor="text1"/>
                <w:sz w:val="18"/>
                <w:szCs w:val="18"/>
                <w:lang w:val="en-GB" w:eastAsia="en-GB"/>
              </w:rPr>
              <w:t>2%</w:t>
            </w:r>
          </w:p>
        </w:tc>
      </w:tr>
      <w:tr w:rsidR="007518E4" w:rsidRPr="006A5EFC" w14:paraId="3E257A63"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190D3" w14:textId="77777777" w:rsidR="007518E4" w:rsidRPr="006A5EFC" w:rsidRDefault="007518E4" w:rsidP="00E12685">
            <w:pPr>
              <w:spacing w:before="0"/>
              <w:ind w:left="0"/>
              <w:jc w:val="left"/>
              <w:rPr>
                <w:rFonts w:ascii="Times New Roman" w:hAnsi="Times New Roman"/>
                <w:color w:val="000000" w:themeColor="text1"/>
                <w:sz w:val="18"/>
                <w:szCs w:val="18"/>
                <w:lang w:val="en-GB" w:eastAsia="en-GB"/>
              </w:rPr>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DC771"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91D42"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43355"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23339"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E867"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770F8" w14:textId="77777777" w:rsidR="007518E4" w:rsidRPr="006A5EFC" w:rsidRDefault="007518E4" w:rsidP="00E12685">
            <w:pPr>
              <w:spacing w:before="0"/>
              <w:ind w:left="0"/>
              <w:jc w:val="center"/>
              <w:rPr>
                <w:rFonts w:ascii="Times New Roman" w:hAnsi="Times New Roman"/>
                <w:color w:val="000000" w:themeColor="text1"/>
                <w:sz w:val="18"/>
                <w:szCs w:val="18"/>
                <w:lang w:val="en-GB" w:eastAsia="en-GB"/>
              </w:rPr>
            </w:pPr>
          </w:p>
        </w:tc>
      </w:tr>
      <w:tr w:rsidR="007518E4" w:rsidRPr="006A5EFC" w14:paraId="55DAA06B"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0CD2"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allocated expenditure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9B181"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31,946,000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B53D8"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30,552,864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C3EDD"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29,617,337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4835E"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4,072,824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9A3F"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7,716,380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2858"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24%</w:t>
            </w:r>
          </w:p>
        </w:tc>
      </w:tr>
      <w:tr w:rsidR="007518E4" w:rsidRPr="006A5EFC" w14:paraId="45015B66"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90ACE"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interests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043D2"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1,389,000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6B7F8"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1,382,519</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C4F21"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47B02"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FC349"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38CE8" w14:textId="77777777" w:rsidR="007518E4" w:rsidRPr="006A5EFC" w:rsidRDefault="007518E4" w:rsidP="00E12685">
            <w:pPr>
              <w:spacing w:before="0"/>
              <w:ind w:left="0"/>
              <w:jc w:val="center"/>
              <w:rPr>
                <w:rFonts w:ascii="Times New Roman" w:hAnsi="Times New Roman"/>
                <w:bCs/>
                <w:color w:val="000000" w:themeColor="text1"/>
                <w:sz w:val="18"/>
                <w:szCs w:val="18"/>
                <w:lang w:val="en-GB" w:eastAsia="en-GB"/>
              </w:rPr>
            </w:pPr>
          </w:p>
        </w:tc>
      </w:tr>
      <w:tr w:rsidR="007518E4" w:rsidRPr="006A5EFC" w14:paraId="4401B0D0"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C3DF5"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contingency</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BB0B" w14:textId="77777777" w:rsidR="007518E4" w:rsidRPr="006A5EFC" w:rsidRDefault="007518E4" w:rsidP="00E12685">
            <w:pPr>
              <w:spacing w:before="0"/>
              <w:ind w:left="0"/>
              <w:jc w:val="righ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70,000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16313" w14:textId="77777777" w:rsidR="007518E4" w:rsidRPr="006A5EFC" w:rsidRDefault="007518E4" w:rsidP="00E12685">
            <w:pPr>
              <w:spacing w:before="0"/>
              <w:ind w:left="0"/>
              <w:jc w:val="righ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48,823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28DB8"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3A010"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65F3"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3D07A"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r>
      <w:tr w:rsidR="007518E4" w:rsidRPr="006A5EFC" w14:paraId="5F6BCE75"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8E2E6"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total expenditure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54208" w14:textId="77777777" w:rsidR="007518E4" w:rsidRPr="006A5EFC" w:rsidRDefault="007518E4" w:rsidP="00E12685">
            <w:pPr>
              <w:spacing w:before="0"/>
              <w:ind w:left="0"/>
              <w:jc w:val="righ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33,405,000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31AC1" w14:textId="77777777" w:rsidR="007518E4" w:rsidRPr="006A5EFC" w:rsidRDefault="007518E4" w:rsidP="00E12685">
            <w:pPr>
              <w:spacing w:before="0"/>
              <w:ind w:left="0"/>
              <w:jc w:val="righ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31,984,206</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61CAF"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70C62"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30F41"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CE9A2"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r>
      <w:tr w:rsidR="007518E4" w:rsidRPr="006A5EFC" w14:paraId="2B9D7717"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39D7"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aggregate outturn (PI-1)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3D70E"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E07C8"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D5961"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A89EC"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F89B"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30BED" w14:textId="77777777" w:rsidR="007518E4" w:rsidRPr="00832A87" w:rsidRDefault="007518E4" w:rsidP="00E12685">
            <w:pPr>
              <w:spacing w:before="0"/>
              <w:ind w:left="0"/>
              <w:jc w:val="right"/>
              <w:rPr>
                <w:rFonts w:ascii="Times New Roman" w:hAnsi="Times New Roman"/>
                <w:b/>
                <w:bCs/>
                <w:color w:val="000000" w:themeColor="text1"/>
                <w:sz w:val="18"/>
                <w:szCs w:val="18"/>
                <w:lang w:val="en-GB" w:eastAsia="en-GB"/>
              </w:rPr>
            </w:pPr>
            <w:r>
              <w:rPr>
                <w:rFonts w:ascii="Times New Roman" w:hAnsi="Times New Roman"/>
                <w:b/>
                <w:bCs/>
                <w:color w:val="000000" w:themeColor="text1"/>
                <w:sz w:val="18"/>
                <w:szCs w:val="18"/>
                <w:lang w:val="en-GB" w:eastAsia="en-GB"/>
              </w:rPr>
              <w:t>95</w:t>
            </w:r>
            <w:r w:rsidRPr="00832A87">
              <w:rPr>
                <w:rFonts w:ascii="Times New Roman" w:hAnsi="Times New Roman"/>
                <w:b/>
                <w:bCs/>
                <w:color w:val="000000" w:themeColor="text1"/>
                <w:sz w:val="18"/>
                <w:szCs w:val="18"/>
                <w:lang w:val="en-GB" w:eastAsia="en-GB"/>
              </w:rPr>
              <w:t>.7%</w:t>
            </w:r>
          </w:p>
        </w:tc>
      </w:tr>
      <w:tr w:rsidR="007518E4" w:rsidRPr="006A5EFC" w14:paraId="3881FECE"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E67B9"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composition (PI-2) variance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1128"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4E30D"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5A6B"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758B"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E1197"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59B42" w14:textId="77777777" w:rsidR="007518E4" w:rsidRPr="00832A87" w:rsidRDefault="007518E4" w:rsidP="00E12685">
            <w:pPr>
              <w:spacing w:before="0"/>
              <w:ind w:left="0"/>
              <w:jc w:val="right"/>
              <w:rPr>
                <w:rFonts w:ascii="Times New Roman" w:hAnsi="Times New Roman"/>
                <w:b/>
                <w:bCs/>
                <w:color w:val="000000" w:themeColor="text1"/>
                <w:sz w:val="18"/>
                <w:szCs w:val="18"/>
                <w:lang w:val="en-GB" w:eastAsia="en-GB"/>
              </w:rPr>
            </w:pPr>
            <w:r w:rsidRPr="00832A87">
              <w:rPr>
                <w:rFonts w:ascii="Times New Roman" w:hAnsi="Times New Roman"/>
                <w:b/>
                <w:bCs/>
                <w:color w:val="000000" w:themeColor="text1"/>
                <w:sz w:val="18"/>
                <w:szCs w:val="18"/>
                <w:lang w:val="en-GB" w:eastAsia="en-GB"/>
              </w:rPr>
              <w:t>24.2%</w:t>
            </w:r>
          </w:p>
        </w:tc>
      </w:tr>
      <w:tr w:rsidR="007518E4" w:rsidRPr="006A5EFC" w14:paraId="41DD35A2" w14:textId="77777777" w:rsidTr="007518E4">
        <w:trPr>
          <w:trHeight w:val="20"/>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8F7C7"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contingency share of budget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6906B"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F2DE9"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14A11"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342EB"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B1BEC" w14:textId="77777777" w:rsidR="007518E4" w:rsidRPr="006A5EFC" w:rsidRDefault="007518E4" w:rsidP="00E12685">
            <w:pPr>
              <w:spacing w:before="0"/>
              <w:ind w:left="0"/>
              <w:jc w:val="left"/>
              <w:rPr>
                <w:rFonts w:ascii="Times New Roman" w:hAnsi="Times New Roman"/>
                <w:bCs/>
                <w:color w:val="000000" w:themeColor="text1"/>
                <w:sz w:val="18"/>
                <w:szCs w:val="18"/>
                <w:lang w:val="en-GB" w:eastAsia="en-GB"/>
              </w:rPr>
            </w:pPr>
            <w:r w:rsidRPr="006A5EFC">
              <w:rPr>
                <w:rFonts w:ascii="Times New Roman" w:hAnsi="Times New Roman"/>
                <w:bCs/>
                <w:color w:val="000000" w:themeColor="text1"/>
                <w:sz w:val="18"/>
                <w:szCs w:val="18"/>
                <w:lang w:val="en-GB" w:eastAsia="en-GB"/>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AEB9A" w14:textId="77777777" w:rsidR="007518E4" w:rsidRPr="00832A87" w:rsidRDefault="007518E4" w:rsidP="00E12685">
            <w:pPr>
              <w:spacing w:before="0"/>
              <w:ind w:left="0"/>
              <w:jc w:val="right"/>
              <w:rPr>
                <w:rFonts w:ascii="Times New Roman" w:hAnsi="Times New Roman"/>
                <w:b/>
                <w:bCs/>
                <w:color w:val="000000" w:themeColor="text1"/>
                <w:sz w:val="18"/>
                <w:szCs w:val="18"/>
                <w:lang w:val="en-GB" w:eastAsia="en-GB"/>
              </w:rPr>
            </w:pPr>
            <w:r w:rsidRPr="00832A87">
              <w:rPr>
                <w:rFonts w:ascii="Times New Roman" w:hAnsi="Times New Roman"/>
                <w:b/>
                <w:bCs/>
                <w:color w:val="000000" w:themeColor="text1"/>
                <w:sz w:val="18"/>
                <w:szCs w:val="18"/>
                <w:lang w:val="en-GB" w:eastAsia="en-GB"/>
              </w:rPr>
              <w:t>0.2%</w:t>
            </w:r>
          </w:p>
        </w:tc>
      </w:tr>
    </w:tbl>
    <w:p w14:paraId="5E5F54A7" w14:textId="77777777" w:rsidR="007518E4" w:rsidRDefault="007518E4" w:rsidP="00E12685">
      <w:pPr>
        <w:spacing w:before="0"/>
        <w:ind w:left="0"/>
        <w:rPr>
          <w:rFonts w:ascii="Times New Roman" w:hAnsi="Times New Roman"/>
          <w:b/>
          <w:spacing w:val="-1"/>
          <w:sz w:val="18"/>
          <w:szCs w:val="18"/>
        </w:rPr>
      </w:pPr>
    </w:p>
    <w:p w14:paraId="0A3F6B7B" w14:textId="77777777" w:rsidR="00A44F83" w:rsidRDefault="00A44F83" w:rsidP="00E12685">
      <w:pPr>
        <w:spacing w:before="0"/>
        <w:ind w:left="0"/>
        <w:rPr>
          <w:rFonts w:ascii="Times New Roman" w:hAnsi="Times New Roman"/>
          <w:b/>
          <w:spacing w:val="-1"/>
          <w:sz w:val="18"/>
          <w:szCs w:val="18"/>
        </w:rPr>
      </w:pPr>
    </w:p>
    <w:p w14:paraId="3E0AF4DF" w14:textId="77777777" w:rsidR="00A44F83" w:rsidRDefault="00A44F83" w:rsidP="00E12685">
      <w:pPr>
        <w:spacing w:before="0"/>
        <w:ind w:left="0"/>
        <w:rPr>
          <w:rFonts w:ascii="Times New Roman" w:hAnsi="Times New Roman"/>
          <w:b/>
          <w:spacing w:val="-1"/>
          <w:sz w:val="18"/>
          <w:szCs w:val="18"/>
        </w:rPr>
      </w:pPr>
    </w:p>
    <w:p w14:paraId="4560E8C7" w14:textId="77777777" w:rsidR="00A44F83" w:rsidRDefault="00A44F83" w:rsidP="00E12685">
      <w:pPr>
        <w:spacing w:before="0"/>
        <w:ind w:left="0"/>
        <w:rPr>
          <w:rFonts w:ascii="Times New Roman" w:hAnsi="Times New Roman"/>
          <w:b/>
          <w:spacing w:val="-1"/>
          <w:sz w:val="18"/>
          <w:szCs w:val="18"/>
        </w:rPr>
      </w:pPr>
    </w:p>
    <w:p w14:paraId="31CEE4FF" w14:textId="77777777" w:rsidR="00A44F83" w:rsidRDefault="00A44F83" w:rsidP="00E12685">
      <w:pPr>
        <w:spacing w:before="0"/>
        <w:ind w:left="0"/>
        <w:rPr>
          <w:rFonts w:ascii="Times New Roman" w:hAnsi="Times New Roman"/>
          <w:b/>
          <w:spacing w:val="-1"/>
          <w:sz w:val="18"/>
          <w:szCs w:val="18"/>
        </w:rPr>
      </w:pPr>
    </w:p>
    <w:p w14:paraId="6933E825" w14:textId="77777777" w:rsidR="00A44F83" w:rsidRDefault="00A44F83" w:rsidP="00E12685">
      <w:pPr>
        <w:spacing w:before="0"/>
        <w:ind w:left="0"/>
        <w:rPr>
          <w:rFonts w:ascii="Times New Roman" w:hAnsi="Times New Roman"/>
          <w:b/>
          <w:spacing w:val="-1"/>
          <w:sz w:val="18"/>
          <w:szCs w:val="18"/>
        </w:rPr>
      </w:pPr>
    </w:p>
    <w:p w14:paraId="075DC7A9" w14:textId="77777777" w:rsidR="00A44F83" w:rsidRDefault="00A44F83" w:rsidP="00E12685">
      <w:pPr>
        <w:spacing w:before="0"/>
        <w:ind w:left="0"/>
        <w:rPr>
          <w:rFonts w:ascii="Times New Roman" w:hAnsi="Times New Roman"/>
          <w:b/>
          <w:spacing w:val="-1"/>
          <w:sz w:val="18"/>
          <w:szCs w:val="18"/>
        </w:rPr>
      </w:pPr>
    </w:p>
    <w:p w14:paraId="33C1474E" w14:textId="77777777" w:rsidR="00A44F83" w:rsidRDefault="00A44F83" w:rsidP="00E12685">
      <w:pPr>
        <w:spacing w:before="0"/>
        <w:ind w:left="0"/>
        <w:rPr>
          <w:rFonts w:ascii="Times New Roman" w:hAnsi="Times New Roman"/>
          <w:b/>
          <w:spacing w:val="-1"/>
          <w:sz w:val="18"/>
          <w:szCs w:val="18"/>
        </w:rPr>
      </w:pPr>
    </w:p>
    <w:p w14:paraId="18D95BEC" w14:textId="77777777" w:rsidR="00A44F83" w:rsidRDefault="00A44F83" w:rsidP="00E12685">
      <w:pPr>
        <w:spacing w:before="0"/>
        <w:ind w:left="0"/>
        <w:rPr>
          <w:rFonts w:ascii="Times New Roman" w:hAnsi="Times New Roman"/>
          <w:b/>
          <w:spacing w:val="-1"/>
          <w:sz w:val="18"/>
          <w:szCs w:val="18"/>
        </w:rPr>
      </w:pPr>
    </w:p>
    <w:tbl>
      <w:tblPr>
        <w:tblW w:w="0" w:type="auto"/>
        <w:tblLayout w:type="fixed"/>
        <w:tblCellMar>
          <w:left w:w="70" w:type="dxa"/>
          <w:right w:w="70" w:type="dxa"/>
        </w:tblCellMar>
        <w:tblLook w:val="04A0" w:firstRow="1" w:lastRow="0" w:firstColumn="1" w:lastColumn="0" w:noHBand="0" w:noVBand="1"/>
      </w:tblPr>
      <w:tblGrid>
        <w:gridCol w:w="70"/>
        <w:gridCol w:w="2515"/>
        <w:gridCol w:w="462"/>
        <w:gridCol w:w="713"/>
        <w:gridCol w:w="313"/>
        <w:gridCol w:w="862"/>
        <w:gridCol w:w="238"/>
        <w:gridCol w:w="993"/>
        <w:gridCol w:w="33"/>
        <w:gridCol w:w="1056"/>
        <w:gridCol w:w="141"/>
        <w:gridCol w:w="795"/>
        <w:gridCol w:w="200"/>
        <w:gridCol w:w="626"/>
        <w:gridCol w:w="44"/>
      </w:tblGrid>
      <w:tr w:rsidR="009457F5" w:rsidRPr="005F43BB" w14:paraId="1C26C645" w14:textId="77777777" w:rsidTr="00D737E9">
        <w:trPr>
          <w:trHeight w:val="264"/>
        </w:trPr>
        <w:tc>
          <w:tcPr>
            <w:tcW w:w="25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2561" w14:textId="77777777" w:rsidR="005F43BB" w:rsidRPr="005F43BB" w:rsidRDefault="000310F5" w:rsidP="00D737E9">
            <w:pPr>
              <w:spacing w:before="0"/>
              <w:ind w:left="0"/>
              <w:jc w:val="left"/>
              <w:rPr>
                <w:rFonts w:ascii="Times New Roman" w:hAnsi="Times New Roman"/>
                <w:b/>
                <w:bCs/>
                <w:sz w:val="18"/>
                <w:szCs w:val="18"/>
                <w:lang w:val="fr-FR" w:eastAsia="fr-FR"/>
              </w:rPr>
            </w:pPr>
            <w:r>
              <w:rPr>
                <w:rFonts w:ascii="Times New Roman" w:hAnsi="Times New Roman"/>
                <w:b/>
                <w:bCs/>
                <w:sz w:val="18"/>
                <w:szCs w:val="18"/>
                <w:lang w:val="fr-FR" w:eastAsia="fr-FR"/>
              </w:rPr>
              <w:lastRenderedPageBreak/>
              <w:t>Table 3</w:t>
            </w:r>
            <w:r w:rsidR="005F43BB" w:rsidRPr="005F43BB">
              <w:rPr>
                <w:rFonts w:ascii="Times New Roman" w:hAnsi="Times New Roman"/>
                <w:b/>
                <w:bCs/>
                <w:sz w:val="18"/>
                <w:szCs w:val="18"/>
                <w:lang w:val="fr-FR" w:eastAsia="fr-FR"/>
              </w:rPr>
              <w:t xml:space="preserve"> - Line </w:t>
            </w:r>
            <w:proofErr w:type="spellStart"/>
            <w:r w:rsidR="005F43BB" w:rsidRPr="005F43BB">
              <w:rPr>
                <w:rFonts w:ascii="Times New Roman" w:hAnsi="Times New Roman"/>
                <w:b/>
                <w:bCs/>
                <w:sz w:val="18"/>
                <w:szCs w:val="18"/>
                <w:lang w:val="fr-FR" w:eastAsia="fr-FR"/>
              </w:rPr>
              <w:t>Ministries</w:t>
            </w:r>
            <w:proofErr w:type="spellEnd"/>
          </w:p>
        </w:tc>
        <w:tc>
          <w:tcPr>
            <w:tcW w:w="11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AEE05D"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c>
          <w:tcPr>
            <w:tcW w:w="11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E23FBB"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c>
          <w:tcPr>
            <w:tcW w:w="12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B3AACC"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c>
          <w:tcPr>
            <w:tcW w:w="12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AC20FC"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c>
          <w:tcPr>
            <w:tcW w:w="9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7A4B52"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c>
          <w:tcPr>
            <w:tcW w:w="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A87895"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r>
      <w:tr w:rsidR="009457F5" w:rsidRPr="005F43BB" w14:paraId="52A0DE15"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910C40" w14:textId="77777777" w:rsidR="005F43BB" w:rsidRPr="005F43BB" w:rsidRDefault="005F43BB" w:rsidP="00D737E9">
            <w:pPr>
              <w:spacing w:before="0"/>
              <w:ind w:left="0"/>
              <w:jc w:val="left"/>
              <w:rPr>
                <w:rFonts w:ascii="Times New Roman" w:hAnsi="Times New Roman"/>
                <w:b/>
                <w:bCs/>
                <w:sz w:val="18"/>
                <w:szCs w:val="18"/>
                <w:lang w:val="fr-FR" w:eastAsia="fr-FR"/>
              </w:rPr>
            </w:pPr>
            <w:r w:rsidRPr="005F43BB">
              <w:rPr>
                <w:rFonts w:ascii="Times New Roman" w:hAnsi="Times New Roman"/>
                <w:b/>
                <w:bCs/>
                <w:sz w:val="18"/>
                <w:szCs w:val="18"/>
                <w:lang w:val="fr-FR" w:eastAsia="fr-FR"/>
              </w:rPr>
              <w:t xml:space="preserve">Data for </w:t>
            </w:r>
            <w:proofErr w:type="spellStart"/>
            <w:r w:rsidRPr="005F43BB">
              <w:rPr>
                <w:rFonts w:ascii="Times New Roman" w:hAnsi="Times New Roman"/>
                <w:b/>
                <w:bCs/>
                <w:sz w:val="18"/>
                <w:szCs w:val="18"/>
                <w:lang w:val="fr-FR" w:eastAsia="fr-FR"/>
              </w:rPr>
              <w:t>year</w:t>
            </w:r>
            <w:proofErr w:type="spellEnd"/>
            <w:r w:rsidRPr="005F43BB">
              <w:rPr>
                <w:rFonts w:ascii="Times New Roman" w:hAnsi="Times New Roman"/>
                <w:b/>
                <w:bCs/>
                <w:sz w:val="18"/>
                <w:szCs w:val="18"/>
                <w:lang w:val="fr-FR" w:eastAsia="fr-FR"/>
              </w:rPr>
              <w:t xml:space="preserve"> = </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58FBC27" w14:textId="77777777" w:rsidR="005F43BB" w:rsidRPr="005F43BB" w:rsidRDefault="005F43BB" w:rsidP="005F43BB">
            <w:pPr>
              <w:spacing w:before="0"/>
              <w:ind w:left="0"/>
              <w:jc w:val="right"/>
              <w:rPr>
                <w:rFonts w:ascii="Times New Roman" w:hAnsi="Times New Roman"/>
                <w:b/>
                <w:bCs/>
                <w:sz w:val="18"/>
                <w:szCs w:val="18"/>
                <w:lang w:val="fr-FR" w:eastAsia="fr-FR"/>
              </w:rPr>
            </w:pPr>
            <w:r w:rsidRPr="005F43BB">
              <w:rPr>
                <w:rFonts w:ascii="Times New Roman" w:hAnsi="Times New Roman"/>
                <w:b/>
                <w:bCs/>
                <w:sz w:val="18"/>
                <w:szCs w:val="18"/>
                <w:lang w:val="fr-FR" w:eastAsia="fr-FR"/>
              </w:rPr>
              <w:t>2017</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06321A42" w14:textId="77777777" w:rsidR="005F43BB" w:rsidRPr="005F43BB" w:rsidRDefault="005F43BB" w:rsidP="005F43BB">
            <w:pPr>
              <w:spacing w:before="0"/>
              <w:ind w:left="0"/>
              <w:jc w:val="left"/>
              <w:rPr>
                <w:rFonts w:ascii="Times New Roman" w:hAnsi="Times New Roman"/>
                <w:b/>
                <w:bCs/>
                <w:sz w:val="18"/>
                <w:szCs w:val="18"/>
                <w:lang w:val="fr-FR" w:eastAsia="fr-FR"/>
              </w:rPr>
            </w:pPr>
            <w:r w:rsidRPr="005F43BB">
              <w:rPr>
                <w:rFonts w:ascii="Times New Roman" w:hAnsi="Times New Roman"/>
                <w:b/>
                <w:bCs/>
                <w:sz w:val="18"/>
                <w:szCs w:val="18"/>
                <w:lang w:val="fr-FR" w:eastAsia="fr-FR"/>
              </w:rPr>
              <w:t> </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4B2613A4" w14:textId="77777777" w:rsidR="005F43BB" w:rsidRPr="005F43BB" w:rsidRDefault="005F43BB" w:rsidP="005F43BB">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w:t>
            </w:r>
          </w:p>
        </w:tc>
        <w:tc>
          <w:tcPr>
            <w:tcW w:w="289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ECC673A" w14:textId="77777777" w:rsidR="005F43BB" w:rsidRPr="005F43BB" w:rsidRDefault="005F43BB" w:rsidP="005F43BB">
            <w:pPr>
              <w:spacing w:before="0"/>
              <w:ind w:left="0"/>
              <w:jc w:val="center"/>
              <w:rPr>
                <w:rFonts w:ascii="Times New Roman" w:hAnsi="Times New Roman"/>
                <w:b/>
                <w:bCs/>
                <w:sz w:val="18"/>
                <w:szCs w:val="18"/>
                <w:lang w:val="fr-FR" w:eastAsia="fr-FR"/>
              </w:rPr>
            </w:pPr>
            <w:r w:rsidRPr="005F43BB">
              <w:rPr>
                <w:rFonts w:ascii="Times New Roman" w:hAnsi="Times New Roman"/>
                <w:b/>
                <w:bCs/>
                <w:sz w:val="18"/>
                <w:szCs w:val="18"/>
                <w:lang w:val="fr-FR" w:eastAsia="fr-FR"/>
              </w:rPr>
              <w:t> </w:t>
            </w:r>
          </w:p>
        </w:tc>
      </w:tr>
      <w:tr w:rsidR="009457F5" w:rsidRPr="005F43BB" w14:paraId="6177BB5C"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74A672" w14:textId="77777777" w:rsidR="005F43BB" w:rsidRPr="005F43BB" w:rsidRDefault="005F43BB" w:rsidP="00D737E9">
            <w:pPr>
              <w:spacing w:before="0"/>
              <w:ind w:left="0"/>
              <w:jc w:val="left"/>
              <w:rPr>
                <w:rFonts w:ascii="Times New Roman" w:hAnsi="Times New Roman"/>
                <w:sz w:val="18"/>
                <w:szCs w:val="18"/>
                <w:lang w:val="fr-FR" w:eastAsia="fr-FR"/>
              </w:rPr>
            </w:pPr>
            <w:proofErr w:type="gramStart"/>
            <w:r w:rsidRPr="005F43BB">
              <w:rPr>
                <w:rFonts w:ascii="Times New Roman" w:hAnsi="Times New Roman"/>
                <w:sz w:val="18"/>
                <w:szCs w:val="18"/>
                <w:lang w:val="fr-FR" w:eastAsia="fr-FR"/>
              </w:rPr>
              <w:t>administrative</w:t>
            </w:r>
            <w:proofErr w:type="gramEnd"/>
            <w:r w:rsidRPr="005F43BB">
              <w:rPr>
                <w:rFonts w:ascii="Times New Roman" w:hAnsi="Times New Roman"/>
                <w:sz w:val="18"/>
                <w:szCs w:val="18"/>
                <w:lang w:val="fr-FR" w:eastAsia="fr-FR"/>
              </w:rPr>
              <w:t xml:space="preserve"> or </w:t>
            </w:r>
            <w:proofErr w:type="spellStart"/>
            <w:r w:rsidRPr="005F43BB">
              <w:rPr>
                <w:rFonts w:ascii="Times New Roman" w:hAnsi="Times New Roman"/>
                <w:sz w:val="18"/>
                <w:szCs w:val="18"/>
                <w:lang w:val="fr-FR" w:eastAsia="fr-FR"/>
              </w:rPr>
              <w:t>functional</w:t>
            </w:r>
            <w:proofErr w:type="spell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head</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16221C96" w14:textId="77777777" w:rsidR="005F43BB" w:rsidRPr="005F43BB" w:rsidRDefault="005F43BB" w:rsidP="00D737E9">
            <w:pPr>
              <w:spacing w:before="0"/>
              <w:ind w:left="0"/>
              <w:jc w:val="center"/>
              <w:rPr>
                <w:rFonts w:ascii="Times New Roman" w:hAnsi="Times New Roman"/>
                <w:b/>
                <w:bCs/>
                <w:sz w:val="18"/>
                <w:szCs w:val="18"/>
                <w:lang w:val="fr-FR" w:eastAsia="fr-FR"/>
              </w:rPr>
            </w:pPr>
            <w:proofErr w:type="gramStart"/>
            <w:r w:rsidRPr="005F43BB">
              <w:rPr>
                <w:rFonts w:ascii="Times New Roman" w:hAnsi="Times New Roman"/>
                <w:b/>
                <w:bCs/>
                <w:sz w:val="18"/>
                <w:szCs w:val="18"/>
                <w:lang w:val="fr-FR" w:eastAsia="fr-FR"/>
              </w:rPr>
              <w:t>budget</w:t>
            </w:r>
            <w:proofErr w:type="gram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5AF70AC" w14:textId="77777777" w:rsidR="005F43BB" w:rsidRPr="005F43BB" w:rsidRDefault="005F43BB" w:rsidP="00D737E9">
            <w:pPr>
              <w:spacing w:before="0"/>
              <w:ind w:left="0"/>
              <w:jc w:val="center"/>
              <w:rPr>
                <w:rFonts w:ascii="Times New Roman" w:hAnsi="Times New Roman"/>
                <w:b/>
                <w:bCs/>
                <w:sz w:val="18"/>
                <w:szCs w:val="18"/>
                <w:lang w:val="fr-FR" w:eastAsia="fr-FR"/>
              </w:rPr>
            </w:pPr>
            <w:proofErr w:type="spellStart"/>
            <w:proofErr w:type="gramStart"/>
            <w:r w:rsidRPr="005F43BB">
              <w:rPr>
                <w:rFonts w:ascii="Times New Roman" w:hAnsi="Times New Roman"/>
                <w:b/>
                <w:bCs/>
                <w:sz w:val="18"/>
                <w:szCs w:val="18"/>
                <w:lang w:val="fr-FR" w:eastAsia="fr-FR"/>
              </w:rPr>
              <w:t>actual</w:t>
            </w:r>
            <w:proofErr w:type="spellEnd"/>
            <w:proofErr w:type="gramEnd"/>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26825515" w14:textId="77777777" w:rsidR="005F43BB" w:rsidRPr="005F43BB" w:rsidRDefault="005F43BB" w:rsidP="00D737E9">
            <w:pPr>
              <w:spacing w:before="0"/>
              <w:ind w:left="0"/>
              <w:jc w:val="center"/>
              <w:rPr>
                <w:rFonts w:ascii="Times New Roman" w:hAnsi="Times New Roman"/>
                <w:b/>
                <w:bCs/>
                <w:sz w:val="18"/>
                <w:szCs w:val="18"/>
                <w:lang w:val="fr-FR" w:eastAsia="fr-FR"/>
              </w:rPr>
            </w:pPr>
            <w:proofErr w:type="spellStart"/>
            <w:proofErr w:type="gramStart"/>
            <w:r w:rsidRPr="005F43BB">
              <w:rPr>
                <w:rFonts w:ascii="Times New Roman" w:hAnsi="Times New Roman"/>
                <w:b/>
                <w:bCs/>
                <w:sz w:val="18"/>
                <w:szCs w:val="18"/>
                <w:lang w:val="fr-FR" w:eastAsia="fr-FR"/>
              </w:rPr>
              <w:t>adjusted</w:t>
            </w:r>
            <w:proofErr w:type="spellEnd"/>
            <w:proofErr w:type="gramEnd"/>
            <w:r w:rsidRPr="005F43BB">
              <w:rPr>
                <w:rFonts w:ascii="Times New Roman" w:hAnsi="Times New Roman"/>
                <w:b/>
                <w:bCs/>
                <w:sz w:val="18"/>
                <w:szCs w:val="18"/>
                <w:lang w:val="fr-FR" w:eastAsia="fr-FR"/>
              </w:rPr>
              <w:t xml:space="preserve"> budget</w:t>
            </w: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7106D9A6" w14:textId="77777777" w:rsidR="005F43BB" w:rsidRPr="005F43BB" w:rsidRDefault="005F43BB" w:rsidP="00D737E9">
            <w:pPr>
              <w:spacing w:before="0"/>
              <w:ind w:left="0"/>
              <w:jc w:val="center"/>
              <w:rPr>
                <w:rFonts w:ascii="Times New Roman" w:hAnsi="Times New Roman"/>
                <w:b/>
                <w:bCs/>
                <w:sz w:val="18"/>
                <w:szCs w:val="18"/>
                <w:lang w:val="fr-FR" w:eastAsia="fr-FR"/>
              </w:rPr>
            </w:pPr>
            <w:proofErr w:type="spellStart"/>
            <w:proofErr w:type="gramStart"/>
            <w:r w:rsidRPr="005F43BB">
              <w:rPr>
                <w:rFonts w:ascii="Times New Roman" w:hAnsi="Times New Roman"/>
                <w:b/>
                <w:bCs/>
                <w:sz w:val="18"/>
                <w:szCs w:val="18"/>
                <w:lang w:val="fr-FR" w:eastAsia="fr-FR"/>
              </w:rPr>
              <w:t>deviation</w:t>
            </w:r>
            <w:proofErr w:type="spellEnd"/>
            <w:proofErr w:type="gramEnd"/>
          </w:p>
        </w:tc>
        <w:tc>
          <w:tcPr>
            <w:tcW w:w="995" w:type="dxa"/>
            <w:gridSpan w:val="2"/>
            <w:tcBorders>
              <w:top w:val="nil"/>
              <w:left w:val="nil"/>
              <w:bottom w:val="single" w:sz="4" w:space="0" w:color="auto"/>
              <w:right w:val="single" w:sz="4" w:space="0" w:color="auto"/>
            </w:tcBorders>
            <w:shd w:val="clear" w:color="auto" w:fill="auto"/>
            <w:noWrap/>
            <w:vAlign w:val="bottom"/>
            <w:hideMark/>
          </w:tcPr>
          <w:p w14:paraId="2ED89909" w14:textId="77777777" w:rsidR="005F43BB" w:rsidRPr="005F43BB" w:rsidRDefault="005F43BB" w:rsidP="00D737E9">
            <w:pPr>
              <w:spacing w:before="0"/>
              <w:ind w:left="0"/>
              <w:jc w:val="center"/>
              <w:rPr>
                <w:rFonts w:ascii="Times New Roman" w:hAnsi="Times New Roman"/>
                <w:b/>
                <w:bCs/>
                <w:sz w:val="18"/>
                <w:szCs w:val="18"/>
                <w:lang w:val="fr-FR" w:eastAsia="fr-FR"/>
              </w:rPr>
            </w:pPr>
            <w:proofErr w:type="spellStart"/>
            <w:proofErr w:type="gramStart"/>
            <w:r w:rsidRPr="005F43BB">
              <w:rPr>
                <w:rFonts w:ascii="Times New Roman" w:hAnsi="Times New Roman"/>
                <w:b/>
                <w:bCs/>
                <w:sz w:val="18"/>
                <w:szCs w:val="18"/>
                <w:lang w:val="fr-FR" w:eastAsia="fr-FR"/>
              </w:rPr>
              <w:t>absolute</w:t>
            </w:r>
            <w:proofErr w:type="spellEnd"/>
            <w:proofErr w:type="gramEnd"/>
            <w:r w:rsidRPr="005F43BB">
              <w:rPr>
                <w:rFonts w:ascii="Times New Roman" w:hAnsi="Times New Roman"/>
                <w:b/>
                <w:bCs/>
                <w:sz w:val="18"/>
                <w:szCs w:val="18"/>
                <w:lang w:val="fr-FR" w:eastAsia="fr-FR"/>
              </w:rPr>
              <w:t xml:space="preserve"> </w:t>
            </w:r>
            <w:proofErr w:type="spellStart"/>
            <w:r w:rsidRPr="005F43BB">
              <w:rPr>
                <w:rFonts w:ascii="Times New Roman" w:hAnsi="Times New Roman"/>
                <w:b/>
                <w:bCs/>
                <w:sz w:val="18"/>
                <w:szCs w:val="18"/>
                <w:lang w:val="fr-FR" w:eastAsia="fr-FR"/>
              </w:rPr>
              <w:t>deviation</w:t>
            </w:r>
            <w:proofErr w:type="spellEnd"/>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673BF1E" w14:textId="77777777" w:rsidR="005F43BB" w:rsidRPr="00D737E9" w:rsidRDefault="005F43BB" w:rsidP="00D737E9">
            <w:pPr>
              <w:spacing w:before="0"/>
              <w:ind w:left="0"/>
              <w:jc w:val="center"/>
              <w:rPr>
                <w:rFonts w:ascii="Times New Roman" w:hAnsi="Times New Roman"/>
                <w:bCs/>
                <w:sz w:val="18"/>
                <w:szCs w:val="18"/>
                <w:lang w:val="fr-FR" w:eastAsia="fr-FR"/>
              </w:rPr>
            </w:pPr>
            <w:proofErr w:type="gramStart"/>
            <w:r w:rsidRPr="00D737E9">
              <w:rPr>
                <w:rFonts w:ascii="Times New Roman" w:hAnsi="Times New Roman"/>
                <w:bCs/>
                <w:sz w:val="18"/>
                <w:szCs w:val="18"/>
                <w:lang w:val="fr-FR" w:eastAsia="fr-FR"/>
              </w:rPr>
              <w:t>percent</w:t>
            </w:r>
            <w:proofErr w:type="gramEnd"/>
          </w:p>
        </w:tc>
      </w:tr>
      <w:tr w:rsidR="009457F5" w:rsidRPr="005F43BB" w14:paraId="6EA3D14C"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5BB3FA"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Finance</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E146BD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202,592.00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078FD47"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276,613.00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4C996A2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276,632</w:t>
            </w:r>
          </w:p>
        </w:tc>
        <w:tc>
          <w:tcPr>
            <w:tcW w:w="1230" w:type="dxa"/>
            <w:gridSpan w:val="3"/>
            <w:tcBorders>
              <w:top w:val="nil"/>
              <w:left w:val="nil"/>
              <w:bottom w:val="single" w:sz="4" w:space="0" w:color="auto"/>
              <w:right w:val="single" w:sz="4" w:space="0" w:color="auto"/>
            </w:tcBorders>
            <w:shd w:val="clear" w:color="auto" w:fill="auto"/>
            <w:vAlign w:val="bottom"/>
            <w:hideMark/>
          </w:tcPr>
          <w:p w14:paraId="348A407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74,021.00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6D72CE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74,021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7E3864B"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37%</w:t>
            </w:r>
          </w:p>
        </w:tc>
      </w:tr>
      <w:tr w:rsidR="009457F5" w:rsidRPr="005F43BB" w14:paraId="7454B274"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A139BC"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Planning and Investment</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D30B52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24,851.00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0A209B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49,461.00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435C3B1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49,464</w:t>
            </w:r>
          </w:p>
        </w:tc>
        <w:tc>
          <w:tcPr>
            <w:tcW w:w="1230" w:type="dxa"/>
            <w:gridSpan w:val="3"/>
            <w:tcBorders>
              <w:top w:val="nil"/>
              <w:left w:val="nil"/>
              <w:bottom w:val="single" w:sz="4" w:space="0" w:color="auto"/>
              <w:right w:val="single" w:sz="4" w:space="0" w:color="auto"/>
            </w:tcBorders>
            <w:shd w:val="clear" w:color="auto" w:fill="auto"/>
            <w:vAlign w:val="bottom"/>
            <w:hideMark/>
          </w:tcPr>
          <w:p w14:paraId="44542B1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24,610.00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6C04DDC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24,610</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11BBFFE5"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99%</w:t>
            </w:r>
          </w:p>
        </w:tc>
      </w:tr>
      <w:tr w:rsidR="009457F5" w:rsidRPr="005F43BB" w14:paraId="77048524"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4F0A2B"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Agriculture and </w:t>
            </w:r>
            <w:proofErr w:type="spellStart"/>
            <w:r w:rsidRPr="005F43BB">
              <w:rPr>
                <w:rFonts w:ascii="Times New Roman" w:hAnsi="Times New Roman"/>
                <w:sz w:val="18"/>
                <w:szCs w:val="18"/>
                <w:lang w:val="fr-FR" w:eastAsia="fr-FR"/>
              </w:rPr>
              <w:t>Forestry</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346018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99,775.00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FB5F6F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264,446.00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2CFD71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264,464</w:t>
            </w:r>
          </w:p>
        </w:tc>
        <w:tc>
          <w:tcPr>
            <w:tcW w:w="1230" w:type="dxa"/>
            <w:gridSpan w:val="3"/>
            <w:tcBorders>
              <w:top w:val="nil"/>
              <w:left w:val="nil"/>
              <w:bottom w:val="single" w:sz="4" w:space="0" w:color="auto"/>
              <w:right w:val="single" w:sz="4" w:space="0" w:color="auto"/>
            </w:tcBorders>
            <w:shd w:val="clear" w:color="auto" w:fill="auto"/>
            <w:vAlign w:val="bottom"/>
            <w:hideMark/>
          </w:tcPr>
          <w:p w14:paraId="4A7B6F2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164,671.00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7C636D2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164,671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0D5E558C"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165%</w:t>
            </w:r>
          </w:p>
        </w:tc>
      </w:tr>
      <w:tr w:rsidR="009457F5" w:rsidRPr="005F43BB" w14:paraId="648EE550"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74B982"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Public Works and Transport</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FFD546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132,999.00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49C5C7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1,412,360.00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D93578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1,412,458</w:t>
            </w:r>
          </w:p>
        </w:tc>
        <w:tc>
          <w:tcPr>
            <w:tcW w:w="1230" w:type="dxa"/>
            <w:gridSpan w:val="3"/>
            <w:tcBorders>
              <w:top w:val="nil"/>
              <w:left w:val="nil"/>
              <w:bottom w:val="single" w:sz="4" w:space="0" w:color="auto"/>
              <w:right w:val="single" w:sz="4" w:space="0" w:color="auto"/>
            </w:tcBorders>
            <w:shd w:val="clear" w:color="auto" w:fill="auto"/>
            <w:vAlign w:val="bottom"/>
            <w:hideMark/>
          </w:tcPr>
          <w:p w14:paraId="3890E4C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1,279,361.00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29A4816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1,279,361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70421BC"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962%</w:t>
            </w:r>
          </w:p>
        </w:tc>
      </w:tr>
      <w:tr w:rsidR="009457F5" w:rsidRPr="005F43BB" w14:paraId="57A39082"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001ADB"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Energy and Mining</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41339D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22,413.00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09FF29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175,605.00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32A1E9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175,617</w:t>
            </w:r>
          </w:p>
        </w:tc>
        <w:tc>
          <w:tcPr>
            <w:tcW w:w="1230" w:type="dxa"/>
            <w:gridSpan w:val="3"/>
            <w:tcBorders>
              <w:top w:val="nil"/>
              <w:left w:val="nil"/>
              <w:bottom w:val="single" w:sz="4" w:space="0" w:color="auto"/>
              <w:right w:val="single" w:sz="4" w:space="0" w:color="auto"/>
            </w:tcBorders>
            <w:shd w:val="clear" w:color="auto" w:fill="auto"/>
            <w:vAlign w:val="bottom"/>
            <w:hideMark/>
          </w:tcPr>
          <w:p w14:paraId="71E34B6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153,192.00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7CFDCF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153,192</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C5D055D"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683%</w:t>
            </w:r>
          </w:p>
        </w:tc>
      </w:tr>
      <w:tr w:rsidR="009457F5" w:rsidRPr="005F43BB" w14:paraId="5F08D457"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EBAF42"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Industry</w:t>
            </w:r>
            <w:proofErr w:type="spellEnd"/>
            <w:r w:rsidRPr="005F43BB">
              <w:rPr>
                <w:rFonts w:ascii="Times New Roman" w:hAnsi="Times New Roman"/>
                <w:sz w:val="18"/>
                <w:szCs w:val="18"/>
                <w:lang w:val="fr-FR" w:eastAsia="fr-FR"/>
              </w:rPr>
              <w:t xml:space="preserve"> and Commerce</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4AF3D4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26,458.00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11CDF55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38,910.00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254A588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38,913</w:t>
            </w:r>
          </w:p>
        </w:tc>
        <w:tc>
          <w:tcPr>
            <w:tcW w:w="1230" w:type="dxa"/>
            <w:gridSpan w:val="3"/>
            <w:tcBorders>
              <w:top w:val="nil"/>
              <w:left w:val="nil"/>
              <w:bottom w:val="single" w:sz="4" w:space="0" w:color="auto"/>
              <w:right w:val="single" w:sz="4" w:space="0" w:color="auto"/>
            </w:tcBorders>
            <w:shd w:val="clear" w:color="auto" w:fill="auto"/>
            <w:vAlign w:val="bottom"/>
            <w:hideMark/>
          </w:tcPr>
          <w:p w14:paraId="303252C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12,452.00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159DCD0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12,452</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1CF0BE9"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47%</w:t>
            </w:r>
          </w:p>
        </w:tc>
      </w:tr>
      <w:tr w:rsidR="009457F5" w:rsidRPr="005F43BB" w14:paraId="0C0CD3BD"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C7009E"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Foreign</w:t>
            </w:r>
            <w:proofErr w:type="spell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Affairs</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1D6FA6A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73,820.00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F586AC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269,327.00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5E05D4B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269,346</w:t>
            </w:r>
          </w:p>
        </w:tc>
        <w:tc>
          <w:tcPr>
            <w:tcW w:w="1230" w:type="dxa"/>
            <w:gridSpan w:val="3"/>
            <w:tcBorders>
              <w:top w:val="nil"/>
              <w:left w:val="nil"/>
              <w:bottom w:val="single" w:sz="4" w:space="0" w:color="auto"/>
              <w:right w:val="single" w:sz="4" w:space="0" w:color="auto"/>
            </w:tcBorders>
            <w:shd w:val="clear" w:color="auto" w:fill="auto"/>
            <w:vAlign w:val="bottom"/>
            <w:hideMark/>
          </w:tcPr>
          <w:p w14:paraId="20BDA08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195,507.00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25C4628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195,507</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A042503"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265%</w:t>
            </w:r>
          </w:p>
        </w:tc>
      </w:tr>
      <w:tr w:rsidR="009457F5" w:rsidRPr="005F43BB" w14:paraId="63C5981E"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239FA6"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Justice</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8B080A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38,672.00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644E00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57,933.00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2B5390C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57,937</w:t>
            </w:r>
          </w:p>
        </w:tc>
        <w:tc>
          <w:tcPr>
            <w:tcW w:w="1230" w:type="dxa"/>
            <w:gridSpan w:val="3"/>
            <w:tcBorders>
              <w:top w:val="nil"/>
              <w:left w:val="nil"/>
              <w:bottom w:val="single" w:sz="4" w:space="0" w:color="auto"/>
              <w:right w:val="single" w:sz="4" w:space="0" w:color="auto"/>
            </w:tcBorders>
            <w:shd w:val="clear" w:color="auto" w:fill="auto"/>
            <w:vAlign w:val="bottom"/>
            <w:hideMark/>
          </w:tcPr>
          <w:p w14:paraId="3FE64ED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19,261.00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016BE74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19,261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39344DD"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50%</w:t>
            </w:r>
          </w:p>
        </w:tc>
      </w:tr>
      <w:tr w:rsidR="009457F5" w:rsidRPr="005F43BB" w14:paraId="4443E84E"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69A754"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Information and Culture</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6451D6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87,269.00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484E03D"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112,963.00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89B615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112,971</w:t>
            </w:r>
          </w:p>
        </w:tc>
        <w:tc>
          <w:tcPr>
            <w:tcW w:w="1230" w:type="dxa"/>
            <w:gridSpan w:val="3"/>
            <w:tcBorders>
              <w:top w:val="nil"/>
              <w:left w:val="nil"/>
              <w:bottom w:val="single" w:sz="4" w:space="0" w:color="auto"/>
              <w:right w:val="single" w:sz="4" w:space="0" w:color="auto"/>
            </w:tcBorders>
            <w:shd w:val="clear" w:color="auto" w:fill="auto"/>
            <w:vAlign w:val="bottom"/>
            <w:hideMark/>
          </w:tcPr>
          <w:p w14:paraId="3BF351D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25,694.00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0097F7F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25,694</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1102AB9"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29%</w:t>
            </w:r>
          </w:p>
        </w:tc>
      </w:tr>
      <w:tr w:rsidR="009457F5" w:rsidRPr="005F43BB" w14:paraId="37A92F28"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3C941"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Labor and Social </w:t>
            </w:r>
            <w:proofErr w:type="spellStart"/>
            <w:r w:rsidRPr="005F43BB">
              <w:rPr>
                <w:rFonts w:ascii="Times New Roman" w:hAnsi="Times New Roman"/>
                <w:sz w:val="18"/>
                <w:szCs w:val="18"/>
                <w:lang w:val="fr-FR" w:eastAsia="fr-FR"/>
              </w:rPr>
              <w:t>Welfare</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9BCC96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842,794.00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0A87924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860,740.00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0E04163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860,800</w:t>
            </w:r>
          </w:p>
        </w:tc>
        <w:tc>
          <w:tcPr>
            <w:tcW w:w="1230" w:type="dxa"/>
            <w:gridSpan w:val="3"/>
            <w:tcBorders>
              <w:top w:val="nil"/>
              <w:left w:val="nil"/>
              <w:bottom w:val="single" w:sz="4" w:space="0" w:color="auto"/>
              <w:right w:val="single" w:sz="4" w:space="0" w:color="auto"/>
            </w:tcBorders>
            <w:shd w:val="clear" w:color="auto" w:fill="auto"/>
            <w:vAlign w:val="bottom"/>
            <w:hideMark/>
          </w:tcPr>
          <w:p w14:paraId="4DD54D6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17,946.00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0B07CB0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17,946</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503A3A1"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w:t>
            </w:r>
          </w:p>
        </w:tc>
      </w:tr>
      <w:tr w:rsidR="009457F5" w:rsidRPr="005F43BB" w14:paraId="40BFA21E"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82D8EF"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Education and Sports</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6C94CF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459,601.00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39BBC5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762,524.00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895FA9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762,577</w:t>
            </w:r>
          </w:p>
        </w:tc>
        <w:tc>
          <w:tcPr>
            <w:tcW w:w="1230" w:type="dxa"/>
            <w:gridSpan w:val="3"/>
            <w:tcBorders>
              <w:top w:val="nil"/>
              <w:left w:val="nil"/>
              <w:bottom w:val="single" w:sz="4" w:space="0" w:color="auto"/>
              <w:right w:val="single" w:sz="4" w:space="0" w:color="auto"/>
            </w:tcBorders>
            <w:shd w:val="clear" w:color="auto" w:fill="auto"/>
            <w:vAlign w:val="bottom"/>
            <w:hideMark/>
          </w:tcPr>
          <w:p w14:paraId="4CBABB7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302,923.00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2B754F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302,923</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E438E87"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66%</w:t>
            </w:r>
          </w:p>
        </w:tc>
      </w:tr>
      <w:tr w:rsidR="009457F5" w:rsidRPr="005F43BB" w14:paraId="02E0F1AE"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BB20E8"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Public </w:t>
            </w:r>
            <w:proofErr w:type="spellStart"/>
            <w:r w:rsidRPr="005F43BB">
              <w:rPr>
                <w:rFonts w:ascii="Times New Roman" w:hAnsi="Times New Roman"/>
                <w:sz w:val="18"/>
                <w:szCs w:val="18"/>
                <w:lang w:val="fr-FR" w:eastAsia="fr-FR"/>
              </w:rPr>
              <w:t>Health</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FEA2D1D"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505,496.00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5D17A4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552,874.00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04D510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552,912</w:t>
            </w:r>
          </w:p>
        </w:tc>
        <w:tc>
          <w:tcPr>
            <w:tcW w:w="1230" w:type="dxa"/>
            <w:gridSpan w:val="3"/>
            <w:tcBorders>
              <w:top w:val="nil"/>
              <w:left w:val="nil"/>
              <w:bottom w:val="single" w:sz="4" w:space="0" w:color="auto"/>
              <w:right w:val="single" w:sz="4" w:space="0" w:color="auto"/>
            </w:tcBorders>
            <w:shd w:val="clear" w:color="auto" w:fill="auto"/>
            <w:vAlign w:val="bottom"/>
            <w:hideMark/>
          </w:tcPr>
          <w:p w14:paraId="012A8C2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47,378.00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5850863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47,378</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43AE7F2"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9%</w:t>
            </w:r>
          </w:p>
        </w:tc>
      </w:tr>
      <w:tr w:rsidR="009457F5" w:rsidRPr="005F43BB" w14:paraId="44FA67A1"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A44D9F"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Supreme </w:t>
            </w:r>
            <w:proofErr w:type="spellStart"/>
            <w:r w:rsidRPr="005F43BB">
              <w:rPr>
                <w:rFonts w:ascii="Times New Roman" w:hAnsi="Times New Roman"/>
                <w:sz w:val="18"/>
                <w:szCs w:val="18"/>
                <w:lang w:val="fr-FR" w:eastAsia="fr-FR"/>
              </w:rPr>
              <w:t>People's</w:t>
            </w:r>
            <w:proofErr w:type="spellEnd"/>
            <w:r w:rsidRPr="005F43BB">
              <w:rPr>
                <w:rFonts w:ascii="Times New Roman" w:hAnsi="Times New Roman"/>
                <w:sz w:val="18"/>
                <w:szCs w:val="18"/>
                <w:lang w:val="fr-FR" w:eastAsia="fr-FR"/>
              </w:rPr>
              <w:t xml:space="preserve"> Court</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C42831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61,916.00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EABC7E8"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F2119E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1230" w:type="dxa"/>
            <w:gridSpan w:val="3"/>
            <w:tcBorders>
              <w:top w:val="nil"/>
              <w:left w:val="nil"/>
              <w:bottom w:val="single" w:sz="4" w:space="0" w:color="auto"/>
              <w:right w:val="single" w:sz="4" w:space="0" w:color="auto"/>
            </w:tcBorders>
            <w:shd w:val="clear" w:color="auto" w:fill="auto"/>
            <w:vAlign w:val="bottom"/>
            <w:hideMark/>
          </w:tcPr>
          <w:p w14:paraId="53EB67E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-61,916.00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08FD7FC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61,916</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001BC8FE"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100%</w:t>
            </w:r>
          </w:p>
        </w:tc>
      </w:tr>
      <w:tr w:rsidR="009457F5" w:rsidRPr="005F43BB" w14:paraId="63CD46F3"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665D89"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Public </w:t>
            </w:r>
            <w:proofErr w:type="spellStart"/>
            <w:r w:rsidRPr="005F43BB">
              <w:rPr>
                <w:rFonts w:ascii="Times New Roman" w:hAnsi="Times New Roman"/>
                <w:sz w:val="18"/>
                <w:szCs w:val="18"/>
                <w:lang w:val="fr-FR" w:eastAsia="fr-FR"/>
              </w:rPr>
              <w:t>Prosecutor</w:t>
            </w:r>
            <w:proofErr w:type="spellEnd"/>
            <w:r w:rsidRPr="005F43BB">
              <w:rPr>
                <w:rFonts w:ascii="Times New Roman" w:hAnsi="Times New Roman"/>
                <w:sz w:val="18"/>
                <w:szCs w:val="18"/>
                <w:lang w:val="fr-FR" w:eastAsia="fr-FR"/>
              </w:rPr>
              <w:t xml:space="preserve"> General</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31F350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59,173.00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F42025D"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5261AC2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1230" w:type="dxa"/>
            <w:gridSpan w:val="3"/>
            <w:tcBorders>
              <w:top w:val="nil"/>
              <w:left w:val="nil"/>
              <w:bottom w:val="single" w:sz="4" w:space="0" w:color="auto"/>
              <w:right w:val="single" w:sz="4" w:space="0" w:color="auto"/>
            </w:tcBorders>
            <w:shd w:val="clear" w:color="auto" w:fill="auto"/>
            <w:vAlign w:val="bottom"/>
            <w:hideMark/>
          </w:tcPr>
          <w:p w14:paraId="08167CD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-59,173.00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61BFCC5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59,173</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160F4B6D"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100%</w:t>
            </w:r>
          </w:p>
        </w:tc>
      </w:tr>
      <w:tr w:rsidR="009457F5" w:rsidRPr="005F43BB" w14:paraId="5BBF80C6"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27B483"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Audit Agency</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F44F66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17,308.00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3AEC8EE"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235F2CC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1230" w:type="dxa"/>
            <w:gridSpan w:val="3"/>
            <w:tcBorders>
              <w:top w:val="nil"/>
              <w:left w:val="nil"/>
              <w:bottom w:val="single" w:sz="4" w:space="0" w:color="auto"/>
              <w:right w:val="single" w:sz="4" w:space="0" w:color="auto"/>
            </w:tcBorders>
            <w:shd w:val="clear" w:color="auto" w:fill="auto"/>
            <w:vAlign w:val="bottom"/>
            <w:hideMark/>
          </w:tcPr>
          <w:p w14:paraId="154496D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-17,308.00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035CA9A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17,308</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14E62253"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100%</w:t>
            </w:r>
          </w:p>
        </w:tc>
      </w:tr>
      <w:tr w:rsidR="009457F5" w:rsidRPr="005F43BB" w14:paraId="5EAF5256"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BC15BA"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Science and </w:t>
            </w:r>
            <w:proofErr w:type="spellStart"/>
            <w:r w:rsidRPr="005F43BB">
              <w:rPr>
                <w:rFonts w:ascii="Times New Roman" w:hAnsi="Times New Roman"/>
                <w:sz w:val="18"/>
                <w:szCs w:val="18"/>
                <w:lang w:val="fr-FR" w:eastAsia="fr-FR"/>
              </w:rPr>
              <w:t>Technology</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69A6CB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27,201.00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D48A04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37,574.00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4638FBA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37,577</w:t>
            </w:r>
          </w:p>
        </w:tc>
        <w:tc>
          <w:tcPr>
            <w:tcW w:w="1230" w:type="dxa"/>
            <w:gridSpan w:val="3"/>
            <w:tcBorders>
              <w:top w:val="nil"/>
              <w:left w:val="nil"/>
              <w:bottom w:val="single" w:sz="4" w:space="0" w:color="auto"/>
              <w:right w:val="single" w:sz="4" w:space="0" w:color="auto"/>
            </w:tcBorders>
            <w:shd w:val="clear" w:color="auto" w:fill="auto"/>
            <w:vAlign w:val="bottom"/>
            <w:hideMark/>
          </w:tcPr>
          <w:p w14:paraId="131A792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10,373.00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79A5A37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10,373</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27C8962"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38%</w:t>
            </w:r>
          </w:p>
        </w:tc>
      </w:tr>
      <w:tr w:rsidR="009457F5" w:rsidRPr="005F43BB" w14:paraId="2831D2A2"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F69000"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Water Resource and </w:t>
            </w:r>
            <w:proofErr w:type="spellStart"/>
            <w:r w:rsidRPr="005F43BB">
              <w:rPr>
                <w:rFonts w:ascii="Times New Roman" w:hAnsi="Times New Roman"/>
                <w:sz w:val="18"/>
                <w:szCs w:val="18"/>
                <w:lang w:val="fr-FR" w:eastAsia="fr-FR"/>
              </w:rPr>
              <w:t>Environment</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BFF12E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49,456.00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385565A"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D4E8F2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1230" w:type="dxa"/>
            <w:gridSpan w:val="3"/>
            <w:tcBorders>
              <w:top w:val="nil"/>
              <w:left w:val="nil"/>
              <w:bottom w:val="single" w:sz="4" w:space="0" w:color="auto"/>
              <w:right w:val="single" w:sz="4" w:space="0" w:color="auto"/>
            </w:tcBorders>
            <w:shd w:val="clear" w:color="auto" w:fill="auto"/>
            <w:vAlign w:val="bottom"/>
            <w:hideMark/>
          </w:tcPr>
          <w:p w14:paraId="79D626C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-49,456.00</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2799897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49,456</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83B5B7E"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100%</w:t>
            </w:r>
          </w:p>
        </w:tc>
      </w:tr>
      <w:tr w:rsidR="009457F5" w:rsidRPr="005F43BB" w14:paraId="615C6CC5" w14:textId="77777777" w:rsidTr="00D737E9">
        <w:trPr>
          <w:trHeight w:val="20"/>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6A4CDF"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Other</w:t>
            </w:r>
            <w:proofErr w:type="spell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Organization</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B13CD7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20,571,167.74</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1BD5E5D"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18,272,378.00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8D9E86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18,273,648</w:t>
            </w:r>
          </w:p>
        </w:tc>
        <w:tc>
          <w:tcPr>
            <w:tcW w:w="1230" w:type="dxa"/>
            <w:gridSpan w:val="3"/>
            <w:tcBorders>
              <w:top w:val="nil"/>
              <w:left w:val="nil"/>
              <w:bottom w:val="single" w:sz="4" w:space="0" w:color="auto"/>
              <w:right w:val="single" w:sz="4" w:space="0" w:color="auto"/>
            </w:tcBorders>
            <w:shd w:val="clear" w:color="auto" w:fill="auto"/>
            <w:vAlign w:val="bottom"/>
            <w:hideMark/>
          </w:tcPr>
          <w:p w14:paraId="7AB6AB3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-2,298,789.74</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CD31BF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2,298,790</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59E5D655"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11%</w:t>
            </w:r>
          </w:p>
        </w:tc>
      </w:tr>
      <w:tr w:rsidR="009457F5" w:rsidRPr="005F43BB" w14:paraId="590B713F"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C59F01"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Other</w:t>
            </w:r>
            <w:proofErr w:type="spell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reserve</w:t>
            </w:r>
            <w:proofErr w:type="spellEnd"/>
            <w:r w:rsidRPr="005F43BB">
              <w:rPr>
                <w:rFonts w:ascii="Times New Roman" w:hAnsi="Times New Roman"/>
                <w:sz w:val="18"/>
                <w:szCs w:val="18"/>
                <w:lang w:val="fr-FR" w:eastAsia="fr-FR"/>
              </w:rPr>
              <w:t>)</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0571B040"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5833447"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45798E5D"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0" w:type="dxa"/>
            <w:gridSpan w:val="3"/>
            <w:tcBorders>
              <w:top w:val="nil"/>
              <w:left w:val="nil"/>
              <w:bottom w:val="single" w:sz="4" w:space="0" w:color="auto"/>
              <w:right w:val="single" w:sz="4" w:space="0" w:color="auto"/>
            </w:tcBorders>
            <w:shd w:val="clear" w:color="auto" w:fill="auto"/>
            <w:vAlign w:val="bottom"/>
            <w:hideMark/>
          </w:tcPr>
          <w:p w14:paraId="6357685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2B49BFC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74FBCD1" w14:textId="77777777" w:rsidR="005F43BB" w:rsidRPr="00D737E9" w:rsidRDefault="005F43BB" w:rsidP="00D737E9">
            <w:pPr>
              <w:spacing w:before="0"/>
              <w:ind w:left="0"/>
              <w:jc w:val="center"/>
              <w:rPr>
                <w:rFonts w:ascii="Times New Roman" w:hAnsi="Times New Roman"/>
                <w:bCs/>
                <w:sz w:val="18"/>
                <w:szCs w:val="18"/>
                <w:lang w:val="fr-FR" w:eastAsia="fr-FR"/>
              </w:rPr>
            </w:pPr>
          </w:p>
        </w:tc>
      </w:tr>
      <w:tr w:rsidR="009457F5" w:rsidRPr="005F43BB" w14:paraId="398135A6"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045721" w14:textId="77777777" w:rsidR="005F43BB" w:rsidRPr="005F43BB" w:rsidRDefault="005F43BB" w:rsidP="00D737E9">
            <w:pPr>
              <w:spacing w:before="0"/>
              <w:ind w:left="0"/>
              <w:jc w:val="left"/>
              <w:rPr>
                <w:rFonts w:ascii="Times New Roman" w:hAnsi="Times New Roman"/>
                <w:b/>
                <w:bCs/>
                <w:sz w:val="18"/>
                <w:szCs w:val="18"/>
                <w:lang w:val="fr-FR" w:eastAsia="fr-FR"/>
              </w:rPr>
            </w:pPr>
            <w:r w:rsidRPr="005F43BB">
              <w:rPr>
                <w:rFonts w:ascii="Times New Roman" w:hAnsi="Times New Roman"/>
                <w:b/>
                <w:bCs/>
                <w:sz w:val="18"/>
                <w:szCs w:val="18"/>
                <w:lang w:val="fr-FR" w:eastAsia="fr-FR"/>
              </w:rPr>
              <w:t>Provinces</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C8F4D46"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509470C9"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9B7C0AF"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4967E878"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24E16D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8CF0860" w14:textId="77777777" w:rsidR="005F43BB" w:rsidRPr="00D737E9" w:rsidRDefault="005F43BB" w:rsidP="00D737E9">
            <w:pPr>
              <w:spacing w:before="0"/>
              <w:ind w:left="0"/>
              <w:jc w:val="center"/>
              <w:rPr>
                <w:rFonts w:ascii="Times New Roman" w:hAnsi="Times New Roman"/>
                <w:bCs/>
                <w:sz w:val="18"/>
                <w:szCs w:val="18"/>
                <w:lang w:val="fr-FR" w:eastAsia="fr-FR"/>
              </w:rPr>
            </w:pPr>
          </w:p>
        </w:tc>
      </w:tr>
      <w:tr w:rsidR="009457F5" w:rsidRPr="005F43BB" w14:paraId="4B16B5EA"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F3F500"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Vientiane Capital City</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60AD6B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639,399.95</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08DC22E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654,787.00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00335AB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654,832</w:t>
            </w:r>
          </w:p>
        </w:tc>
        <w:tc>
          <w:tcPr>
            <w:tcW w:w="1230" w:type="dxa"/>
            <w:gridSpan w:val="3"/>
            <w:tcBorders>
              <w:top w:val="nil"/>
              <w:left w:val="nil"/>
              <w:bottom w:val="single" w:sz="4" w:space="0" w:color="auto"/>
              <w:right w:val="single" w:sz="4" w:space="0" w:color="auto"/>
            </w:tcBorders>
            <w:shd w:val="clear" w:color="auto" w:fill="auto"/>
            <w:vAlign w:val="bottom"/>
            <w:hideMark/>
          </w:tcPr>
          <w:p w14:paraId="4D2B3EA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15,387.05</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0F0F33E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15,387</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55482094"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w:t>
            </w:r>
          </w:p>
        </w:tc>
      </w:tr>
      <w:tr w:rsidR="009457F5" w:rsidRPr="005F43BB" w14:paraId="7BE76849"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4DBE48"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Phongsaly</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E8995B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345,988.21</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5F40705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343,824.00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462330B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343,848</w:t>
            </w:r>
          </w:p>
        </w:tc>
        <w:tc>
          <w:tcPr>
            <w:tcW w:w="1230" w:type="dxa"/>
            <w:gridSpan w:val="3"/>
            <w:tcBorders>
              <w:top w:val="nil"/>
              <w:left w:val="nil"/>
              <w:bottom w:val="single" w:sz="4" w:space="0" w:color="auto"/>
              <w:right w:val="single" w:sz="4" w:space="0" w:color="auto"/>
            </w:tcBorders>
            <w:shd w:val="clear" w:color="auto" w:fill="auto"/>
            <w:vAlign w:val="bottom"/>
            <w:hideMark/>
          </w:tcPr>
          <w:p w14:paraId="4F10DEA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-2,164.21</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5539B3E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2,164</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1B6C670"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w:t>
            </w:r>
          </w:p>
        </w:tc>
      </w:tr>
      <w:tr w:rsidR="009457F5" w:rsidRPr="005F43BB" w14:paraId="6B70F4FE"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98C229"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 xml:space="preserve">Luang </w:t>
            </w:r>
            <w:proofErr w:type="spellStart"/>
            <w:r w:rsidRPr="005F43BB">
              <w:rPr>
                <w:rFonts w:ascii="Times New Roman" w:hAnsi="Times New Roman"/>
                <w:sz w:val="18"/>
                <w:szCs w:val="18"/>
                <w:lang w:val="fr-FR" w:eastAsia="fr-FR"/>
              </w:rPr>
              <w:t>Namtha</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A5D92A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359,096.68</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32D0294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342,130.00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76CD228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342,154</w:t>
            </w:r>
          </w:p>
        </w:tc>
        <w:tc>
          <w:tcPr>
            <w:tcW w:w="1230" w:type="dxa"/>
            <w:gridSpan w:val="3"/>
            <w:tcBorders>
              <w:top w:val="nil"/>
              <w:left w:val="nil"/>
              <w:bottom w:val="single" w:sz="4" w:space="0" w:color="auto"/>
              <w:right w:val="single" w:sz="4" w:space="0" w:color="auto"/>
            </w:tcBorders>
            <w:shd w:val="clear" w:color="auto" w:fill="auto"/>
            <w:vAlign w:val="bottom"/>
            <w:hideMark/>
          </w:tcPr>
          <w:p w14:paraId="36B2475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-16,966.68</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7066EA2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16,967</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730EFEC"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5%</w:t>
            </w:r>
          </w:p>
        </w:tc>
      </w:tr>
      <w:tr w:rsidR="009457F5" w:rsidRPr="005F43BB" w14:paraId="68D34D47"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73A051"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Oudomxay</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9DA40E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446,620.58</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24F9CDD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444,763.00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E599F3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444,794</w:t>
            </w:r>
          </w:p>
        </w:tc>
        <w:tc>
          <w:tcPr>
            <w:tcW w:w="1230" w:type="dxa"/>
            <w:gridSpan w:val="3"/>
            <w:tcBorders>
              <w:top w:val="nil"/>
              <w:left w:val="nil"/>
              <w:bottom w:val="single" w:sz="4" w:space="0" w:color="auto"/>
              <w:right w:val="single" w:sz="4" w:space="0" w:color="auto"/>
            </w:tcBorders>
            <w:shd w:val="clear" w:color="auto" w:fill="auto"/>
            <w:vAlign w:val="bottom"/>
            <w:hideMark/>
          </w:tcPr>
          <w:p w14:paraId="6F3E0E7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-1,857.58</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ABD02D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1,858</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00236481"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0%</w:t>
            </w:r>
          </w:p>
        </w:tc>
      </w:tr>
      <w:tr w:rsidR="009457F5" w:rsidRPr="005F43BB" w14:paraId="02BFEF6F"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488147"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Bokeo</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194328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303,755.37</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1D63EFB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293,891.00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DF0049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293,911</w:t>
            </w:r>
          </w:p>
        </w:tc>
        <w:tc>
          <w:tcPr>
            <w:tcW w:w="1230" w:type="dxa"/>
            <w:gridSpan w:val="3"/>
            <w:tcBorders>
              <w:top w:val="nil"/>
              <w:left w:val="nil"/>
              <w:bottom w:val="single" w:sz="4" w:space="0" w:color="auto"/>
              <w:right w:val="single" w:sz="4" w:space="0" w:color="auto"/>
            </w:tcBorders>
            <w:shd w:val="clear" w:color="auto" w:fill="auto"/>
            <w:vAlign w:val="bottom"/>
            <w:hideMark/>
          </w:tcPr>
          <w:p w14:paraId="1BEBF44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-9,864.37</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607648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9,864</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4A9020A"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3%</w:t>
            </w:r>
          </w:p>
        </w:tc>
      </w:tr>
      <w:tr w:rsidR="009457F5" w:rsidRPr="005F43BB" w14:paraId="41FA91FC"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5138D6"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Luang Prabang</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EFE367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683,225.26</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797C8A6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638,757.00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9D7B37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638,801</w:t>
            </w:r>
          </w:p>
        </w:tc>
        <w:tc>
          <w:tcPr>
            <w:tcW w:w="1230" w:type="dxa"/>
            <w:gridSpan w:val="3"/>
            <w:tcBorders>
              <w:top w:val="nil"/>
              <w:left w:val="nil"/>
              <w:bottom w:val="single" w:sz="4" w:space="0" w:color="auto"/>
              <w:right w:val="single" w:sz="4" w:space="0" w:color="auto"/>
            </w:tcBorders>
            <w:shd w:val="clear" w:color="auto" w:fill="auto"/>
            <w:vAlign w:val="bottom"/>
            <w:hideMark/>
          </w:tcPr>
          <w:p w14:paraId="230BDE4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-44,468.26</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195B16A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44,468</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568185E5"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7%</w:t>
            </w:r>
          </w:p>
        </w:tc>
      </w:tr>
      <w:tr w:rsidR="009457F5" w:rsidRPr="005F43BB" w14:paraId="44F55F97"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BF4AB0"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Huaphan</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9A1091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520,577.74</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31E7B32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642,811.00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20D1486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642,856</w:t>
            </w:r>
          </w:p>
        </w:tc>
        <w:tc>
          <w:tcPr>
            <w:tcW w:w="1230" w:type="dxa"/>
            <w:gridSpan w:val="3"/>
            <w:tcBorders>
              <w:top w:val="nil"/>
              <w:left w:val="nil"/>
              <w:bottom w:val="single" w:sz="4" w:space="0" w:color="auto"/>
              <w:right w:val="single" w:sz="4" w:space="0" w:color="auto"/>
            </w:tcBorders>
            <w:shd w:val="clear" w:color="auto" w:fill="auto"/>
            <w:vAlign w:val="bottom"/>
            <w:hideMark/>
          </w:tcPr>
          <w:p w14:paraId="17D41BD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122,233.26</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F3DFC2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122,233</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8000CBC"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23%</w:t>
            </w:r>
          </w:p>
        </w:tc>
      </w:tr>
      <w:tr w:rsidR="009457F5" w:rsidRPr="005F43BB" w14:paraId="794BCF82"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60EEC9"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Sayabouly</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5B5611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534,343.32</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7A59D76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537,127.00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3A8E7B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537,164</w:t>
            </w:r>
          </w:p>
        </w:tc>
        <w:tc>
          <w:tcPr>
            <w:tcW w:w="1230" w:type="dxa"/>
            <w:gridSpan w:val="3"/>
            <w:tcBorders>
              <w:top w:val="nil"/>
              <w:left w:val="nil"/>
              <w:bottom w:val="single" w:sz="4" w:space="0" w:color="auto"/>
              <w:right w:val="single" w:sz="4" w:space="0" w:color="auto"/>
            </w:tcBorders>
            <w:shd w:val="clear" w:color="auto" w:fill="auto"/>
            <w:vAlign w:val="bottom"/>
            <w:hideMark/>
          </w:tcPr>
          <w:p w14:paraId="61CEA0A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2,783.68</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EF6684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2,784</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5E0B79C8"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w:t>
            </w:r>
          </w:p>
        </w:tc>
      </w:tr>
      <w:tr w:rsidR="009457F5" w:rsidRPr="005F43BB" w14:paraId="5C1D4A17"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64B6F8"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XiengKhouang</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ECC34F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511,632.62</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2B18BEB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584,598.00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F5994B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584,639</w:t>
            </w:r>
          </w:p>
        </w:tc>
        <w:tc>
          <w:tcPr>
            <w:tcW w:w="1230" w:type="dxa"/>
            <w:gridSpan w:val="3"/>
            <w:tcBorders>
              <w:top w:val="nil"/>
              <w:left w:val="nil"/>
              <w:bottom w:val="single" w:sz="4" w:space="0" w:color="auto"/>
              <w:right w:val="single" w:sz="4" w:space="0" w:color="auto"/>
            </w:tcBorders>
            <w:shd w:val="clear" w:color="auto" w:fill="auto"/>
            <w:vAlign w:val="bottom"/>
            <w:hideMark/>
          </w:tcPr>
          <w:p w14:paraId="5AAA7A8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72,965.38</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592B95A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72,965</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8186D12"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14%</w:t>
            </w:r>
          </w:p>
        </w:tc>
      </w:tr>
      <w:tr w:rsidR="009457F5" w:rsidRPr="005F43BB" w14:paraId="0696ED90"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B04C9D"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Vientiane province</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0878115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625,614.62</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013DABB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230,031.00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5F264E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230,047</w:t>
            </w:r>
          </w:p>
        </w:tc>
        <w:tc>
          <w:tcPr>
            <w:tcW w:w="1230" w:type="dxa"/>
            <w:gridSpan w:val="3"/>
            <w:tcBorders>
              <w:top w:val="nil"/>
              <w:left w:val="nil"/>
              <w:bottom w:val="single" w:sz="4" w:space="0" w:color="auto"/>
              <w:right w:val="single" w:sz="4" w:space="0" w:color="auto"/>
            </w:tcBorders>
            <w:shd w:val="clear" w:color="auto" w:fill="auto"/>
            <w:vAlign w:val="bottom"/>
            <w:hideMark/>
          </w:tcPr>
          <w:p w14:paraId="2F15B35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-395,583.62</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6E8D98C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395,584</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92AB60D"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63%</w:t>
            </w:r>
          </w:p>
        </w:tc>
      </w:tr>
      <w:tr w:rsidR="009457F5" w:rsidRPr="005F43BB" w14:paraId="36BE011B"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2462CF"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Xaysomboun</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79EF938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268,886.11</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76FCD88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591,437.00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5D0B650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591,478</w:t>
            </w:r>
          </w:p>
        </w:tc>
        <w:tc>
          <w:tcPr>
            <w:tcW w:w="1230" w:type="dxa"/>
            <w:gridSpan w:val="3"/>
            <w:tcBorders>
              <w:top w:val="nil"/>
              <w:left w:val="nil"/>
              <w:bottom w:val="single" w:sz="4" w:space="0" w:color="auto"/>
              <w:right w:val="single" w:sz="4" w:space="0" w:color="auto"/>
            </w:tcBorders>
            <w:shd w:val="clear" w:color="auto" w:fill="auto"/>
            <w:vAlign w:val="bottom"/>
            <w:hideMark/>
          </w:tcPr>
          <w:p w14:paraId="192F50A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322,550.89</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735D65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322,551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76D4A08"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120%</w:t>
            </w:r>
          </w:p>
        </w:tc>
      </w:tr>
      <w:tr w:rsidR="009457F5" w:rsidRPr="005F43BB" w14:paraId="15DED663"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3D2760"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Bolikhamsay</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F1C5B0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488,357.32</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2DDDDF0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474,258.00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3C12F1D"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474,291</w:t>
            </w:r>
          </w:p>
        </w:tc>
        <w:tc>
          <w:tcPr>
            <w:tcW w:w="1230" w:type="dxa"/>
            <w:gridSpan w:val="3"/>
            <w:tcBorders>
              <w:top w:val="nil"/>
              <w:left w:val="nil"/>
              <w:bottom w:val="single" w:sz="4" w:space="0" w:color="auto"/>
              <w:right w:val="single" w:sz="4" w:space="0" w:color="auto"/>
            </w:tcBorders>
            <w:shd w:val="clear" w:color="auto" w:fill="auto"/>
            <w:vAlign w:val="bottom"/>
            <w:hideMark/>
          </w:tcPr>
          <w:p w14:paraId="153927C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-14,099.32</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CB7D8A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14,099</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3FE8270"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3%</w:t>
            </w:r>
          </w:p>
        </w:tc>
      </w:tr>
      <w:tr w:rsidR="009457F5" w:rsidRPr="005F43BB" w14:paraId="72E53A33"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D34352"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Khammouane</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3CA72D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522,096.53</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68A4519C"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559,164.00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02DBADA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559,203</w:t>
            </w:r>
          </w:p>
        </w:tc>
        <w:tc>
          <w:tcPr>
            <w:tcW w:w="1230" w:type="dxa"/>
            <w:gridSpan w:val="3"/>
            <w:tcBorders>
              <w:top w:val="nil"/>
              <w:left w:val="nil"/>
              <w:bottom w:val="single" w:sz="4" w:space="0" w:color="auto"/>
              <w:right w:val="single" w:sz="4" w:space="0" w:color="auto"/>
            </w:tcBorders>
            <w:shd w:val="clear" w:color="auto" w:fill="auto"/>
            <w:vAlign w:val="bottom"/>
            <w:hideMark/>
          </w:tcPr>
          <w:p w14:paraId="40A1D3A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37,067.47</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1B41B4C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37,067</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2C0A0CA"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7%</w:t>
            </w:r>
          </w:p>
        </w:tc>
      </w:tr>
      <w:tr w:rsidR="009457F5" w:rsidRPr="005F43BB" w14:paraId="1A253AF9"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F6A80B" w14:textId="77777777" w:rsidR="005F43BB" w:rsidRPr="005F43BB" w:rsidRDefault="005F43BB" w:rsidP="00D737E9">
            <w:pPr>
              <w:spacing w:before="0"/>
              <w:ind w:left="0"/>
              <w:jc w:val="left"/>
              <w:rPr>
                <w:rFonts w:ascii="Times New Roman" w:hAnsi="Times New Roman"/>
                <w:sz w:val="18"/>
                <w:szCs w:val="18"/>
                <w:lang w:val="fr-FR" w:eastAsia="fr-FR"/>
              </w:rPr>
            </w:pPr>
            <w:r w:rsidRPr="005F43BB">
              <w:rPr>
                <w:rFonts w:ascii="Times New Roman" w:hAnsi="Times New Roman"/>
                <w:sz w:val="18"/>
                <w:szCs w:val="18"/>
                <w:lang w:val="fr-FR" w:eastAsia="fr-FR"/>
              </w:rPr>
              <w:t>Savannakhet</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7998F0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866,041.22</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1910E20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885,963.00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7BAE76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886,025</w:t>
            </w:r>
          </w:p>
        </w:tc>
        <w:tc>
          <w:tcPr>
            <w:tcW w:w="1230" w:type="dxa"/>
            <w:gridSpan w:val="3"/>
            <w:tcBorders>
              <w:top w:val="nil"/>
              <w:left w:val="nil"/>
              <w:bottom w:val="single" w:sz="4" w:space="0" w:color="auto"/>
              <w:right w:val="single" w:sz="4" w:space="0" w:color="auto"/>
            </w:tcBorders>
            <w:shd w:val="clear" w:color="auto" w:fill="auto"/>
            <w:vAlign w:val="bottom"/>
            <w:hideMark/>
          </w:tcPr>
          <w:p w14:paraId="184C264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19,921.78</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C6411D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19,922</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60CF523"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w:t>
            </w:r>
          </w:p>
        </w:tc>
      </w:tr>
      <w:tr w:rsidR="009457F5" w:rsidRPr="005F43BB" w14:paraId="33260090"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543495"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Saravane</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671EE9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435,525.58</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4BDB65C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430,074.00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3ADD843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430,104</w:t>
            </w:r>
          </w:p>
        </w:tc>
        <w:tc>
          <w:tcPr>
            <w:tcW w:w="1230" w:type="dxa"/>
            <w:gridSpan w:val="3"/>
            <w:tcBorders>
              <w:top w:val="nil"/>
              <w:left w:val="nil"/>
              <w:bottom w:val="single" w:sz="4" w:space="0" w:color="auto"/>
              <w:right w:val="single" w:sz="4" w:space="0" w:color="auto"/>
            </w:tcBorders>
            <w:shd w:val="clear" w:color="auto" w:fill="auto"/>
            <w:vAlign w:val="bottom"/>
            <w:hideMark/>
          </w:tcPr>
          <w:p w14:paraId="5F2575BD"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-5,451.58</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B22AC0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5,452</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C2D5BC2"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1%</w:t>
            </w:r>
          </w:p>
        </w:tc>
      </w:tr>
      <w:tr w:rsidR="009457F5" w:rsidRPr="005F43BB" w14:paraId="7C8A0036"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F05B0B"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Sekong</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6E1A0D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402,918.21</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58E35A6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771,116.00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250EF6A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771,170</w:t>
            </w:r>
          </w:p>
        </w:tc>
        <w:tc>
          <w:tcPr>
            <w:tcW w:w="1230" w:type="dxa"/>
            <w:gridSpan w:val="3"/>
            <w:tcBorders>
              <w:top w:val="nil"/>
              <w:left w:val="nil"/>
              <w:bottom w:val="single" w:sz="4" w:space="0" w:color="auto"/>
              <w:right w:val="single" w:sz="4" w:space="0" w:color="auto"/>
            </w:tcBorders>
            <w:shd w:val="clear" w:color="auto" w:fill="auto"/>
            <w:vAlign w:val="bottom"/>
            <w:hideMark/>
          </w:tcPr>
          <w:p w14:paraId="4A19667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368,197.79</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B7BEDF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368,198</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C6512AA"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91%</w:t>
            </w:r>
          </w:p>
        </w:tc>
      </w:tr>
      <w:tr w:rsidR="009457F5" w:rsidRPr="005F43BB" w14:paraId="62B45D52"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370C94"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Champasack</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BEA786F"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767,307.26</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2D1B1F0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383,787.00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04822E2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383,814</w:t>
            </w:r>
          </w:p>
        </w:tc>
        <w:tc>
          <w:tcPr>
            <w:tcW w:w="1230" w:type="dxa"/>
            <w:gridSpan w:val="3"/>
            <w:tcBorders>
              <w:top w:val="nil"/>
              <w:left w:val="nil"/>
              <w:bottom w:val="single" w:sz="4" w:space="0" w:color="auto"/>
              <w:right w:val="single" w:sz="4" w:space="0" w:color="auto"/>
            </w:tcBorders>
            <w:shd w:val="clear" w:color="auto" w:fill="auto"/>
            <w:vAlign w:val="bottom"/>
            <w:hideMark/>
          </w:tcPr>
          <w:p w14:paraId="11325E00"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-383,520.26</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544CDDD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383,520</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3E6A77E"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50%</w:t>
            </w:r>
          </w:p>
        </w:tc>
      </w:tr>
      <w:tr w:rsidR="009457F5" w:rsidRPr="005F43BB" w14:paraId="77364A03"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6CF6BE"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r w:rsidRPr="005F43BB">
              <w:rPr>
                <w:rFonts w:ascii="Times New Roman" w:hAnsi="Times New Roman"/>
                <w:sz w:val="18"/>
                <w:szCs w:val="18"/>
                <w:lang w:val="fr-FR" w:eastAsia="fr-FR"/>
              </w:rPr>
              <w:t>Attapue</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3B42BCB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347,624.68</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0A4E0B8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449,756.00</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F1CEE1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449,787</w:t>
            </w:r>
          </w:p>
        </w:tc>
        <w:tc>
          <w:tcPr>
            <w:tcW w:w="1230" w:type="dxa"/>
            <w:gridSpan w:val="3"/>
            <w:tcBorders>
              <w:top w:val="nil"/>
              <w:left w:val="nil"/>
              <w:bottom w:val="single" w:sz="4" w:space="0" w:color="auto"/>
              <w:right w:val="single" w:sz="4" w:space="0" w:color="auto"/>
            </w:tcBorders>
            <w:shd w:val="clear" w:color="auto" w:fill="auto"/>
            <w:vAlign w:val="bottom"/>
            <w:hideMark/>
          </w:tcPr>
          <w:p w14:paraId="43E7D7F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102,131.32</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0548A93"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102,131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6550890" w14:textId="77777777" w:rsidR="005F43BB" w:rsidRPr="00D737E9" w:rsidRDefault="005F43BB" w:rsidP="00D737E9">
            <w:pPr>
              <w:spacing w:before="0"/>
              <w:ind w:left="0"/>
              <w:jc w:val="center"/>
              <w:rPr>
                <w:rFonts w:ascii="Times New Roman" w:hAnsi="Times New Roman"/>
                <w:bCs/>
                <w:sz w:val="18"/>
                <w:szCs w:val="18"/>
                <w:lang w:val="fr-FR" w:eastAsia="fr-FR"/>
              </w:rPr>
            </w:pPr>
            <w:r w:rsidRPr="00D737E9">
              <w:rPr>
                <w:rFonts w:ascii="Times New Roman" w:hAnsi="Times New Roman"/>
                <w:bCs/>
                <w:sz w:val="18"/>
                <w:szCs w:val="18"/>
                <w:lang w:val="fr-FR" w:eastAsia="fr-FR"/>
              </w:rPr>
              <w:t>29%</w:t>
            </w:r>
          </w:p>
        </w:tc>
      </w:tr>
      <w:tr w:rsidR="009457F5" w:rsidRPr="005F43BB" w14:paraId="4A13B2AF"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23CCA" w14:textId="77777777" w:rsidR="005F43BB" w:rsidRPr="005F43BB" w:rsidRDefault="005F43BB" w:rsidP="00D737E9">
            <w:pPr>
              <w:spacing w:before="0"/>
              <w:ind w:left="0"/>
              <w:jc w:val="left"/>
              <w:rPr>
                <w:rFonts w:ascii="Times New Roman" w:hAnsi="Times New Roman"/>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EA2FA35"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D65A196"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EF4EBA2"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0" w:type="dxa"/>
            <w:gridSpan w:val="3"/>
            <w:tcBorders>
              <w:top w:val="nil"/>
              <w:left w:val="nil"/>
              <w:bottom w:val="single" w:sz="4" w:space="0" w:color="auto"/>
              <w:right w:val="single" w:sz="4" w:space="0" w:color="auto"/>
            </w:tcBorders>
            <w:shd w:val="clear" w:color="auto" w:fill="auto"/>
            <w:vAlign w:val="bottom"/>
            <w:hideMark/>
          </w:tcPr>
          <w:p w14:paraId="35006E29"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6C8ED93C"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F30B16F"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9457F5" w:rsidRPr="005F43BB" w14:paraId="65A3F928"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BAC8BA"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proofErr w:type="gramStart"/>
            <w:r w:rsidRPr="005F43BB">
              <w:rPr>
                <w:rFonts w:ascii="Times New Roman" w:hAnsi="Times New Roman"/>
                <w:sz w:val="18"/>
                <w:szCs w:val="18"/>
                <w:lang w:val="fr-FR" w:eastAsia="fr-FR"/>
              </w:rPr>
              <w:t>allocated</w:t>
            </w:r>
            <w:proofErr w:type="spellEnd"/>
            <w:proofErr w:type="gram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expenditure</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48B369A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32,371,973</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5E8FCAB"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32,401,982</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7631ED2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32,404,234</w:t>
            </w: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74640AD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-233,274.7</w:t>
            </w: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D00EF4A"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4,740,010.7</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7E8B63C" w14:textId="77777777" w:rsidR="005F43BB" w:rsidRPr="005F43BB" w:rsidRDefault="005F43BB" w:rsidP="00D737E9">
            <w:pPr>
              <w:spacing w:before="0"/>
              <w:ind w:left="0"/>
              <w:jc w:val="center"/>
              <w:rPr>
                <w:rFonts w:ascii="Times New Roman" w:hAnsi="Times New Roman"/>
                <w:b/>
                <w:bCs/>
                <w:sz w:val="18"/>
                <w:szCs w:val="18"/>
                <w:lang w:val="fr-FR" w:eastAsia="fr-FR"/>
              </w:rPr>
            </w:pPr>
            <w:r w:rsidRPr="005F43BB">
              <w:rPr>
                <w:rFonts w:ascii="Times New Roman" w:hAnsi="Times New Roman"/>
                <w:b/>
                <w:bCs/>
                <w:sz w:val="18"/>
                <w:szCs w:val="18"/>
                <w:lang w:val="fr-FR" w:eastAsia="fr-FR"/>
              </w:rPr>
              <w:t>14.6%</w:t>
            </w:r>
          </w:p>
        </w:tc>
      </w:tr>
      <w:tr w:rsidR="009457F5" w:rsidRPr="005F43BB" w14:paraId="4D23040C"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9A59CF"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proofErr w:type="gramStart"/>
            <w:r w:rsidRPr="005F43BB">
              <w:rPr>
                <w:rFonts w:ascii="Times New Roman" w:hAnsi="Times New Roman"/>
                <w:sz w:val="18"/>
                <w:szCs w:val="18"/>
                <w:lang w:val="fr-FR" w:eastAsia="fr-FR"/>
              </w:rPr>
              <w:t>interests</w:t>
            </w:r>
            <w:proofErr w:type="spellEnd"/>
            <w:proofErr w:type="gram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627431B7"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1,389,000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1EA41951"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1,382,519</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186BF81E"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1,382,519</w:t>
            </w: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011A5984"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6AE8BC6C"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D916029"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9457F5" w:rsidRPr="005F43BB" w14:paraId="400A2CE7"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5F23A3"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proofErr w:type="gramStart"/>
            <w:r w:rsidRPr="005F43BB">
              <w:rPr>
                <w:rFonts w:ascii="Times New Roman" w:hAnsi="Times New Roman"/>
                <w:sz w:val="18"/>
                <w:szCs w:val="18"/>
                <w:lang w:val="fr-FR" w:eastAsia="fr-FR"/>
              </w:rPr>
              <w:t>contingency</w:t>
            </w:r>
            <w:proofErr w:type="spellEnd"/>
            <w:proofErr w:type="gram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03E717E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70,000</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38CE424"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48,823</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5F19102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48,823</w:t>
            </w: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5F8D37D4"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47A3986E"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A1B9AAF"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9457F5" w:rsidRPr="005F43BB" w14:paraId="0800AB8C"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696106" w14:textId="77777777" w:rsidR="005F43BB" w:rsidRPr="005F43BB" w:rsidRDefault="005F43BB" w:rsidP="00D737E9">
            <w:pPr>
              <w:spacing w:before="0"/>
              <w:ind w:left="0"/>
              <w:jc w:val="left"/>
              <w:rPr>
                <w:rFonts w:ascii="Times New Roman" w:hAnsi="Times New Roman"/>
                <w:sz w:val="18"/>
                <w:szCs w:val="18"/>
                <w:lang w:val="fr-FR" w:eastAsia="fr-FR"/>
              </w:rPr>
            </w:pPr>
            <w:proofErr w:type="gramStart"/>
            <w:r w:rsidRPr="005F43BB">
              <w:rPr>
                <w:rFonts w:ascii="Times New Roman" w:hAnsi="Times New Roman"/>
                <w:sz w:val="18"/>
                <w:szCs w:val="18"/>
                <w:lang w:val="fr-FR" w:eastAsia="fr-FR"/>
              </w:rPr>
              <w:t>total</w:t>
            </w:r>
            <w:proofErr w:type="gram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expenditure</w:t>
            </w:r>
            <w:proofErr w:type="spellEnd"/>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2BC0B7B" w14:textId="77777777" w:rsidR="005F43BB" w:rsidRPr="005F43BB" w:rsidRDefault="005F43BB" w:rsidP="00D737E9">
            <w:pPr>
              <w:spacing w:before="0"/>
              <w:ind w:left="0"/>
              <w:jc w:val="center"/>
              <w:rPr>
                <w:rFonts w:ascii="Times New Roman" w:hAnsi="Times New Roman"/>
                <w:b/>
                <w:bCs/>
                <w:sz w:val="18"/>
                <w:szCs w:val="18"/>
                <w:lang w:val="fr-FR" w:eastAsia="fr-FR"/>
              </w:rPr>
            </w:pPr>
            <w:r w:rsidRPr="005F43BB">
              <w:rPr>
                <w:rFonts w:ascii="Times New Roman" w:hAnsi="Times New Roman"/>
                <w:b/>
                <w:bCs/>
                <w:sz w:val="18"/>
                <w:szCs w:val="18"/>
                <w:lang w:val="fr-FR" w:eastAsia="fr-FR"/>
              </w:rPr>
              <w:t>33,830,973</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3114188"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33,833,324</w:t>
            </w: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80BBBB2"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33,835,575</w:t>
            </w: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252C8BD5"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38FD40FF"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6B34F93"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9457F5" w:rsidRPr="005F43BB" w14:paraId="17E57A8B"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C1D7FA"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proofErr w:type="gramStart"/>
            <w:r w:rsidRPr="005F43BB">
              <w:rPr>
                <w:rFonts w:ascii="Times New Roman" w:hAnsi="Times New Roman"/>
                <w:sz w:val="18"/>
                <w:szCs w:val="18"/>
                <w:lang w:val="fr-FR" w:eastAsia="fr-FR"/>
              </w:rPr>
              <w:t>aggregate</w:t>
            </w:r>
            <w:proofErr w:type="spellEnd"/>
            <w:proofErr w:type="gram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outturn</w:t>
            </w:r>
            <w:proofErr w:type="spellEnd"/>
            <w:r w:rsidRPr="005F43BB">
              <w:rPr>
                <w:rFonts w:ascii="Times New Roman" w:hAnsi="Times New Roman"/>
                <w:sz w:val="18"/>
                <w:szCs w:val="18"/>
                <w:lang w:val="fr-FR" w:eastAsia="fr-FR"/>
              </w:rPr>
              <w:t xml:space="preserve"> (PI-1)</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3875B8D" w14:textId="77777777" w:rsidR="005F43BB" w:rsidRPr="005F43BB" w:rsidRDefault="005F43BB" w:rsidP="00D737E9">
            <w:pPr>
              <w:spacing w:before="0"/>
              <w:ind w:left="0"/>
              <w:jc w:val="center"/>
              <w:rPr>
                <w:rFonts w:ascii="Times New Roman" w:hAnsi="Times New Roman"/>
                <w:b/>
                <w:bCs/>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0ACFFFE0"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6897EB12"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2722024F"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5EBF5256"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100.1%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CC68B93"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9457F5" w:rsidRPr="005F43BB" w14:paraId="75B4EF78"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9AEEF3" w14:textId="77777777" w:rsidR="005F43BB" w:rsidRPr="005F43BB" w:rsidRDefault="005F43BB" w:rsidP="00D737E9">
            <w:pPr>
              <w:spacing w:before="0"/>
              <w:ind w:left="0"/>
              <w:jc w:val="left"/>
              <w:rPr>
                <w:rFonts w:ascii="Times New Roman" w:hAnsi="Times New Roman"/>
                <w:sz w:val="18"/>
                <w:szCs w:val="18"/>
                <w:lang w:val="fr-FR" w:eastAsia="fr-FR"/>
              </w:rPr>
            </w:pPr>
            <w:proofErr w:type="gramStart"/>
            <w:r w:rsidRPr="005F43BB">
              <w:rPr>
                <w:rFonts w:ascii="Times New Roman" w:hAnsi="Times New Roman"/>
                <w:sz w:val="18"/>
                <w:szCs w:val="18"/>
                <w:lang w:val="fr-FR" w:eastAsia="fr-FR"/>
              </w:rPr>
              <w:t>composition</w:t>
            </w:r>
            <w:proofErr w:type="gramEnd"/>
            <w:r w:rsidRPr="005F43BB">
              <w:rPr>
                <w:rFonts w:ascii="Times New Roman" w:hAnsi="Times New Roman"/>
                <w:sz w:val="18"/>
                <w:szCs w:val="18"/>
                <w:lang w:val="fr-FR" w:eastAsia="fr-FR"/>
              </w:rPr>
              <w:t xml:space="preserve"> (PI-2) variance</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27CDD2EB"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1E2157C4"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0030BE3E"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68FF014D"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19E1CA55" w14:textId="77777777" w:rsidR="005F43BB" w:rsidRPr="005F43BB" w:rsidRDefault="005F43BB" w:rsidP="00D737E9">
            <w:pPr>
              <w:spacing w:before="0"/>
              <w:ind w:left="0"/>
              <w:jc w:val="center"/>
              <w:rPr>
                <w:rFonts w:ascii="Times New Roman" w:hAnsi="Times New Roman"/>
                <w:sz w:val="18"/>
                <w:szCs w:val="18"/>
                <w:lang w:val="fr-FR" w:eastAsia="fr-FR"/>
              </w:rPr>
            </w:pPr>
            <w:r w:rsidRPr="005F43BB">
              <w:rPr>
                <w:rFonts w:ascii="Times New Roman" w:hAnsi="Times New Roman"/>
                <w:sz w:val="18"/>
                <w:szCs w:val="18"/>
                <w:lang w:val="fr-FR" w:eastAsia="fr-FR"/>
              </w:rPr>
              <w:t>14.6%</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061BDB33"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9457F5" w:rsidRPr="005F43BB" w14:paraId="422AF33C" w14:textId="77777777" w:rsidTr="00D737E9">
        <w:trPr>
          <w:trHeight w:val="264"/>
        </w:trPr>
        <w:tc>
          <w:tcPr>
            <w:tcW w:w="25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53B46C" w14:textId="77777777" w:rsidR="005F43BB" w:rsidRPr="005F43BB" w:rsidRDefault="005F43BB" w:rsidP="00D737E9">
            <w:pPr>
              <w:spacing w:before="0"/>
              <w:ind w:left="0"/>
              <w:jc w:val="left"/>
              <w:rPr>
                <w:rFonts w:ascii="Times New Roman" w:hAnsi="Times New Roman"/>
                <w:sz w:val="18"/>
                <w:szCs w:val="18"/>
                <w:lang w:val="fr-FR" w:eastAsia="fr-FR"/>
              </w:rPr>
            </w:pPr>
            <w:proofErr w:type="spellStart"/>
            <w:proofErr w:type="gramStart"/>
            <w:r w:rsidRPr="005F43BB">
              <w:rPr>
                <w:rFonts w:ascii="Times New Roman" w:hAnsi="Times New Roman"/>
                <w:sz w:val="18"/>
                <w:szCs w:val="18"/>
                <w:lang w:val="fr-FR" w:eastAsia="fr-FR"/>
              </w:rPr>
              <w:t>contingency</w:t>
            </w:r>
            <w:proofErr w:type="spellEnd"/>
            <w:proofErr w:type="gramEnd"/>
            <w:r w:rsidRPr="005F43BB">
              <w:rPr>
                <w:rFonts w:ascii="Times New Roman" w:hAnsi="Times New Roman"/>
                <w:sz w:val="18"/>
                <w:szCs w:val="18"/>
                <w:lang w:val="fr-FR" w:eastAsia="fr-FR"/>
              </w:rPr>
              <w:t xml:space="preserve"> </w:t>
            </w:r>
            <w:proofErr w:type="spellStart"/>
            <w:r w:rsidRPr="005F43BB">
              <w:rPr>
                <w:rFonts w:ascii="Times New Roman" w:hAnsi="Times New Roman"/>
                <w:sz w:val="18"/>
                <w:szCs w:val="18"/>
                <w:lang w:val="fr-FR" w:eastAsia="fr-FR"/>
              </w:rPr>
              <w:t>share</w:t>
            </w:r>
            <w:proofErr w:type="spellEnd"/>
            <w:r w:rsidRPr="005F43BB">
              <w:rPr>
                <w:rFonts w:ascii="Times New Roman" w:hAnsi="Times New Roman"/>
                <w:sz w:val="18"/>
                <w:szCs w:val="18"/>
                <w:lang w:val="fr-FR" w:eastAsia="fr-FR"/>
              </w:rPr>
              <w:t xml:space="preserve"> of budget</w:t>
            </w: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B3D6761"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175" w:type="dxa"/>
            <w:gridSpan w:val="2"/>
            <w:tcBorders>
              <w:top w:val="nil"/>
              <w:left w:val="nil"/>
              <w:bottom w:val="single" w:sz="4" w:space="0" w:color="auto"/>
              <w:right w:val="single" w:sz="4" w:space="0" w:color="auto"/>
            </w:tcBorders>
            <w:shd w:val="clear" w:color="auto" w:fill="auto"/>
            <w:noWrap/>
            <w:vAlign w:val="bottom"/>
            <w:hideMark/>
          </w:tcPr>
          <w:p w14:paraId="5DB3CD67"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1" w:type="dxa"/>
            <w:gridSpan w:val="2"/>
            <w:tcBorders>
              <w:top w:val="nil"/>
              <w:left w:val="nil"/>
              <w:bottom w:val="single" w:sz="4" w:space="0" w:color="auto"/>
              <w:right w:val="single" w:sz="4" w:space="0" w:color="auto"/>
            </w:tcBorders>
            <w:shd w:val="clear" w:color="auto" w:fill="auto"/>
            <w:noWrap/>
            <w:vAlign w:val="bottom"/>
            <w:hideMark/>
          </w:tcPr>
          <w:p w14:paraId="55DBC81A"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1230" w:type="dxa"/>
            <w:gridSpan w:val="3"/>
            <w:tcBorders>
              <w:top w:val="nil"/>
              <w:left w:val="nil"/>
              <w:bottom w:val="single" w:sz="4" w:space="0" w:color="auto"/>
              <w:right w:val="single" w:sz="4" w:space="0" w:color="auto"/>
            </w:tcBorders>
            <w:shd w:val="clear" w:color="auto" w:fill="auto"/>
            <w:noWrap/>
            <w:vAlign w:val="bottom"/>
            <w:hideMark/>
          </w:tcPr>
          <w:p w14:paraId="6B98658F" w14:textId="77777777" w:rsidR="005F43BB" w:rsidRPr="005F43BB" w:rsidRDefault="005F43BB" w:rsidP="00D737E9">
            <w:pPr>
              <w:spacing w:before="0"/>
              <w:ind w:left="0"/>
              <w:jc w:val="center"/>
              <w:rPr>
                <w:rFonts w:ascii="Times New Roman" w:hAnsi="Times New Roman"/>
                <w:sz w:val="18"/>
                <w:szCs w:val="18"/>
                <w:lang w:val="fr-FR" w:eastAsia="fr-FR"/>
              </w:rPr>
            </w:pPr>
          </w:p>
        </w:tc>
        <w:tc>
          <w:tcPr>
            <w:tcW w:w="995" w:type="dxa"/>
            <w:gridSpan w:val="2"/>
            <w:tcBorders>
              <w:top w:val="nil"/>
              <w:left w:val="nil"/>
              <w:bottom w:val="single" w:sz="4" w:space="0" w:color="auto"/>
              <w:right w:val="single" w:sz="4" w:space="0" w:color="auto"/>
            </w:tcBorders>
            <w:shd w:val="clear" w:color="auto" w:fill="auto"/>
            <w:noWrap/>
            <w:vAlign w:val="bottom"/>
            <w:hideMark/>
          </w:tcPr>
          <w:p w14:paraId="507D102A" w14:textId="77777777" w:rsidR="005F43BB" w:rsidRPr="005F43BB" w:rsidRDefault="005F43BB" w:rsidP="00D737E9">
            <w:pPr>
              <w:spacing w:before="0"/>
              <w:ind w:left="0"/>
              <w:jc w:val="center"/>
              <w:rPr>
                <w:rFonts w:ascii="Times New Roman" w:hAnsi="Times New Roman"/>
                <w:b/>
                <w:bCs/>
                <w:sz w:val="18"/>
                <w:szCs w:val="18"/>
                <w:lang w:val="fr-FR" w:eastAsia="fr-FR"/>
              </w:rPr>
            </w:pPr>
            <w:r w:rsidRPr="005F43BB">
              <w:rPr>
                <w:rFonts w:ascii="Times New Roman" w:hAnsi="Times New Roman"/>
                <w:b/>
                <w:bCs/>
                <w:sz w:val="18"/>
                <w:szCs w:val="18"/>
                <w:lang w:val="fr-FR" w:eastAsia="fr-FR"/>
              </w:rPr>
              <w:t>0.21%</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68E206C7" w14:textId="77777777" w:rsidR="005F43BB" w:rsidRPr="005F43BB" w:rsidRDefault="005F43BB" w:rsidP="00D737E9">
            <w:pPr>
              <w:spacing w:before="0"/>
              <w:ind w:left="0"/>
              <w:jc w:val="center"/>
              <w:rPr>
                <w:rFonts w:ascii="Times New Roman" w:hAnsi="Times New Roman"/>
                <w:sz w:val="18"/>
                <w:szCs w:val="18"/>
                <w:lang w:val="fr-FR" w:eastAsia="fr-FR"/>
              </w:rPr>
            </w:pPr>
          </w:p>
        </w:tc>
      </w:tr>
      <w:tr w:rsidR="007518E4" w:rsidRPr="003E7F03" w14:paraId="086D5A29"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04C210B4" w14:textId="77777777" w:rsidR="007518E4" w:rsidRPr="003E7F03" w:rsidRDefault="007518E4" w:rsidP="00E12685">
            <w:pPr>
              <w:spacing w:before="0"/>
              <w:ind w:left="0"/>
              <w:jc w:val="left"/>
              <w:rPr>
                <w:rFonts w:ascii="Times New Roman" w:hAnsi="Times New Roman"/>
                <w:b/>
                <w:bCs/>
                <w:sz w:val="18"/>
                <w:szCs w:val="18"/>
                <w:lang w:val="en-GB" w:eastAsia="en-GB"/>
              </w:rPr>
            </w:pPr>
            <w:r>
              <w:rPr>
                <w:rFonts w:ascii="Times New Roman" w:hAnsi="Times New Roman"/>
                <w:b/>
                <w:bCs/>
                <w:sz w:val="18"/>
                <w:szCs w:val="18"/>
                <w:lang w:val="en-GB" w:eastAsia="en-GB"/>
              </w:rPr>
              <w:lastRenderedPageBreak/>
              <w:t xml:space="preserve">Table </w:t>
            </w:r>
            <w:r w:rsidR="000310F5">
              <w:rPr>
                <w:rFonts w:ascii="Times New Roman" w:hAnsi="Times New Roman"/>
                <w:b/>
                <w:bCs/>
                <w:sz w:val="18"/>
                <w:szCs w:val="18"/>
                <w:lang w:val="en-GB" w:eastAsia="en-GB"/>
              </w:rPr>
              <w:t>4</w:t>
            </w:r>
          </w:p>
        </w:tc>
        <w:tc>
          <w:tcPr>
            <w:tcW w:w="1026" w:type="dxa"/>
            <w:gridSpan w:val="2"/>
            <w:tcBorders>
              <w:top w:val="nil"/>
              <w:left w:val="nil"/>
              <w:bottom w:val="nil"/>
              <w:right w:val="nil"/>
            </w:tcBorders>
            <w:shd w:val="clear" w:color="auto" w:fill="auto"/>
            <w:noWrap/>
            <w:vAlign w:val="bottom"/>
            <w:hideMark/>
          </w:tcPr>
          <w:p w14:paraId="24077CF1" w14:textId="77777777" w:rsidR="007518E4" w:rsidRPr="003E7F03" w:rsidRDefault="007518E4" w:rsidP="00E12685">
            <w:pPr>
              <w:spacing w:before="0"/>
              <w:ind w:left="0"/>
              <w:jc w:val="left"/>
              <w:rPr>
                <w:rFonts w:ascii="Times New Roman" w:hAnsi="Times New Roman"/>
                <w:sz w:val="18"/>
                <w:szCs w:val="18"/>
                <w:lang w:val="en-GB" w:eastAsia="en-GB"/>
              </w:rPr>
            </w:pPr>
          </w:p>
        </w:tc>
        <w:tc>
          <w:tcPr>
            <w:tcW w:w="1100" w:type="dxa"/>
            <w:gridSpan w:val="2"/>
            <w:tcBorders>
              <w:top w:val="nil"/>
              <w:left w:val="nil"/>
              <w:bottom w:val="nil"/>
              <w:right w:val="nil"/>
            </w:tcBorders>
            <w:shd w:val="clear" w:color="auto" w:fill="auto"/>
            <w:noWrap/>
            <w:vAlign w:val="bottom"/>
            <w:hideMark/>
          </w:tcPr>
          <w:p w14:paraId="4E510231" w14:textId="77777777" w:rsidR="007518E4" w:rsidRPr="003E7F03" w:rsidRDefault="007518E4" w:rsidP="00E12685">
            <w:pPr>
              <w:spacing w:before="0"/>
              <w:ind w:left="0"/>
              <w:jc w:val="left"/>
              <w:rPr>
                <w:rFonts w:ascii="Times New Roman" w:hAnsi="Times New Roman"/>
                <w:sz w:val="18"/>
                <w:szCs w:val="18"/>
                <w:lang w:val="en-GB" w:eastAsia="en-GB"/>
              </w:rPr>
            </w:pPr>
          </w:p>
        </w:tc>
        <w:tc>
          <w:tcPr>
            <w:tcW w:w="1026" w:type="dxa"/>
            <w:gridSpan w:val="2"/>
            <w:tcBorders>
              <w:top w:val="nil"/>
              <w:left w:val="nil"/>
              <w:bottom w:val="nil"/>
              <w:right w:val="nil"/>
            </w:tcBorders>
            <w:shd w:val="clear" w:color="auto" w:fill="auto"/>
            <w:noWrap/>
            <w:vAlign w:val="bottom"/>
            <w:hideMark/>
          </w:tcPr>
          <w:p w14:paraId="14CDE712" w14:textId="77777777" w:rsidR="007518E4" w:rsidRPr="003E7F03" w:rsidRDefault="007518E4" w:rsidP="00E12685">
            <w:pPr>
              <w:spacing w:before="0"/>
              <w:ind w:left="0"/>
              <w:jc w:val="left"/>
              <w:rPr>
                <w:rFonts w:ascii="Times New Roman" w:hAnsi="Times New Roman"/>
                <w:sz w:val="18"/>
                <w:szCs w:val="18"/>
                <w:lang w:val="en-GB" w:eastAsia="en-GB"/>
              </w:rPr>
            </w:pPr>
          </w:p>
        </w:tc>
        <w:tc>
          <w:tcPr>
            <w:tcW w:w="1056" w:type="dxa"/>
            <w:tcBorders>
              <w:top w:val="nil"/>
              <w:left w:val="nil"/>
              <w:bottom w:val="nil"/>
              <w:right w:val="nil"/>
            </w:tcBorders>
            <w:shd w:val="clear" w:color="auto" w:fill="auto"/>
            <w:noWrap/>
            <w:vAlign w:val="bottom"/>
            <w:hideMark/>
          </w:tcPr>
          <w:p w14:paraId="3A266C24" w14:textId="77777777" w:rsidR="007518E4" w:rsidRPr="003E7F03" w:rsidRDefault="007518E4" w:rsidP="00E12685">
            <w:pPr>
              <w:spacing w:before="0"/>
              <w:ind w:left="0"/>
              <w:jc w:val="left"/>
              <w:rPr>
                <w:rFonts w:ascii="Times New Roman" w:hAnsi="Times New Roman"/>
                <w:sz w:val="18"/>
                <w:szCs w:val="18"/>
                <w:lang w:val="en-GB" w:eastAsia="en-GB"/>
              </w:rPr>
            </w:pPr>
          </w:p>
        </w:tc>
        <w:tc>
          <w:tcPr>
            <w:tcW w:w="936" w:type="dxa"/>
            <w:gridSpan w:val="2"/>
            <w:tcBorders>
              <w:top w:val="nil"/>
              <w:left w:val="nil"/>
              <w:bottom w:val="nil"/>
              <w:right w:val="nil"/>
            </w:tcBorders>
            <w:shd w:val="clear" w:color="auto" w:fill="auto"/>
            <w:noWrap/>
            <w:vAlign w:val="bottom"/>
            <w:hideMark/>
          </w:tcPr>
          <w:p w14:paraId="6F0F694E" w14:textId="77777777" w:rsidR="007518E4" w:rsidRPr="003E7F03" w:rsidRDefault="007518E4" w:rsidP="00E12685">
            <w:pPr>
              <w:spacing w:before="0"/>
              <w:ind w:left="0"/>
              <w:jc w:val="left"/>
              <w:rPr>
                <w:rFonts w:ascii="Times New Roman" w:hAnsi="Times New Roman"/>
                <w:sz w:val="18"/>
                <w:szCs w:val="18"/>
                <w:lang w:val="en-GB" w:eastAsia="en-GB"/>
              </w:rPr>
            </w:pPr>
          </w:p>
        </w:tc>
        <w:tc>
          <w:tcPr>
            <w:tcW w:w="826" w:type="dxa"/>
            <w:gridSpan w:val="2"/>
            <w:tcBorders>
              <w:top w:val="nil"/>
              <w:left w:val="nil"/>
              <w:bottom w:val="nil"/>
              <w:right w:val="nil"/>
            </w:tcBorders>
            <w:shd w:val="clear" w:color="auto" w:fill="auto"/>
            <w:noWrap/>
            <w:vAlign w:val="bottom"/>
            <w:hideMark/>
          </w:tcPr>
          <w:p w14:paraId="3D47D96F" w14:textId="77777777" w:rsidR="007518E4" w:rsidRPr="003E7F03" w:rsidRDefault="007518E4" w:rsidP="00E12685">
            <w:pPr>
              <w:spacing w:before="0"/>
              <w:ind w:left="0"/>
              <w:jc w:val="left"/>
              <w:rPr>
                <w:rFonts w:ascii="Times New Roman" w:hAnsi="Times New Roman"/>
                <w:sz w:val="18"/>
                <w:szCs w:val="18"/>
                <w:lang w:val="en-GB" w:eastAsia="en-GB"/>
              </w:rPr>
            </w:pPr>
          </w:p>
        </w:tc>
      </w:tr>
      <w:tr w:rsidR="007518E4" w:rsidRPr="003E7F03" w14:paraId="306BF794"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single" w:sz="4" w:space="0" w:color="auto"/>
              <w:left w:val="single" w:sz="4" w:space="0" w:color="auto"/>
              <w:bottom w:val="single" w:sz="4" w:space="0" w:color="auto"/>
              <w:right w:val="nil"/>
            </w:tcBorders>
            <w:shd w:val="clear" w:color="auto" w:fill="auto"/>
            <w:noWrap/>
            <w:vAlign w:val="bottom"/>
            <w:hideMark/>
          </w:tcPr>
          <w:p w14:paraId="66287A69" w14:textId="77777777" w:rsidR="007518E4" w:rsidRPr="003E7F03" w:rsidRDefault="007518E4" w:rsidP="00E12685">
            <w:pPr>
              <w:spacing w:before="0"/>
              <w:ind w:left="0"/>
              <w:jc w:val="right"/>
              <w:rPr>
                <w:rFonts w:ascii="Times New Roman" w:hAnsi="Times New Roman"/>
                <w:b/>
                <w:bCs/>
                <w:sz w:val="18"/>
                <w:szCs w:val="18"/>
                <w:lang w:val="en-GB" w:eastAsia="en-GB"/>
              </w:rPr>
            </w:pPr>
          </w:p>
        </w:tc>
        <w:tc>
          <w:tcPr>
            <w:tcW w:w="1026" w:type="dxa"/>
            <w:gridSpan w:val="2"/>
            <w:tcBorders>
              <w:top w:val="single" w:sz="4" w:space="0" w:color="auto"/>
              <w:left w:val="nil"/>
              <w:bottom w:val="single" w:sz="4" w:space="0" w:color="auto"/>
              <w:right w:val="nil"/>
            </w:tcBorders>
            <w:shd w:val="clear" w:color="auto" w:fill="auto"/>
            <w:noWrap/>
            <w:vAlign w:val="bottom"/>
            <w:hideMark/>
          </w:tcPr>
          <w:p w14:paraId="39ECEBBB" w14:textId="77777777" w:rsidR="007518E4" w:rsidRPr="003E7F03" w:rsidRDefault="007518E4" w:rsidP="00E12685">
            <w:pPr>
              <w:spacing w:before="0"/>
              <w:ind w:left="0"/>
              <w:jc w:val="left"/>
              <w:rPr>
                <w:rFonts w:ascii="Times New Roman" w:hAnsi="Times New Roman"/>
                <w:b/>
                <w:bCs/>
                <w:sz w:val="18"/>
                <w:szCs w:val="18"/>
                <w:lang w:val="en-GB" w:eastAsia="en-GB"/>
              </w:rPr>
            </w:pPr>
            <w:r w:rsidRPr="003E7F03">
              <w:rPr>
                <w:rFonts w:ascii="Times New Roman" w:hAnsi="Times New Roman"/>
                <w:b/>
                <w:bCs/>
                <w:sz w:val="18"/>
                <w:szCs w:val="18"/>
                <w:lang w:val="en-GB" w:eastAsia="en-GB"/>
              </w:rPr>
              <w:t>2014/15</w:t>
            </w:r>
          </w:p>
        </w:tc>
        <w:tc>
          <w:tcPr>
            <w:tcW w:w="1100" w:type="dxa"/>
            <w:gridSpan w:val="2"/>
            <w:tcBorders>
              <w:top w:val="single" w:sz="4" w:space="0" w:color="auto"/>
              <w:left w:val="nil"/>
              <w:bottom w:val="single" w:sz="4" w:space="0" w:color="auto"/>
              <w:right w:val="nil"/>
            </w:tcBorders>
            <w:shd w:val="clear" w:color="auto" w:fill="auto"/>
            <w:noWrap/>
            <w:vAlign w:val="bottom"/>
            <w:hideMark/>
          </w:tcPr>
          <w:p w14:paraId="511C39C0" w14:textId="77777777" w:rsidR="007518E4" w:rsidRPr="00CD0767" w:rsidRDefault="007518E4" w:rsidP="00E12685">
            <w:pPr>
              <w:spacing w:before="0"/>
              <w:ind w:left="0"/>
              <w:jc w:val="left"/>
              <w:rPr>
                <w:rFonts w:ascii="Times New Roman" w:hAnsi="Times New Roman"/>
                <w:bCs/>
                <w:color w:val="000000" w:themeColor="text1"/>
                <w:sz w:val="18"/>
                <w:szCs w:val="18"/>
                <w:lang w:val="en-GB" w:eastAsia="en-GB"/>
              </w:rPr>
            </w:pPr>
            <w:r w:rsidRPr="00CD0767">
              <w:rPr>
                <w:rFonts w:ascii="Times New Roman" w:hAnsi="Times New Roman"/>
                <w:bCs/>
                <w:sz w:val="18"/>
                <w:szCs w:val="18"/>
                <w:lang w:val="en-GB" w:eastAsia="en-GB"/>
              </w:rPr>
              <w:t>Million Kip</w:t>
            </w:r>
          </w:p>
        </w:tc>
        <w:tc>
          <w:tcPr>
            <w:tcW w:w="1026" w:type="dxa"/>
            <w:gridSpan w:val="2"/>
            <w:tcBorders>
              <w:top w:val="single" w:sz="4" w:space="0" w:color="auto"/>
              <w:left w:val="nil"/>
              <w:bottom w:val="single" w:sz="4" w:space="0" w:color="auto"/>
              <w:right w:val="nil"/>
            </w:tcBorders>
            <w:shd w:val="clear" w:color="auto" w:fill="auto"/>
            <w:noWrap/>
            <w:vAlign w:val="bottom"/>
            <w:hideMark/>
          </w:tcPr>
          <w:p w14:paraId="42E06C44"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c>
          <w:tcPr>
            <w:tcW w:w="1056" w:type="dxa"/>
            <w:tcBorders>
              <w:top w:val="single" w:sz="4" w:space="0" w:color="auto"/>
              <w:left w:val="nil"/>
              <w:bottom w:val="single" w:sz="4" w:space="0" w:color="auto"/>
              <w:right w:val="nil"/>
            </w:tcBorders>
            <w:shd w:val="clear" w:color="auto" w:fill="auto"/>
            <w:noWrap/>
            <w:vAlign w:val="bottom"/>
            <w:hideMark/>
          </w:tcPr>
          <w:p w14:paraId="36A64DA9"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c>
          <w:tcPr>
            <w:tcW w:w="936" w:type="dxa"/>
            <w:gridSpan w:val="2"/>
            <w:tcBorders>
              <w:top w:val="single" w:sz="4" w:space="0" w:color="auto"/>
              <w:left w:val="nil"/>
              <w:bottom w:val="single" w:sz="4" w:space="0" w:color="auto"/>
              <w:right w:val="nil"/>
            </w:tcBorders>
            <w:shd w:val="clear" w:color="auto" w:fill="auto"/>
            <w:noWrap/>
            <w:vAlign w:val="bottom"/>
            <w:hideMark/>
          </w:tcPr>
          <w:p w14:paraId="24FE27E2"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4CDAA0"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r>
      <w:tr w:rsidR="007518E4" w:rsidRPr="003E7F03" w14:paraId="3D387374"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single" w:sz="4" w:space="0" w:color="auto"/>
              <w:right w:val="nil"/>
            </w:tcBorders>
            <w:shd w:val="clear" w:color="auto" w:fill="auto"/>
            <w:noWrap/>
            <w:vAlign w:val="center"/>
            <w:hideMark/>
          </w:tcPr>
          <w:p w14:paraId="3905BF3C"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Economic head</w:t>
            </w:r>
          </w:p>
        </w:tc>
        <w:tc>
          <w:tcPr>
            <w:tcW w:w="1026" w:type="dxa"/>
            <w:gridSpan w:val="2"/>
            <w:tcBorders>
              <w:top w:val="nil"/>
              <w:left w:val="nil"/>
              <w:bottom w:val="single" w:sz="4" w:space="0" w:color="auto"/>
              <w:right w:val="nil"/>
            </w:tcBorders>
            <w:shd w:val="clear" w:color="auto" w:fill="auto"/>
            <w:noWrap/>
            <w:vAlign w:val="center"/>
            <w:hideMark/>
          </w:tcPr>
          <w:p w14:paraId="2C862BCD"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budget</w:t>
            </w:r>
          </w:p>
        </w:tc>
        <w:tc>
          <w:tcPr>
            <w:tcW w:w="1100" w:type="dxa"/>
            <w:gridSpan w:val="2"/>
            <w:tcBorders>
              <w:top w:val="nil"/>
              <w:left w:val="nil"/>
              <w:bottom w:val="single" w:sz="4" w:space="0" w:color="auto"/>
              <w:right w:val="nil"/>
            </w:tcBorders>
            <w:shd w:val="clear" w:color="auto" w:fill="auto"/>
            <w:noWrap/>
            <w:vAlign w:val="center"/>
            <w:hideMark/>
          </w:tcPr>
          <w:p w14:paraId="324B2A7F"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actual</w:t>
            </w:r>
          </w:p>
        </w:tc>
        <w:tc>
          <w:tcPr>
            <w:tcW w:w="1026" w:type="dxa"/>
            <w:gridSpan w:val="2"/>
            <w:tcBorders>
              <w:top w:val="nil"/>
              <w:left w:val="nil"/>
              <w:bottom w:val="single" w:sz="4" w:space="0" w:color="auto"/>
              <w:right w:val="nil"/>
            </w:tcBorders>
            <w:shd w:val="clear" w:color="auto" w:fill="auto"/>
            <w:vAlign w:val="center"/>
            <w:hideMark/>
          </w:tcPr>
          <w:p w14:paraId="08AA0782"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adjusted budget</w:t>
            </w:r>
          </w:p>
        </w:tc>
        <w:tc>
          <w:tcPr>
            <w:tcW w:w="1056" w:type="dxa"/>
            <w:tcBorders>
              <w:top w:val="nil"/>
              <w:left w:val="nil"/>
              <w:bottom w:val="single" w:sz="4" w:space="0" w:color="auto"/>
              <w:right w:val="nil"/>
            </w:tcBorders>
            <w:shd w:val="clear" w:color="auto" w:fill="auto"/>
            <w:vAlign w:val="center"/>
            <w:hideMark/>
          </w:tcPr>
          <w:p w14:paraId="7DEEB0A2"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deviation</w:t>
            </w:r>
          </w:p>
        </w:tc>
        <w:tc>
          <w:tcPr>
            <w:tcW w:w="936" w:type="dxa"/>
            <w:gridSpan w:val="2"/>
            <w:tcBorders>
              <w:top w:val="nil"/>
              <w:left w:val="nil"/>
              <w:bottom w:val="single" w:sz="4" w:space="0" w:color="auto"/>
              <w:right w:val="nil"/>
            </w:tcBorders>
            <w:shd w:val="clear" w:color="auto" w:fill="auto"/>
            <w:vAlign w:val="center"/>
            <w:hideMark/>
          </w:tcPr>
          <w:p w14:paraId="48FB2FB6"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absolute deviation</w:t>
            </w:r>
          </w:p>
        </w:tc>
        <w:tc>
          <w:tcPr>
            <w:tcW w:w="826" w:type="dxa"/>
            <w:gridSpan w:val="2"/>
            <w:tcBorders>
              <w:top w:val="nil"/>
              <w:left w:val="nil"/>
              <w:bottom w:val="single" w:sz="4" w:space="0" w:color="auto"/>
              <w:right w:val="single" w:sz="4" w:space="0" w:color="auto"/>
            </w:tcBorders>
            <w:shd w:val="clear" w:color="auto" w:fill="auto"/>
            <w:noWrap/>
            <w:vAlign w:val="center"/>
            <w:hideMark/>
          </w:tcPr>
          <w:p w14:paraId="67623281"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percent</w:t>
            </w:r>
          </w:p>
        </w:tc>
      </w:tr>
      <w:tr w:rsidR="007518E4" w:rsidRPr="003E7F03" w14:paraId="1C13BAD3"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39B1F4E5"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Salary and employee allowance</w:t>
            </w:r>
          </w:p>
        </w:tc>
        <w:tc>
          <w:tcPr>
            <w:tcW w:w="1026" w:type="dxa"/>
            <w:gridSpan w:val="2"/>
            <w:tcBorders>
              <w:top w:val="nil"/>
              <w:left w:val="nil"/>
              <w:bottom w:val="nil"/>
              <w:right w:val="nil"/>
            </w:tcBorders>
            <w:shd w:val="clear" w:color="000000" w:fill="FFFFFF"/>
            <w:noWrap/>
            <w:vAlign w:val="bottom"/>
            <w:hideMark/>
          </w:tcPr>
          <w:p w14:paraId="7B0CC12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9,300,000</w:t>
            </w:r>
          </w:p>
        </w:tc>
        <w:tc>
          <w:tcPr>
            <w:tcW w:w="1100" w:type="dxa"/>
            <w:gridSpan w:val="2"/>
            <w:tcBorders>
              <w:top w:val="nil"/>
              <w:left w:val="nil"/>
              <w:bottom w:val="nil"/>
              <w:right w:val="nil"/>
            </w:tcBorders>
            <w:shd w:val="clear" w:color="000000" w:fill="FFFFFF"/>
            <w:noWrap/>
            <w:vAlign w:val="bottom"/>
            <w:hideMark/>
          </w:tcPr>
          <w:p w14:paraId="335B6F8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8,764,787</w:t>
            </w:r>
          </w:p>
        </w:tc>
        <w:tc>
          <w:tcPr>
            <w:tcW w:w="1026" w:type="dxa"/>
            <w:gridSpan w:val="2"/>
            <w:tcBorders>
              <w:top w:val="nil"/>
              <w:left w:val="nil"/>
              <w:bottom w:val="nil"/>
              <w:right w:val="nil"/>
            </w:tcBorders>
            <w:shd w:val="clear" w:color="auto" w:fill="auto"/>
            <w:noWrap/>
            <w:vAlign w:val="bottom"/>
            <w:hideMark/>
          </w:tcPr>
          <w:p w14:paraId="55D17C75"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9,615,697</w:t>
            </w:r>
          </w:p>
        </w:tc>
        <w:tc>
          <w:tcPr>
            <w:tcW w:w="1056" w:type="dxa"/>
            <w:tcBorders>
              <w:top w:val="nil"/>
              <w:left w:val="nil"/>
              <w:bottom w:val="nil"/>
              <w:right w:val="nil"/>
            </w:tcBorders>
            <w:shd w:val="clear" w:color="auto" w:fill="auto"/>
            <w:noWrap/>
            <w:vAlign w:val="bottom"/>
            <w:hideMark/>
          </w:tcPr>
          <w:p w14:paraId="60A0711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(535,213)</w:t>
            </w:r>
          </w:p>
        </w:tc>
        <w:tc>
          <w:tcPr>
            <w:tcW w:w="936" w:type="dxa"/>
            <w:gridSpan w:val="2"/>
            <w:tcBorders>
              <w:top w:val="nil"/>
              <w:left w:val="nil"/>
              <w:bottom w:val="nil"/>
              <w:right w:val="nil"/>
            </w:tcBorders>
            <w:shd w:val="clear" w:color="auto" w:fill="auto"/>
            <w:noWrap/>
            <w:vAlign w:val="bottom"/>
            <w:hideMark/>
          </w:tcPr>
          <w:p w14:paraId="062052DC"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535,213</w:t>
            </w:r>
          </w:p>
        </w:tc>
        <w:tc>
          <w:tcPr>
            <w:tcW w:w="826" w:type="dxa"/>
            <w:gridSpan w:val="2"/>
            <w:tcBorders>
              <w:top w:val="nil"/>
              <w:left w:val="nil"/>
              <w:bottom w:val="nil"/>
              <w:right w:val="single" w:sz="4" w:space="0" w:color="auto"/>
            </w:tcBorders>
            <w:shd w:val="clear" w:color="auto" w:fill="auto"/>
            <w:noWrap/>
            <w:vAlign w:val="bottom"/>
            <w:hideMark/>
          </w:tcPr>
          <w:p w14:paraId="211775E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5.6%</w:t>
            </w:r>
          </w:p>
        </w:tc>
      </w:tr>
      <w:tr w:rsidR="007518E4" w:rsidRPr="003E7F03" w14:paraId="1A6D7D8D"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3BF2ED32"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Compensation and policy allowances</w:t>
            </w:r>
          </w:p>
        </w:tc>
        <w:tc>
          <w:tcPr>
            <w:tcW w:w="1026" w:type="dxa"/>
            <w:gridSpan w:val="2"/>
            <w:tcBorders>
              <w:top w:val="nil"/>
              <w:left w:val="nil"/>
              <w:bottom w:val="nil"/>
              <w:right w:val="nil"/>
            </w:tcBorders>
            <w:shd w:val="clear" w:color="000000" w:fill="FFFFFF"/>
            <w:noWrap/>
            <w:vAlign w:val="bottom"/>
            <w:hideMark/>
          </w:tcPr>
          <w:p w14:paraId="7182680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1,400,000</w:t>
            </w:r>
          </w:p>
        </w:tc>
        <w:tc>
          <w:tcPr>
            <w:tcW w:w="1100" w:type="dxa"/>
            <w:gridSpan w:val="2"/>
            <w:tcBorders>
              <w:top w:val="nil"/>
              <w:left w:val="nil"/>
              <w:bottom w:val="nil"/>
              <w:right w:val="nil"/>
            </w:tcBorders>
            <w:shd w:val="clear" w:color="000000" w:fill="FFFFFF"/>
            <w:noWrap/>
            <w:vAlign w:val="bottom"/>
            <w:hideMark/>
          </w:tcPr>
          <w:p w14:paraId="32DD148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1,269,366</w:t>
            </w:r>
          </w:p>
        </w:tc>
        <w:tc>
          <w:tcPr>
            <w:tcW w:w="1026" w:type="dxa"/>
            <w:gridSpan w:val="2"/>
            <w:tcBorders>
              <w:top w:val="nil"/>
              <w:left w:val="nil"/>
              <w:bottom w:val="nil"/>
              <w:right w:val="nil"/>
            </w:tcBorders>
            <w:shd w:val="clear" w:color="auto" w:fill="auto"/>
            <w:noWrap/>
            <w:vAlign w:val="bottom"/>
            <w:hideMark/>
          </w:tcPr>
          <w:p w14:paraId="666A60E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1,447,524</w:t>
            </w:r>
          </w:p>
        </w:tc>
        <w:tc>
          <w:tcPr>
            <w:tcW w:w="1056" w:type="dxa"/>
            <w:tcBorders>
              <w:top w:val="nil"/>
              <w:left w:val="nil"/>
              <w:bottom w:val="nil"/>
              <w:right w:val="nil"/>
            </w:tcBorders>
            <w:shd w:val="clear" w:color="auto" w:fill="auto"/>
            <w:noWrap/>
            <w:vAlign w:val="bottom"/>
            <w:hideMark/>
          </w:tcPr>
          <w:p w14:paraId="1A15600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(130,634)</w:t>
            </w:r>
          </w:p>
        </w:tc>
        <w:tc>
          <w:tcPr>
            <w:tcW w:w="936" w:type="dxa"/>
            <w:gridSpan w:val="2"/>
            <w:tcBorders>
              <w:top w:val="nil"/>
              <w:left w:val="nil"/>
              <w:bottom w:val="nil"/>
              <w:right w:val="nil"/>
            </w:tcBorders>
            <w:shd w:val="clear" w:color="auto" w:fill="auto"/>
            <w:noWrap/>
            <w:vAlign w:val="bottom"/>
            <w:hideMark/>
          </w:tcPr>
          <w:p w14:paraId="4111D704"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130,634</w:t>
            </w:r>
          </w:p>
        </w:tc>
        <w:tc>
          <w:tcPr>
            <w:tcW w:w="826" w:type="dxa"/>
            <w:gridSpan w:val="2"/>
            <w:tcBorders>
              <w:top w:val="nil"/>
              <w:left w:val="nil"/>
              <w:bottom w:val="nil"/>
              <w:right w:val="single" w:sz="4" w:space="0" w:color="auto"/>
            </w:tcBorders>
            <w:shd w:val="clear" w:color="auto" w:fill="auto"/>
            <w:noWrap/>
            <w:vAlign w:val="bottom"/>
            <w:hideMark/>
          </w:tcPr>
          <w:p w14:paraId="6472929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9.0%</w:t>
            </w:r>
          </w:p>
        </w:tc>
      </w:tr>
      <w:tr w:rsidR="007518E4" w:rsidRPr="003E7F03" w14:paraId="0B5A214E"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75763887"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Operation expenditure</w:t>
            </w:r>
          </w:p>
        </w:tc>
        <w:tc>
          <w:tcPr>
            <w:tcW w:w="1026" w:type="dxa"/>
            <w:gridSpan w:val="2"/>
            <w:tcBorders>
              <w:top w:val="nil"/>
              <w:left w:val="nil"/>
              <w:bottom w:val="nil"/>
              <w:right w:val="nil"/>
            </w:tcBorders>
            <w:shd w:val="clear" w:color="000000" w:fill="FFFFFF"/>
            <w:noWrap/>
            <w:vAlign w:val="bottom"/>
            <w:hideMark/>
          </w:tcPr>
          <w:p w14:paraId="5363769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2,100,151</w:t>
            </w:r>
          </w:p>
        </w:tc>
        <w:tc>
          <w:tcPr>
            <w:tcW w:w="1100" w:type="dxa"/>
            <w:gridSpan w:val="2"/>
            <w:tcBorders>
              <w:top w:val="nil"/>
              <w:left w:val="nil"/>
              <w:bottom w:val="nil"/>
              <w:right w:val="nil"/>
            </w:tcBorders>
            <w:shd w:val="clear" w:color="000000" w:fill="FFFFFF"/>
            <w:noWrap/>
            <w:vAlign w:val="bottom"/>
            <w:hideMark/>
          </w:tcPr>
          <w:p w14:paraId="29CA9B0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2,767,143</w:t>
            </w:r>
          </w:p>
        </w:tc>
        <w:tc>
          <w:tcPr>
            <w:tcW w:w="1026" w:type="dxa"/>
            <w:gridSpan w:val="2"/>
            <w:tcBorders>
              <w:top w:val="nil"/>
              <w:left w:val="nil"/>
              <w:bottom w:val="nil"/>
              <w:right w:val="nil"/>
            </w:tcBorders>
            <w:shd w:val="clear" w:color="auto" w:fill="auto"/>
            <w:noWrap/>
            <w:vAlign w:val="bottom"/>
            <w:hideMark/>
          </w:tcPr>
          <w:p w14:paraId="5CAA89F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2,171,443</w:t>
            </w:r>
          </w:p>
        </w:tc>
        <w:tc>
          <w:tcPr>
            <w:tcW w:w="1056" w:type="dxa"/>
            <w:tcBorders>
              <w:top w:val="nil"/>
              <w:left w:val="nil"/>
              <w:bottom w:val="nil"/>
              <w:right w:val="nil"/>
            </w:tcBorders>
            <w:shd w:val="clear" w:color="auto" w:fill="auto"/>
            <w:noWrap/>
            <w:vAlign w:val="bottom"/>
            <w:hideMark/>
          </w:tcPr>
          <w:p w14:paraId="157C1044"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666,992</w:t>
            </w:r>
          </w:p>
        </w:tc>
        <w:tc>
          <w:tcPr>
            <w:tcW w:w="936" w:type="dxa"/>
            <w:gridSpan w:val="2"/>
            <w:tcBorders>
              <w:top w:val="nil"/>
              <w:left w:val="nil"/>
              <w:bottom w:val="nil"/>
              <w:right w:val="nil"/>
            </w:tcBorders>
            <w:shd w:val="clear" w:color="auto" w:fill="auto"/>
            <w:noWrap/>
            <w:vAlign w:val="bottom"/>
            <w:hideMark/>
          </w:tcPr>
          <w:p w14:paraId="5388CF6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666,992</w:t>
            </w:r>
          </w:p>
        </w:tc>
        <w:tc>
          <w:tcPr>
            <w:tcW w:w="826" w:type="dxa"/>
            <w:gridSpan w:val="2"/>
            <w:tcBorders>
              <w:top w:val="nil"/>
              <w:left w:val="nil"/>
              <w:bottom w:val="nil"/>
              <w:right w:val="single" w:sz="4" w:space="0" w:color="auto"/>
            </w:tcBorders>
            <w:shd w:val="clear" w:color="auto" w:fill="auto"/>
            <w:noWrap/>
            <w:vAlign w:val="bottom"/>
            <w:hideMark/>
          </w:tcPr>
          <w:p w14:paraId="42888B7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30.7%</w:t>
            </w:r>
          </w:p>
        </w:tc>
      </w:tr>
      <w:tr w:rsidR="007518E4" w:rsidRPr="003E7F03" w14:paraId="55DC10EF"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1BBC6A1B"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Technical activities and subsidies</w:t>
            </w:r>
          </w:p>
        </w:tc>
        <w:tc>
          <w:tcPr>
            <w:tcW w:w="1026" w:type="dxa"/>
            <w:gridSpan w:val="2"/>
            <w:tcBorders>
              <w:top w:val="nil"/>
              <w:left w:val="nil"/>
              <w:bottom w:val="nil"/>
              <w:right w:val="nil"/>
            </w:tcBorders>
            <w:shd w:val="clear" w:color="000000" w:fill="FFFFFF"/>
            <w:noWrap/>
            <w:vAlign w:val="bottom"/>
            <w:hideMark/>
          </w:tcPr>
          <w:p w14:paraId="263F4D33"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1,605,668</w:t>
            </w:r>
          </w:p>
        </w:tc>
        <w:tc>
          <w:tcPr>
            <w:tcW w:w="1100" w:type="dxa"/>
            <w:gridSpan w:val="2"/>
            <w:tcBorders>
              <w:top w:val="nil"/>
              <w:left w:val="nil"/>
              <w:bottom w:val="nil"/>
              <w:right w:val="nil"/>
            </w:tcBorders>
            <w:shd w:val="clear" w:color="000000" w:fill="FFFFFF"/>
            <w:noWrap/>
            <w:vAlign w:val="bottom"/>
            <w:hideMark/>
          </w:tcPr>
          <w:p w14:paraId="65816AA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1,287,755</w:t>
            </w:r>
          </w:p>
        </w:tc>
        <w:tc>
          <w:tcPr>
            <w:tcW w:w="1026" w:type="dxa"/>
            <w:gridSpan w:val="2"/>
            <w:tcBorders>
              <w:top w:val="nil"/>
              <w:left w:val="nil"/>
              <w:bottom w:val="nil"/>
              <w:right w:val="nil"/>
            </w:tcBorders>
            <w:shd w:val="clear" w:color="auto" w:fill="auto"/>
            <w:noWrap/>
            <w:vAlign w:val="bottom"/>
            <w:hideMark/>
          </w:tcPr>
          <w:p w14:paraId="30E478C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1,660,174</w:t>
            </w:r>
          </w:p>
        </w:tc>
        <w:tc>
          <w:tcPr>
            <w:tcW w:w="1056" w:type="dxa"/>
            <w:tcBorders>
              <w:top w:val="nil"/>
              <w:left w:val="nil"/>
              <w:bottom w:val="nil"/>
              <w:right w:val="nil"/>
            </w:tcBorders>
            <w:shd w:val="clear" w:color="auto" w:fill="auto"/>
            <w:noWrap/>
            <w:vAlign w:val="bottom"/>
            <w:hideMark/>
          </w:tcPr>
          <w:p w14:paraId="47FB5A44"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(317,913)</w:t>
            </w:r>
          </w:p>
        </w:tc>
        <w:tc>
          <w:tcPr>
            <w:tcW w:w="936" w:type="dxa"/>
            <w:gridSpan w:val="2"/>
            <w:tcBorders>
              <w:top w:val="nil"/>
              <w:left w:val="nil"/>
              <w:bottom w:val="nil"/>
              <w:right w:val="nil"/>
            </w:tcBorders>
            <w:shd w:val="clear" w:color="auto" w:fill="auto"/>
            <w:noWrap/>
            <w:vAlign w:val="bottom"/>
            <w:hideMark/>
          </w:tcPr>
          <w:p w14:paraId="10C2BDF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317,913</w:t>
            </w:r>
          </w:p>
        </w:tc>
        <w:tc>
          <w:tcPr>
            <w:tcW w:w="826" w:type="dxa"/>
            <w:gridSpan w:val="2"/>
            <w:tcBorders>
              <w:top w:val="nil"/>
              <w:left w:val="nil"/>
              <w:bottom w:val="nil"/>
              <w:right w:val="single" w:sz="4" w:space="0" w:color="auto"/>
            </w:tcBorders>
            <w:shd w:val="clear" w:color="auto" w:fill="auto"/>
            <w:noWrap/>
            <w:vAlign w:val="bottom"/>
            <w:hideMark/>
          </w:tcPr>
          <w:p w14:paraId="19FE8FB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19.1%</w:t>
            </w:r>
          </w:p>
        </w:tc>
      </w:tr>
      <w:tr w:rsidR="007518E4" w:rsidRPr="003E7F03" w14:paraId="5E9EB1DA"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7682762A"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Financial expenditure</w:t>
            </w:r>
          </w:p>
        </w:tc>
        <w:tc>
          <w:tcPr>
            <w:tcW w:w="1026" w:type="dxa"/>
            <w:gridSpan w:val="2"/>
            <w:tcBorders>
              <w:top w:val="nil"/>
              <w:left w:val="nil"/>
              <w:bottom w:val="nil"/>
              <w:right w:val="nil"/>
            </w:tcBorders>
            <w:shd w:val="clear" w:color="000000" w:fill="FFFFFF"/>
            <w:noWrap/>
            <w:vAlign w:val="bottom"/>
            <w:hideMark/>
          </w:tcPr>
          <w:p w14:paraId="05FC2531"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100" w:type="dxa"/>
            <w:gridSpan w:val="2"/>
            <w:tcBorders>
              <w:top w:val="nil"/>
              <w:left w:val="nil"/>
              <w:bottom w:val="nil"/>
              <w:right w:val="nil"/>
            </w:tcBorders>
            <w:shd w:val="clear" w:color="000000" w:fill="FFFFFF"/>
            <w:noWrap/>
            <w:vAlign w:val="bottom"/>
            <w:hideMark/>
          </w:tcPr>
          <w:p w14:paraId="352B8D1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1,125,747</w:t>
            </w:r>
          </w:p>
        </w:tc>
        <w:tc>
          <w:tcPr>
            <w:tcW w:w="1026" w:type="dxa"/>
            <w:gridSpan w:val="2"/>
            <w:tcBorders>
              <w:top w:val="nil"/>
              <w:left w:val="nil"/>
              <w:bottom w:val="nil"/>
              <w:right w:val="nil"/>
            </w:tcBorders>
            <w:shd w:val="clear" w:color="auto" w:fill="auto"/>
            <w:noWrap/>
            <w:vAlign w:val="bottom"/>
            <w:hideMark/>
          </w:tcPr>
          <w:p w14:paraId="62CF647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w:t>
            </w:r>
          </w:p>
        </w:tc>
        <w:tc>
          <w:tcPr>
            <w:tcW w:w="1056" w:type="dxa"/>
            <w:tcBorders>
              <w:top w:val="nil"/>
              <w:left w:val="nil"/>
              <w:bottom w:val="nil"/>
              <w:right w:val="nil"/>
            </w:tcBorders>
            <w:shd w:val="clear" w:color="auto" w:fill="auto"/>
            <w:noWrap/>
            <w:vAlign w:val="bottom"/>
            <w:hideMark/>
          </w:tcPr>
          <w:p w14:paraId="494F332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1,125,747</w:t>
            </w:r>
          </w:p>
        </w:tc>
        <w:tc>
          <w:tcPr>
            <w:tcW w:w="936" w:type="dxa"/>
            <w:gridSpan w:val="2"/>
            <w:tcBorders>
              <w:top w:val="nil"/>
              <w:left w:val="nil"/>
              <w:bottom w:val="nil"/>
              <w:right w:val="nil"/>
            </w:tcBorders>
            <w:shd w:val="clear" w:color="auto" w:fill="auto"/>
            <w:noWrap/>
            <w:vAlign w:val="bottom"/>
            <w:hideMark/>
          </w:tcPr>
          <w:p w14:paraId="7E694E6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1,125,747</w:t>
            </w:r>
          </w:p>
        </w:tc>
        <w:tc>
          <w:tcPr>
            <w:tcW w:w="826" w:type="dxa"/>
            <w:gridSpan w:val="2"/>
            <w:tcBorders>
              <w:top w:val="nil"/>
              <w:left w:val="nil"/>
              <w:bottom w:val="nil"/>
              <w:right w:val="single" w:sz="4" w:space="0" w:color="auto"/>
            </w:tcBorders>
            <w:shd w:val="clear" w:color="auto" w:fill="auto"/>
            <w:noWrap/>
            <w:vAlign w:val="bottom"/>
            <w:hideMark/>
          </w:tcPr>
          <w:p w14:paraId="28F1C852" w14:textId="77777777" w:rsidR="007518E4" w:rsidRPr="003E7F03" w:rsidRDefault="007518E4" w:rsidP="00E12685">
            <w:pPr>
              <w:spacing w:before="0"/>
              <w:ind w:left="0"/>
              <w:jc w:val="center"/>
              <w:rPr>
                <w:rFonts w:ascii="Times New Roman" w:hAnsi="Times New Roman"/>
                <w:sz w:val="18"/>
                <w:szCs w:val="18"/>
                <w:lang w:val="en-GB" w:eastAsia="en-GB"/>
              </w:rPr>
            </w:pPr>
            <w:r w:rsidRPr="003E7F03">
              <w:rPr>
                <w:rFonts w:ascii="Times New Roman" w:hAnsi="Times New Roman"/>
                <w:sz w:val="18"/>
                <w:szCs w:val="18"/>
                <w:lang w:val="en-GB" w:eastAsia="en-GB"/>
              </w:rPr>
              <w:t>#DIV/0!</w:t>
            </w:r>
          </w:p>
        </w:tc>
      </w:tr>
      <w:tr w:rsidR="007518E4" w:rsidRPr="003E7F03" w14:paraId="78DCE239"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0919DDA7"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Other expenditures</w:t>
            </w:r>
          </w:p>
        </w:tc>
        <w:tc>
          <w:tcPr>
            <w:tcW w:w="1026" w:type="dxa"/>
            <w:gridSpan w:val="2"/>
            <w:tcBorders>
              <w:top w:val="nil"/>
              <w:left w:val="nil"/>
              <w:bottom w:val="nil"/>
              <w:right w:val="nil"/>
            </w:tcBorders>
            <w:shd w:val="clear" w:color="000000" w:fill="FFFFFF"/>
            <w:noWrap/>
            <w:vAlign w:val="bottom"/>
            <w:hideMark/>
          </w:tcPr>
          <w:p w14:paraId="405900E5"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400,000</w:t>
            </w:r>
          </w:p>
        </w:tc>
        <w:tc>
          <w:tcPr>
            <w:tcW w:w="1100" w:type="dxa"/>
            <w:gridSpan w:val="2"/>
            <w:tcBorders>
              <w:top w:val="nil"/>
              <w:left w:val="nil"/>
              <w:bottom w:val="nil"/>
              <w:right w:val="nil"/>
            </w:tcBorders>
            <w:shd w:val="clear" w:color="000000" w:fill="FFFFFF"/>
            <w:noWrap/>
            <w:vAlign w:val="bottom"/>
            <w:hideMark/>
          </w:tcPr>
          <w:p w14:paraId="318437F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223,833</w:t>
            </w:r>
          </w:p>
        </w:tc>
        <w:tc>
          <w:tcPr>
            <w:tcW w:w="1026" w:type="dxa"/>
            <w:gridSpan w:val="2"/>
            <w:tcBorders>
              <w:top w:val="nil"/>
              <w:left w:val="nil"/>
              <w:bottom w:val="nil"/>
              <w:right w:val="nil"/>
            </w:tcBorders>
            <w:shd w:val="clear" w:color="auto" w:fill="auto"/>
            <w:noWrap/>
            <w:vAlign w:val="bottom"/>
            <w:hideMark/>
          </w:tcPr>
          <w:p w14:paraId="3864ED35"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413,578</w:t>
            </w:r>
          </w:p>
        </w:tc>
        <w:tc>
          <w:tcPr>
            <w:tcW w:w="1056" w:type="dxa"/>
            <w:tcBorders>
              <w:top w:val="nil"/>
              <w:left w:val="nil"/>
              <w:bottom w:val="nil"/>
              <w:right w:val="nil"/>
            </w:tcBorders>
            <w:shd w:val="clear" w:color="auto" w:fill="auto"/>
            <w:noWrap/>
            <w:vAlign w:val="bottom"/>
            <w:hideMark/>
          </w:tcPr>
          <w:p w14:paraId="12ECCD3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(176,167)</w:t>
            </w:r>
          </w:p>
        </w:tc>
        <w:tc>
          <w:tcPr>
            <w:tcW w:w="936" w:type="dxa"/>
            <w:gridSpan w:val="2"/>
            <w:tcBorders>
              <w:top w:val="nil"/>
              <w:left w:val="nil"/>
              <w:bottom w:val="nil"/>
              <w:right w:val="nil"/>
            </w:tcBorders>
            <w:shd w:val="clear" w:color="auto" w:fill="auto"/>
            <w:noWrap/>
            <w:vAlign w:val="bottom"/>
            <w:hideMark/>
          </w:tcPr>
          <w:p w14:paraId="218A85D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176,167</w:t>
            </w:r>
          </w:p>
        </w:tc>
        <w:tc>
          <w:tcPr>
            <w:tcW w:w="826" w:type="dxa"/>
            <w:gridSpan w:val="2"/>
            <w:tcBorders>
              <w:top w:val="nil"/>
              <w:left w:val="nil"/>
              <w:bottom w:val="nil"/>
              <w:right w:val="single" w:sz="4" w:space="0" w:color="auto"/>
            </w:tcBorders>
            <w:shd w:val="clear" w:color="auto" w:fill="auto"/>
            <w:noWrap/>
            <w:vAlign w:val="bottom"/>
            <w:hideMark/>
          </w:tcPr>
          <w:p w14:paraId="5A3D331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42.6%</w:t>
            </w:r>
          </w:p>
        </w:tc>
      </w:tr>
      <w:tr w:rsidR="007518E4" w:rsidRPr="003E7F03" w14:paraId="008FC192"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4CDF96BF"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New purchase for operation</w:t>
            </w:r>
          </w:p>
        </w:tc>
        <w:tc>
          <w:tcPr>
            <w:tcW w:w="1026" w:type="dxa"/>
            <w:gridSpan w:val="2"/>
            <w:tcBorders>
              <w:top w:val="nil"/>
              <w:left w:val="nil"/>
              <w:bottom w:val="nil"/>
              <w:right w:val="nil"/>
            </w:tcBorders>
            <w:shd w:val="clear" w:color="000000" w:fill="FFFFFF"/>
            <w:noWrap/>
            <w:vAlign w:val="bottom"/>
            <w:hideMark/>
          </w:tcPr>
          <w:p w14:paraId="38A708E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100,000</w:t>
            </w:r>
          </w:p>
        </w:tc>
        <w:tc>
          <w:tcPr>
            <w:tcW w:w="1100" w:type="dxa"/>
            <w:gridSpan w:val="2"/>
            <w:tcBorders>
              <w:top w:val="nil"/>
              <w:left w:val="nil"/>
              <w:bottom w:val="nil"/>
              <w:right w:val="nil"/>
            </w:tcBorders>
            <w:shd w:val="clear" w:color="000000" w:fill="FFFFFF"/>
            <w:noWrap/>
            <w:vAlign w:val="bottom"/>
            <w:hideMark/>
          </w:tcPr>
          <w:p w14:paraId="7B0D9F3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149,832</w:t>
            </w:r>
          </w:p>
        </w:tc>
        <w:tc>
          <w:tcPr>
            <w:tcW w:w="1026" w:type="dxa"/>
            <w:gridSpan w:val="2"/>
            <w:tcBorders>
              <w:top w:val="nil"/>
              <w:left w:val="nil"/>
              <w:bottom w:val="nil"/>
              <w:right w:val="nil"/>
            </w:tcBorders>
            <w:shd w:val="clear" w:color="auto" w:fill="auto"/>
            <w:noWrap/>
            <w:vAlign w:val="bottom"/>
            <w:hideMark/>
          </w:tcPr>
          <w:p w14:paraId="54A2199C"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103,395</w:t>
            </w:r>
          </w:p>
        </w:tc>
        <w:tc>
          <w:tcPr>
            <w:tcW w:w="1056" w:type="dxa"/>
            <w:tcBorders>
              <w:top w:val="nil"/>
              <w:left w:val="nil"/>
              <w:bottom w:val="nil"/>
              <w:right w:val="nil"/>
            </w:tcBorders>
            <w:shd w:val="clear" w:color="auto" w:fill="auto"/>
            <w:noWrap/>
            <w:vAlign w:val="bottom"/>
            <w:hideMark/>
          </w:tcPr>
          <w:p w14:paraId="69BD4FA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49,832</w:t>
            </w:r>
          </w:p>
        </w:tc>
        <w:tc>
          <w:tcPr>
            <w:tcW w:w="936" w:type="dxa"/>
            <w:gridSpan w:val="2"/>
            <w:tcBorders>
              <w:top w:val="nil"/>
              <w:left w:val="nil"/>
              <w:bottom w:val="nil"/>
              <w:right w:val="nil"/>
            </w:tcBorders>
            <w:shd w:val="clear" w:color="auto" w:fill="auto"/>
            <w:noWrap/>
            <w:vAlign w:val="bottom"/>
            <w:hideMark/>
          </w:tcPr>
          <w:p w14:paraId="1EA5E60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49,832</w:t>
            </w:r>
          </w:p>
        </w:tc>
        <w:tc>
          <w:tcPr>
            <w:tcW w:w="826" w:type="dxa"/>
            <w:gridSpan w:val="2"/>
            <w:tcBorders>
              <w:top w:val="nil"/>
              <w:left w:val="nil"/>
              <w:bottom w:val="nil"/>
              <w:right w:val="single" w:sz="4" w:space="0" w:color="auto"/>
            </w:tcBorders>
            <w:shd w:val="clear" w:color="auto" w:fill="auto"/>
            <w:noWrap/>
            <w:vAlign w:val="bottom"/>
            <w:hideMark/>
          </w:tcPr>
          <w:p w14:paraId="5D75858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48.2%</w:t>
            </w:r>
          </w:p>
        </w:tc>
      </w:tr>
      <w:tr w:rsidR="007518E4" w:rsidRPr="003E7F03" w14:paraId="5F9402F9"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26019C63"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Capital-external expenditure</w:t>
            </w:r>
          </w:p>
        </w:tc>
        <w:tc>
          <w:tcPr>
            <w:tcW w:w="1026" w:type="dxa"/>
            <w:gridSpan w:val="2"/>
            <w:tcBorders>
              <w:top w:val="nil"/>
              <w:left w:val="nil"/>
              <w:bottom w:val="nil"/>
              <w:right w:val="nil"/>
            </w:tcBorders>
            <w:shd w:val="clear" w:color="000000" w:fill="FFFFFF"/>
            <w:noWrap/>
            <w:vAlign w:val="bottom"/>
            <w:hideMark/>
          </w:tcPr>
          <w:p w14:paraId="26D94B1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7,234,320</w:t>
            </w:r>
          </w:p>
        </w:tc>
        <w:tc>
          <w:tcPr>
            <w:tcW w:w="1100" w:type="dxa"/>
            <w:gridSpan w:val="2"/>
            <w:tcBorders>
              <w:top w:val="nil"/>
              <w:left w:val="nil"/>
              <w:bottom w:val="nil"/>
              <w:right w:val="nil"/>
            </w:tcBorders>
            <w:shd w:val="clear" w:color="000000" w:fill="FFFFFF"/>
            <w:noWrap/>
            <w:vAlign w:val="bottom"/>
            <w:hideMark/>
          </w:tcPr>
          <w:p w14:paraId="7922C7D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7,911,170</w:t>
            </w:r>
          </w:p>
        </w:tc>
        <w:tc>
          <w:tcPr>
            <w:tcW w:w="1026" w:type="dxa"/>
            <w:gridSpan w:val="2"/>
            <w:tcBorders>
              <w:top w:val="nil"/>
              <w:left w:val="nil"/>
              <w:bottom w:val="nil"/>
              <w:right w:val="nil"/>
            </w:tcBorders>
            <w:shd w:val="clear" w:color="auto" w:fill="auto"/>
            <w:noWrap/>
            <w:vAlign w:val="bottom"/>
            <w:hideMark/>
          </w:tcPr>
          <w:p w14:paraId="4659B62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7,479,896</w:t>
            </w:r>
          </w:p>
        </w:tc>
        <w:tc>
          <w:tcPr>
            <w:tcW w:w="1056" w:type="dxa"/>
            <w:tcBorders>
              <w:top w:val="nil"/>
              <w:left w:val="nil"/>
              <w:bottom w:val="nil"/>
              <w:right w:val="nil"/>
            </w:tcBorders>
            <w:shd w:val="clear" w:color="auto" w:fill="auto"/>
            <w:noWrap/>
            <w:vAlign w:val="bottom"/>
            <w:hideMark/>
          </w:tcPr>
          <w:p w14:paraId="7AAD97A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676,850</w:t>
            </w:r>
          </w:p>
        </w:tc>
        <w:tc>
          <w:tcPr>
            <w:tcW w:w="936" w:type="dxa"/>
            <w:gridSpan w:val="2"/>
            <w:tcBorders>
              <w:top w:val="nil"/>
              <w:left w:val="nil"/>
              <w:bottom w:val="nil"/>
              <w:right w:val="nil"/>
            </w:tcBorders>
            <w:shd w:val="clear" w:color="auto" w:fill="auto"/>
            <w:noWrap/>
            <w:vAlign w:val="bottom"/>
            <w:hideMark/>
          </w:tcPr>
          <w:p w14:paraId="70A00FA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676,850</w:t>
            </w:r>
          </w:p>
        </w:tc>
        <w:tc>
          <w:tcPr>
            <w:tcW w:w="826" w:type="dxa"/>
            <w:gridSpan w:val="2"/>
            <w:tcBorders>
              <w:top w:val="nil"/>
              <w:left w:val="nil"/>
              <w:bottom w:val="nil"/>
              <w:right w:val="single" w:sz="4" w:space="0" w:color="auto"/>
            </w:tcBorders>
            <w:shd w:val="clear" w:color="auto" w:fill="auto"/>
            <w:noWrap/>
            <w:vAlign w:val="bottom"/>
            <w:hideMark/>
          </w:tcPr>
          <w:p w14:paraId="47854AD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9.0%</w:t>
            </w:r>
          </w:p>
        </w:tc>
      </w:tr>
      <w:tr w:rsidR="007518E4" w:rsidRPr="003E7F03" w14:paraId="23373D75"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4C42FC7F"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Capital-local expenditure</w:t>
            </w:r>
          </w:p>
        </w:tc>
        <w:tc>
          <w:tcPr>
            <w:tcW w:w="1026" w:type="dxa"/>
            <w:gridSpan w:val="2"/>
            <w:tcBorders>
              <w:top w:val="nil"/>
              <w:left w:val="nil"/>
              <w:bottom w:val="nil"/>
              <w:right w:val="nil"/>
            </w:tcBorders>
            <w:shd w:val="clear" w:color="000000" w:fill="FFFFFF"/>
            <w:noWrap/>
            <w:vAlign w:val="bottom"/>
            <w:hideMark/>
          </w:tcPr>
          <w:p w14:paraId="40DD7F8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3,300,000</w:t>
            </w:r>
          </w:p>
        </w:tc>
        <w:tc>
          <w:tcPr>
            <w:tcW w:w="1100" w:type="dxa"/>
            <w:gridSpan w:val="2"/>
            <w:tcBorders>
              <w:top w:val="nil"/>
              <w:left w:val="nil"/>
              <w:bottom w:val="nil"/>
              <w:right w:val="nil"/>
            </w:tcBorders>
            <w:shd w:val="clear" w:color="000000" w:fill="FFFFFF"/>
            <w:noWrap/>
            <w:vAlign w:val="bottom"/>
            <w:hideMark/>
          </w:tcPr>
          <w:p w14:paraId="0C71833C"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3,494,241</w:t>
            </w:r>
          </w:p>
        </w:tc>
        <w:tc>
          <w:tcPr>
            <w:tcW w:w="1026" w:type="dxa"/>
            <w:gridSpan w:val="2"/>
            <w:tcBorders>
              <w:top w:val="nil"/>
              <w:left w:val="nil"/>
              <w:bottom w:val="nil"/>
              <w:right w:val="nil"/>
            </w:tcBorders>
            <w:shd w:val="clear" w:color="auto" w:fill="auto"/>
            <w:noWrap/>
            <w:vAlign w:val="bottom"/>
            <w:hideMark/>
          </w:tcPr>
          <w:p w14:paraId="79C44293"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3,412,022</w:t>
            </w:r>
          </w:p>
        </w:tc>
        <w:tc>
          <w:tcPr>
            <w:tcW w:w="1056" w:type="dxa"/>
            <w:tcBorders>
              <w:top w:val="nil"/>
              <w:left w:val="nil"/>
              <w:bottom w:val="nil"/>
              <w:right w:val="nil"/>
            </w:tcBorders>
            <w:shd w:val="clear" w:color="auto" w:fill="auto"/>
            <w:noWrap/>
            <w:vAlign w:val="bottom"/>
            <w:hideMark/>
          </w:tcPr>
          <w:p w14:paraId="793B00E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194,241</w:t>
            </w:r>
          </w:p>
        </w:tc>
        <w:tc>
          <w:tcPr>
            <w:tcW w:w="936" w:type="dxa"/>
            <w:gridSpan w:val="2"/>
            <w:tcBorders>
              <w:top w:val="nil"/>
              <w:left w:val="nil"/>
              <w:bottom w:val="nil"/>
              <w:right w:val="nil"/>
            </w:tcBorders>
            <w:shd w:val="clear" w:color="auto" w:fill="auto"/>
            <w:noWrap/>
            <w:vAlign w:val="bottom"/>
            <w:hideMark/>
          </w:tcPr>
          <w:p w14:paraId="679F8A4B"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194,241</w:t>
            </w:r>
          </w:p>
        </w:tc>
        <w:tc>
          <w:tcPr>
            <w:tcW w:w="826" w:type="dxa"/>
            <w:gridSpan w:val="2"/>
            <w:tcBorders>
              <w:top w:val="nil"/>
              <w:left w:val="nil"/>
              <w:bottom w:val="nil"/>
              <w:right w:val="single" w:sz="4" w:space="0" w:color="auto"/>
            </w:tcBorders>
            <w:shd w:val="clear" w:color="auto" w:fill="auto"/>
            <w:noWrap/>
            <w:vAlign w:val="bottom"/>
            <w:hideMark/>
          </w:tcPr>
          <w:p w14:paraId="6E89455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5.7%</w:t>
            </w:r>
          </w:p>
        </w:tc>
      </w:tr>
      <w:tr w:rsidR="007518E4" w:rsidRPr="003E7F03" w14:paraId="5A649C4E"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193D735E"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External debt</w:t>
            </w:r>
          </w:p>
        </w:tc>
        <w:tc>
          <w:tcPr>
            <w:tcW w:w="1026" w:type="dxa"/>
            <w:gridSpan w:val="2"/>
            <w:tcBorders>
              <w:top w:val="nil"/>
              <w:left w:val="nil"/>
              <w:bottom w:val="nil"/>
              <w:right w:val="nil"/>
            </w:tcBorders>
            <w:shd w:val="clear" w:color="000000" w:fill="FFFFFF"/>
            <w:noWrap/>
            <w:vAlign w:val="bottom"/>
            <w:hideMark/>
          </w:tcPr>
          <w:p w14:paraId="657FAA0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2,561,554</w:t>
            </w:r>
          </w:p>
        </w:tc>
        <w:tc>
          <w:tcPr>
            <w:tcW w:w="1100" w:type="dxa"/>
            <w:gridSpan w:val="2"/>
            <w:tcBorders>
              <w:top w:val="nil"/>
              <w:left w:val="nil"/>
              <w:bottom w:val="nil"/>
              <w:right w:val="nil"/>
            </w:tcBorders>
            <w:shd w:val="clear" w:color="auto" w:fill="auto"/>
            <w:noWrap/>
            <w:vAlign w:val="bottom"/>
            <w:hideMark/>
          </w:tcPr>
          <w:p w14:paraId="6DAA8FF4"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2,053,099</w:t>
            </w:r>
          </w:p>
        </w:tc>
        <w:tc>
          <w:tcPr>
            <w:tcW w:w="1026" w:type="dxa"/>
            <w:gridSpan w:val="2"/>
            <w:tcBorders>
              <w:top w:val="nil"/>
              <w:left w:val="nil"/>
              <w:bottom w:val="nil"/>
              <w:right w:val="nil"/>
            </w:tcBorders>
            <w:shd w:val="clear" w:color="auto" w:fill="auto"/>
            <w:noWrap/>
            <w:vAlign w:val="bottom"/>
            <w:hideMark/>
          </w:tcPr>
          <w:p w14:paraId="4361736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2,648,508</w:t>
            </w:r>
          </w:p>
        </w:tc>
        <w:tc>
          <w:tcPr>
            <w:tcW w:w="1056" w:type="dxa"/>
            <w:tcBorders>
              <w:top w:val="nil"/>
              <w:left w:val="nil"/>
              <w:bottom w:val="nil"/>
              <w:right w:val="nil"/>
            </w:tcBorders>
            <w:shd w:val="clear" w:color="auto" w:fill="auto"/>
            <w:noWrap/>
            <w:vAlign w:val="bottom"/>
            <w:hideMark/>
          </w:tcPr>
          <w:p w14:paraId="0C96437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(508,455)</w:t>
            </w:r>
          </w:p>
        </w:tc>
        <w:tc>
          <w:tcPr>
            <w:tcW w:w="936" w:type="dxa"/>
            <w:gridSpan w:val="2"/>
            <w:tcBorders>
              <w:top w:val="nil"/>
              <w:left w:val="nil"/>
              <w:bottom w:val="nil"/>
              <w:right w:val="nil"/>
            </w:tcBorders>
            <w:shd w:val="clear" w:color="auto" w:fill="auto"/>
            <w:noWrap/>
            <w:vAlign w:val="bottom"/>
            <w:hideMark/>
          </w:tcPr>
          <w:p w14:paraId="7BA6F36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508,455</w:t>
            </w:r>
          </w:p>
        </w:tc>
        <w:tc>
          <w:tcPr>
            <w:tcW w:w="826" w:type="dxa"/>
            <w:gridSpan w:val="2"/>
            <w:tcBorders>
              <w:top w:val="nil"/>
              <w:left w:val="nil"/>
              <w:bottom w:val="nil"/>
              <w:right w:val="single" w:sz="4" w:space="0" w:color="auto"/>
            </w:tcBorders>
            <w:shd w:val="clear" w:color="auto" w:fill="auto"/>
            <w:noWrap/>
            <w:vAlign w:val="bottom"/>
            <w:hideMark/>
          </w:tcPr>
          <w:p w14:paraId="4ED4F26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19.2%</w:t>
            </w:r>
          </w:p>
        </w:tc>
      </w:tr>
      <w:tr w:rsidR="007518E4" w:rsidRPr="003E7F03" w14:paraId="0F03317E"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nil"/>
              <w:right w:val="nil"/>
            </w:tcBorders>
            <w:shd w:val="clear" w:color="auto" w:fill="auto"/>
            <w:noWrap/>
            <w:vAlign w:val="bottom"/>
            <w:hideMark/>
          </w:tcPr>
          <w:p w14:paraId="60CD4755"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Domestic debt</w:t>
            </w:r>
          </w:p>
        </w:tc>
        <w:tc>
          <w:tcPr>
            <w:tcW w:w="1026" w:type="dxa"/>
            <w:gridSpan w:val="2"/>
            <w:tcBorders>
              <w:top w:val="nil"/>
              <w:left w:val="nil"/>
              <w:bottom w:val="nil"/>
              <w:right w:val="nil"/>
            </w:tcBorders>
            <w:shd w:val="clear" w:color="000000" w:fill="FFFFFF"/>
            <w:noWrap/>
            <w:vAlign w:val="bottom"/>
            <w:hideMark/>
          </w:tcPr>
          <w:p w14:paraId="3E36706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2,998,307</w:t>
            </w:r>
          </w:p>
        </w:tc>
        <w:tc>
          <w:tcPr>
            <w:tcW w:w="1100" w:type="dxa"/>
            <w:gridSpan w:val="2"/>
            <w:tcBorders>
              <w:top w:val="nil"/>
              <w:left w:val="nil"/>
              <w:bottom w:val="nil"/>
              <w:right w:val="nil"/>
            </w:tcBorders>
            <w:shd w:val="clear" w:color="auto" w:fill="auto"/>
            <w:noWrap/>
            <w:vAlign w:val="bottom"/>
            <w:hideMark/>
          </w:tcPr>
          <w:p w14:paraId="4983082B"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3,005,349</w:t>
            </w:r>
          </w:p>
        </w:tc>
        <w:tc>
          <w:tcPr>
            <w:tcW w:w="1026" w:type="dxa"/>
            <w:gridSpan w:val="2"/>
            <w:tcBorders>
              <w:top w:val="nil"/>
              <w:left w:val="nil"/>
              <w:bottom w:val="nil"/>
              <w:right w:val="nil"/>
            </w:tcBorders>
            <w:shd w:val="clear" w:color="auto" w:fill="auto"/>
            <w:noWrap/>
            <w:vAlign w:val="bottom"/>
            <w:hideMark/>
          </w:tcPr>
          <w:p w14:paraId="42DD30E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3,100,087</w:t>
            </w:r>
          </w:p>
        </w:tc>
        <w:tc>
          <w:tcPr>
            <w:tcW w:w="1056" w:type="dxa"/>
            <w:tcBorders>
              <w:top w:val="nil"/>
              <w:left w:val="nil"/>
              <w:bottom w:val="nil"/>
              <w:right w:val="nil"/>
            </w:tcBorders>
            <w:shd w:val="clear" w:color="auto" w:fill="auto"/>
            <w:noWrap/>
            <w:vAlign w:val="bottom"/>
            <w:hideMark/>
          </w:tcPr>
          <w:p w14:paraId="3AAA4BF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7,042</w:t>
            </w:r>
          </w:p>
        </w:tc>
        <w:tc>
          <w:tcPr>
            <w:tcW w:w="936" w:type="dxa"/>
            <w:gridSpan w:val="2"/>
            <w:tcBorders>
              <w:top w:val="nil"/>
              <w:left w:val="nil"/>
              <w:bottom w:val="nil"/>
              <w:right w:val="nil"/>
            </w:tcBorders>
            <w:shd w:val="clear" w:color="auto" w:fill="auto"/>
            <w:noWrap/>
            <w:vAlign w:val="bottom"/>
            <w:hideMark/>
          </w:tcPr>
          <w:p w14:paraId="3230023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7,042</w:t>
            </w:r>
          </w:p>
        </w:tc>
        <w:tc>
          <w:tcPr>
            <w:tcW w:w="826" w:type="dxa"/>
            <w:gridSpan w:val="2"/>
            <w:tcBorders>
              <w:top w:val="nil"/>
              <w:left w:val="nil"/>
              <w:bottom w:val="nil"/>
              <w:right w:val="single" w:sz="4" w:space="0" w:color="auto"/>
            </w:tcBorders>
            <w:shd w:val="clear" w:color="auto" w:fill="auto"/>
            <w:noWrap/>
            <w:vAlign w:val="bottom"/>
            <w:hideMark/>
          </w:tcPr>
          <w:p w14:paraId="76D2C60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0.2%</w:t>
            </w:r>
          </w:p>
        </w:tc>
      </w:tr>
      <w:tr w:rsidR="007518E4" w:rsidRPr="003E7F03" w14:paraId="34E04D81"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8E5E82" w14:textId="77777777" w:rsidR="007518E4" w:rsidRPr="003E7F03" w:rsidRDefault="007518E4" w:rsidP="00E12685">
            <w:pPr>
              <w:spacing w:before="0"/>
              <w:ind w:left="0"/>
              <w:jc w:val="left"/>
              <w:rPr>
                <w:rFonts w:ascii="Times New Roman" w:hAnsi="Times New Roman"/>
                <w:b/>
                <w:bCs/>
                <w:sz w:val="18"/>
                <w:szCs w:val="18"/>
                <w:lang w:val="en-GB" w:eastAsia="en-GB"/>
              </w:rPr>
            </w:pPr>
            <w:r w:rsidRPr="003E7F03">
              <w:rPr>
                <w:rFonts w:ascii="Times New Roman" w:hAnsi="Times New Roman"/>
                <w:b/>
                <w:bCs/>
                <w:sz w:val="18"/>
                <w:szCs w:val="18"/>
                <w:lang w:val="en-GB" w:eastAsia="en-GB"/>
              </w:rPr>
              <w:t>Total expenditure</w:t>
            </w:r>
          </w:p>
        </w:tc>
        <w:tc>
          <w:tcPr>
            <w:tcW w:w="1026" w:type="dxa"/>
            <w:gridSpan w:val="2"/>
            <w:tcBorders>
              <w:top w:val="single" w:sz="4" w:space="0" w:color="auto"/>
              <w:left w:val="nil"/>
              <w:bottom w:val="single" w:sz="4" w:space="0" w:color="auto"/>
              <w:right w:val="nil"/>
            </w:tcBorders>
            <w:shd w:val="clear" w:color="auto" w:fill="auto"/>
            <w:noWrap/>
            <w:vAlign w:val="bottom"/>
            <w:hideMark/>
          </w:tcPr>
          <w:p w14:paraId="58CC4963"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31,000,000</w:t>
            </w:r>
          </w:p>
        </w:tc>
        <w:tc>
          <w:tcPr>
            <w:tcW w:w="1100" w:type="dxa"/>
            <w:gridSpan w:val="2"/>
            <w:tcBorders>
              <w:top w:val="single" w:sz="4" w:space="0" w:color="auto"/>
              <w:left w:val="nil"/>
              <w:bottom w:val="single" w:sz="4" w:space="0" w:color="auto"/>
              <w:right w:val="nil"/>
            </w:tcBorders>
            <w:shd w:val="clear" w:color="auto" w:fill="auto"/>
            <w:noWrap/>
            <w:vAlign w:val="bottom"/>
            <w:hideMark/>
          </w:tcPr>
          <w:p w14:paraId="3028429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32,052,324</w:t>
            </w:r>
          </w:p>
        </w:tc>
        <w:tc>
          <w:tcPr>
            <w:tcW w:w="1026" w:type="dxa"/>
            <w:gridSpan w:val="2"/>
            <w:tcBorders>
              <w:top w:val="single" w:sz="4" w:space="0" w:color="auto"/>
              <w:left w:val="nil"/>
              <w:bottom w:val="single" w:sz="4" w:space="0" w:color="auto"/>
              <w:right w:val="nil"/>
            </w:tcBorders>
            <w:shd w:val="clear" w:color="auto" w:fill="auto"/>
            <w:noWrap/>
            <w:vAlign w:val="bottom"/>
            <w:hideMark/>
          </w:tcPr>
          <w:p w14:paraId="138F7CB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32,052,324</w:t>
            </w:r>
          </w:p>
        </w:tc>
        <w:tc>
          <w:tcPr>
            <w:tcW w:w="1056" w:type="dxa"/>
            <w:tcBorders>
              <w:top w:val="single" w:sz="4" w:space="0" w:color="auto"/>
              <w:left w:val="nil"/>
              <w:bottom w:val="single" w:sz="4" w:space="0" w:color="auto"/>
              <w:right w:val="nil"/>
            </w:tcBorders>
            <w:shd w:val="clear" w:color="auto" w:fill="auto"/>
            <w:noWrap/>
            <w:vAlign w:val="bottom"/>
            <w:hideMark/>
          </w:tcPr>
          <w:p w14:paraId="02B0348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1,052,324</w:t>
            </w:r>
          </w:p>
        </w:tc>
        <w:tc>
          <w:tcPr>
            <w:tcW w:w="936" w:type="dxa"/>
            <w:gridSpan w:val="2"/>
            <w:tcBorders>
              <w:top w:val="single" w:sz="4" w:space="0" w:color="auto"/>
              <w:left w:val="nil"/>
              <w:bottom w:val="single" w:sz="4" w:space="0" w:color="auto"/>
              <w:right w:val="nil"/>
            </w:tcBorders>
            <w:shd w:val="clear" w:color="auto" w:fill="auto"/>
            <w:noWrap/>
            <w:vAlign w:val="bottom"/>
            <w:hideMark/>
          </w:tcPr>
          <w:p w14:paraId="3CDAD8E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4,389,087</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C118C7"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r>
      <w:tr w:rsidR="007518E4" w:rsidRPr="003E7F03" w14:paraId="33E156DD" w14:textId="77777777" w:rsidTr="00D737E9">
        <w:tblPrEx>
          <w:tblCellMar>
            <w:left w:w="108" w:type="dxa"/>
            <w:right w:w="108" w:type="dxa"/>
          </w:tblCellMar>
        </w:tblPrEx>
        <w:trPr>
          <w:gridBefore w:val="1"/>
          <w:gridAfter w:val="1"/>
          <w:wBefore w:w="70" w:type="dxa"/>
          <w:wAfter w:w="44" w:type="dxa"/>
          <w:trHeight w:val="20"/>
        </w:trPr>
        <w:tc>
          <w:tcPr>
            <w:tcW w:w="2977" w:type="dxa"/>
            <w:gridSpan w:val="2"/>
            <w:tcBorders>
              <w:top w:val="nil"/>
              <w:left w:val="single" w:sz="4" w:space="0" w:color="auto"/>
              <w:bottom w:val="single" w:sz="4" w:space="0" w:color="auto"/>
              <w:right w:val="nil"/>
            </w:tcBorders>
            <w:shd w:val="clear" w:color="auto" w:fill="auto"/>
            <w:noWrap/>
            <w:vAlign w:val="bottom"/>
            <w:hideMark/>
          </w:tcPr>
          <w:p w14:paraId="1C0A2515"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composition variance</w:t>
            </w:r>
          </w:p>
        </w:tc>
        <w:tc>
          <w:tcPr>
            <w:tcW w:w="1026" w:type="dxa"/>
            <w:gridSpan w:val="2"/>
            <w:tcBorders>
              <w:top w:val="nil"/>
              <w:left w:val="nil"/>
              <w:bottom w:val="single" w:sz="4" w:space="0" w:color="auto"/>
              <w:right w:val="nil"/>
            </w:tcBorders>
            <w:shd w:val="clear" w:color="auto" w:fill="auto"/>
            <w:noWrap/>
            <w:vAlign w:val="center"/>
            <w:hideMark/>
          </w:tcPr>
          <w:p w14:paraId="4C3D5A97" w14:textId="77777777" w:rsidR="007518E4" w:rsidRPr="003E7F03" w:rsidRDefault="007518E4" w:rsidP="00E12685">
            <w:pPr>
              <w:spacing w:before="0"/>
              <w:ind w:left="0"/>
              <w:jc w:val="right"/>
              <w:rPr>
                <w:rFonts w:ascii="Times New Roman" w:hAnsi="Times New Roman"/>
                <w:b/>
                <w:bCs/>
                <w:sz w:val="18"/>
                <w:szCs w:val="18"/>
                <w:lang w:val="en-GB" w:eastAsia="en-GB"/>
              </w:rPr>
            </w:pPr>
          </w:p>
        </w:tc>
        <w:tc>
          <w:tcPr>
            <w:tcW w:w="1100" w:type="dxa"/>
            <w:gridSpan w:val="2"/>
            <w:tcBorders>
              <w:top w:val="nil"/>
              <w:left w:val="nil"/>
              <w:bottom w:val="single" w:sz="4" w:space="0" w:color="auto"/>
              <w:right w:val="nil"/>
            </w:tcBorders>
            <w:shd w:val="clear" w:color="auto" w:fill="auto"/>
            <w:noWrap/>
            <w:vAlign w:val="center"/>
            <w:hideMark/>
          </w:tcPr>
          <w:p w14:paraId="68C92307" w14:textId="77777777" w:rsidR="007518E4" w:rsidRPr="003E7F03" w:rsidRDefault="007518E4" w:rsidP="00E12685">
            <w:pPr>
              <w:spacing w:before="0"/>
              <w:ind w:left="0"/>
              <w:jc w:val="right"/>
              <w:rPr>
                <w:rFonts w:ascii="Times New Roman" w:hAnsi="Times New Roman"/>
                <w:b/>
                <w:bCs/>
                <w:sz w:val="18"/>
                <w:szCs w:val="18"/>
                <w:lang w:val="en-GB" w:eastAsia="en-GB"/>
              </w:rPr>
            </w:pPr>
          </w:p>
        </w:tc>
        <w:tc>
          <w:tcPr>
            <w:tcW w:w="1026" w:type="dxa"/>
            <w:gridSpan w:val="2"/>
            <w:tcBorders>
              <w:top w:val="nil"/>
              <w:left w:val="nil"/>
              <w:bottom w:val="single" w:sz="4" w:space="0" w:color="auto"/>
              <w:right w:val="nil"/>
            </w:tcBorders>
            <w:shd w:val="clear" w:color="auto" w:fill="auto"/>
            <w:noWrap/>
            <w:vAlign w:val="center"/>
            <w:hideMark/>
          </w:tcPr>
          <w:p w14:paraId="0751AB06"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056" w:type="dxa"/>
            <w:tcBorders>
              <w:top w:val="nil"/>
              <w:left w:val="nil"/>
              <w:bottom w:val="single" w:sz="4" w:space="0" w:color="auto"/>
              <w:right w:val="nil"/>
            </w:tcBorders>
            <w:shd w:val="clear" w:color="auto" w:fill="auto"/>
            <w:noWrap/>
            <w:vAlign w:val="center"/>
            <w:hideMark/>
          </w:tcPr>
          <w:p w14:paraId="631AB2BC"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936" w:type="dxa"/>
            <w:gridSpan w:val="2"/>
            <w:tcBorders>
              <w:top w:val="nil"/>
              <w:left w:val="nil"/>
              <w:bottom w:val="single" w:sz="4" w:space="0" w:color="auto"/>
              <w:right w:val="nil"/>
            </w:tcBorders>
            <w:shd w:val="clear" w:color="auto" w:fill="auto"/>
            <w:noWrap/>
            <w:vAlign w:val="center"/>
            <w:hideMark/>
          </w:tcPr>
          <w:p w14:paraId="1247C0EC"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826" w:type="dxa"/>
            <w:gridSpan w:val="2"/>
            <w:tcBorders>
              <w:top w:val="nil"/>
              <w:left w:val="nil"/>
              <w:bottom w:val="single" w:sz="4" w:space="0" w:color="auto"/>
              <w:right w:val="single" w:sz="4" w:space="0" w:color="auto"/>
            </w:tcBorders>
            <w:shd w:val="clear" w:color="auto" w:fill="auto"/>
            <w:noWrap/>
            <w:vAlign w:val="center"/>
            <w:hideMark/>
          </w:tcPr>
          <w:p w14:paraId="65C0E36A"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13.7%</w:t>
            </w:r>
          </w:p>
        </w:tc>
      </w:tr>
    </w:tbl>
    <w:p w14:paraId="66CE31B4" w14:textId="77777777" w:rsidR="00D737E9" w:rsidRDefault="00D737E9"/>
    <w:tbl>
      <w:tblPr>
        <w:tblW w:w="0" w:type="auto"/>
        <w:tblInd w:w="108" w:type="dxa"/>
        <w:tblLayout w:type="fixed"/>
        <w:tblLook w:val="04A0" w:firstRow="1" w:lastRow="0" w:firstColumn="1" w:lastColumn="0" w:noHBand="0" w:noVBand="1"/>
      </w:tblPr>
      <w:tblGrid>
        <w:gridCol w:w="2977"/>
        <w:gridCol w:w="1026"/>
        <w:gridCol w:w="1100"/>
        <w:gridCol w:w="1026"/>
        <w:gridCol w:w="1056"/>
        <w:gridCol w:w="936"/>
        <w:gridCol w:w="826"/>
      </w:tblGrid>
      <w:tr w:rsidR="007518E4" w:rsidRPr="003E7F03" w14:paraId="271CD87B"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0F55A2EE" w14:textId="77777777" w:rsidR="007518E4" w:rsidRPr="003E7F03" w:rsidRDefault="007518E4" w:rsidP="00E12685">
            <w:pPr>
              <w:spacing w:before="0"/>
              <w:ind w:left="0"/>
              <w:jc w:val="left"/>
              <w:rPr>
                <w:rFonts w:ascii="Times New Roman" w:hAnsi="Times New Roman"/>
                <w:b/>
                <w:bCs/>
                <w:sz w:val="18"/>
                <w:szCs w:val="18"/>
                <w:lang w:val="en-GB" w:eastAsia="en-GB"/>
              </w:rPr>
            </w:pPr>
            <w:r>
              <w:rPr>
                <w:rFonts w:ascii="Times New Roman" w:hAnsi="Times New Roman"/>
                <w:b/>
                <w:bCs/>
                <w:sz w:val="18"/>
                <w:szCs w:val="18"/>
                <w:lang w:val="en-GB" w:eastAsia="en-GB"/>
              </w:rPr>
              <w:t xml:space="preserve">Table </w:t>
            </w:r>
            <w:r w:rsidR="000310F5">
              <w:rPr>
                <w:rFonts w:ascii="Times New Roman" w:hAnsi="Times New Roman"/>
                <w:b/>
                <w:bCs/>
                <w:sz w:val="18"/>
                <w:szCs w:val="18"/>
                <w:lang w:val="en-GB" w:eastAsia="en-GB"/>
              </w:rPr>
              <w:t>5</w:t>
            </w:r>
          </w:p>
        </w:tc>
        <w:tc>
          <w:tcPr>
            <w:tcW w:w="1026" w:type="dxa"/>
            <w:tcBorders>
              <w:top w:val="nil"/>
              <w:left w:val="nil"/>
              <w:bottom w:val="nil"/>
              <w:right w:val="nil"/>
            </w:tcBorders>
            <w:shd w:val="clear" w:color="auto" w:fill="auto"/>
            <w:noWrap/>
            <w:vAlign w:val="bottom"/>
            <w:hideMark/>
          </w:tcPr>
          <w:p w14:paraId="63584473"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100" w:type="dxa"/>
            <w:tcBorders>
              <w:top w:val="nil"/>
              <w:left w:val="nil"/>
              <w:bottom w:val="nil"/>
              <w:right w:val="nil"/>
            </w:tcBorders>
            <w:shd w:val="clear" w:color="auto" w:fill="auto"/>
            <w:noWrap/>
            <w:vAlign w:val="bottom"/>
            <w:hideMark/>
          </w:tcPr>
          <w:p w14:paraId="4C46CE43"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026" w:type="dxa"/>
            <w:tcBorders>
              <w:top w:val="nil"/>
              <w:left w:val="nil"/>
              <w:bottom w:val="nil"/>
              <w:right w:val="nil"/>
            </w:tcBorders>
            <w:shd w:val="clear" w:color="auto" w:fill="auto"/>
            <w:noWrap/>
            <w:vAlign w:val="bottom"/>
            <w:hideMark/>
          </w:tcPr>
          <w:p w14:paraId="5363BC0D"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056" w:type="dxa"/>
            <w:tcBorders>
              <w:top w:val="nil"/>
              <w:left w:val="nil"/>
              <w:bottom w:val="nil"/>
              <w:right w:val="nil"/>
            </w:tcBorders>
            <w:shd w:val="clear" w:color="auto" w:fill="auto"/>
            <w:noWrap/>
            <w:vAlign w:val="bottom"/>
            <w:hideMark/>
          </w:tcPr>
          <w:p w14:paraId="34322527"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936" w:type="dxa"/>
            <w:tcBorders>
              <w:top w:val="nil"/>
              <w:left w:val="nil"/>
              <w:bottom w:val="nil"/>
              <w:right w:val="nil"/>
            </w:tcBorders>
            <w:shd w:val="clear" w:color="auto" w:fill="auto"/>
            <w:noWrap/>
            <w:vAlign w:val="bottom"/>
            <w:hideMark/>
          </w:tcPr>
          <w:p w14:paraId="02C80843"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826" w:type="dxa"/>
            <w:tcBorders>
              <w:top w:val="nil"/>
              <w:left w:val="nil"/>
              <w:bottom w:val="nil"/>
              <w:right w:val="nil"/>
            </w:tcBorders>
            <w:shd w:val="clear" w:color="auto" w:fill="auto"/>
            <w:noWrap/>
            <w:vAlign w:val="bottom"/>
            <w:hideMark/>
          </w:tcPr>
          <w:p w14:paraId="4EF1A391" w14:textId="77777777" w:rsidR="007518E4" w:rsidRPr="003E7F03" w:rsidRDefault="007518E4" w:rsidP="00E12685">
            <w:pPr>
              <w:spacing w:before="0"/>
              <w:ind w:left="0"/>
              <w:jc w:val="left"/>
              <w:rPr>
                <w:rFonts w:ascii="Times New Roman" w:hAnsi="Times New Roman"/>
                <w:sz w:val="18"/>
                <w:szCs w:val="18"/>
                <w:lang w:val="en-GB" w:eastAsia="en-GB"/>
              </w:rPr>
            </w:pPr>
          </w:p>
        </w:tc>
      </w:tr>
      <w:tr w:rsidR="007518E4" w:rsidRPr="003E7F03" w14:paraId="0DA7DCCE" w14:textId="77777777" w:rsidTr="00D737E9">
        <w:trPr>
          <w:trHeight w:val="20"/>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14:paraId="18A9B942" w14:textId="77777777" w:rsidR="007518E4" w:rsidRPr="003E7F03" w:rsidRDefault="007518E4" w:rsidP="00E12685">
            <w:pPr>
              <w:spacing w:before="0"/>
              <w:ind w:left="0"/>
              <w:jc w:val="right"/>
              <w:rPr>
                <w:rFonts w:ascii="Times New Roman" w:hAnsi="Times New Roman"/>
                <w:b/>
                <w:bCs/>
                <w:sz w:val="18"/>
                <w:szCs w:val="18"/>
                <w:lang w:val="en-GB" w:eastAsia="en-GB"/>
              </w:rPr>
            </w:pPr>
          </w:p>
        </w:tc>
        <w:tc>
          <w:tcPr>
            <w:tcW w:w="1026" w:type="dxa"/>
            <w:tcBorders>
              <w:top w:val="single" w:sz="4" w:space="0" w:color="auto"/>
              <w:left w:val="nil"/>
              <w:bottom w:val="single" w:sz="4" w:space="0" w:color="auto"/>
              <w:right w:val="nil"/>
            </w:tcBorders>
            <w:shd w:val="clear" w:color="auto" w:fill="auto"/>
            <w:noWrap/>
            <w:vAlign w:val="bottom"/>
            <w:hideMark/>
          </w:tcPr>
          <w:p w14:paraId="4234D2E5"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2015/2016</w:t>
            </w:r>
          </w:p>
        </w:tc>
        <w:tc>
          <w:tcPr>
            <w:tcW w:w="1100" w:type="dxa"/>
            <w:tcBorders>
              <w:top w:val="single" w:sz="4" w:space="0" w:color="auto"/>
              <w:left w:val="nil"/>
              <w:bottom w:val="single" w:sz="4" w:space="0" w:color="auto"/>
              <w:right w:val="nil"/>
            </w:tcBorders>
            <w:shd w:val="clear" w:color="auto" w:fill="auto"/>
            <w:noWrap/>
            <w:vAlign w:val="bottom"/>
            <w:hideMark/>
          </w:tcPr>
          <w:p w14:paraId="7F8B84B0" w14:textId="77777777" w:rsidR="007518E4" w:rsidRPr="00CD0767" w:rsidRDefault="007518E4" w:rsidP="00E12685">
            <w:pPr>
              <w:spacing w:before="0"/>
              <w:ind w:left="0"/>
              <w:jc w:val="left"/>
              <w:rPr>
                <w:rFonts w:ascii="Times New Roman" w:hAnsi="Times New Roman"/>
                <w:bCs/>
                <w:color w:val="000000" w:themeColor="text1"/>
                <w:sz w:val="18"/>
                <w:szCs w:val="18"/>
                <w:lang w:val="en-GB" w:eastAsia="en-GB"/>
              </w:rPr>
            </w:pPr>
            <w:r w:rsidRPr="00CD0767">
              <w:rPr>
                <w:rFonts w:ascii="Times New Roman" w:hAnsi="Times New Roman"/>
                <w:bCs/>
                <w:sz w:val="18"/>
                <w:szCs w:val="18"/>
                <w:lang w:val="en-GB" w:eastAsia="en-GB"/>
              </w:rPr>
              <w:t>Million Kip</w:t>
            </w:r>
          </w:p>
        </w:tc>
        <w:tc>
          <w:tcPr>
            <w:tcW w:w="1026" w:type="dxa"/>
            <w:tcBorders>
              <w:top w:val="single" w:sz="4" w:space="0" w:color="auto"/>
              <w:left w:val="nil"/>
              <w:bottom w:val="single" w:sz="4" w:space="0" w:color="auto"/>
              <w:right w:val="nil"/>
            </w:tcBorders>
            <w:shd w:val="clear" w:color="auto" w:fill="auto"/>
            <w:noWrap/>
            <w:vAlign w:val="bottom"/>
            <w:hideMark/>
          </w:tcPr>
          <w:p w14:paraId="266E4A8D"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056" w:type="dxa"/>
            <w:tcBorders>
              <w:top w:val="single" w:sz="4" w:space="0" w:color="auto"/>
              <w:left w:val="nil"/>
              <w:bottom w:val="single" w:sz="4" w:space="0" w:color="auto"/>
              <w:right w:val="nil"/>
            </w:tcBorders>
            <w:shd w:val="clear" w:color="auto" w:fill="auto"/>
            <w:noWrap/>
            <w:vAlign w:val="bottom"/>
            <w:hideMark/>
          </w:tcPr>
          <w:p w14:paraId="702ECB60"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936" w:type="dxa"/>
            <w:tcBorders>
              <w:top w:val="single" w:sz="4" w:space="0" w:color="auto"/>
              <w:left w:val="nil"/>
              <w:bottom w:val="single" w:sz="4" w:space="0" w:color="auto"/>
              <w:right w:val="nil"/>
            </w:tcBorders>
            <w:shd w:val="clear" w:color="auto" w:fill="auto"/>
            <w:noWrap/>
            <w:vAlign w:val="bottom"/>
            <w:hideMark/>
          </w:tcPr>
          <w:p w14:paraId="4E3D1F01"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14:paraId="19DB5064"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r>
      <w:tr w:rsidR="007518E4" w:rsidRPr="003E7F03" w14:paraId="71B402A0" w14:textId="77777777" w:rsidTr="00D737E9">
        <w:trPr>
          <w:trHeight w:val="20"/>
        </w:trPr>
        <w:tc>
          <w:tcPr>
            <w:tcW w:w="2977" w:type="dxa"/>
            <w:tcBorders>
              <w:top w:val="nil"/>
              <w:left w:val="single" w:sz="4" w:space="0" w:color="auto"/>
              <w:bottom w:val="single" w:sz="4" w:space="0" w:color="auto"/>
              <w:right w:val="nil"/>
            </w:tcBorders>
            <w:shd w:val="clear" w:color="auto" w:fill="auto"/>
            <w:noWrap/>
            <w:vAlign w:val="center"/>
            <w:hideMark/>
          </w:tcPr>
          <w:p w14:paraId="7BCE8175"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Economic head</w:t>
            </w:r>
          </w:p>
        </w:tc>
        <w:tc>
          <w:tcPr>
            <w:tcW w:w="1026" w:type="dxa"/>
            <w:tcBorders>
              <w:top w:val="nil"/>
              <w:left w:val="nil"/>
              <w:bottom w:val="single" w:sz="4" w:space="0" w:color="auto"/>
              <w:right w:val="nil"/>
            </w:tcBorders>
            <w:shd w:val="clear" w:color="auto" w:fill="auto"/>
            <w:noWrap/>
            <w:vAlign w:val="center"/>
            <w:hideMark/>
          </w:tcPr>
          <w:p w14:paraId="3C494F4E"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budget</w:t>
            </w:r>
          </w:p>
        </w:tc>
        <w:tc>
          <w:tcPr>
            <w:tcW w:w="1100" w:type="dxa"/>
            <w:tcBorders>
              <w:top w:val="nil"/>
              <w:left w:val="nil"/>
              <w:bottom w:val="single" w:sz="4" w:space="0" w:color="auto"/>
              <w:right w:val="nil"/>
            </w:tcBorders>
            <w:shd w:val="clear" w:color="auto" w:fill="auto"/>
            <w:noWrap/>
            <w:vAlign w:val="center"/>
            <w:hideMark/>
          </w:tcPr>
          <w:p w14:paraId="63742918"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actual</w:t>
            </w:r>
          </w:p>
        </w:tc>
        <w:tc>
          <w:tcPr>
            <w:tcW w:w="1026" w:type="dxa"/>
            <w:tcBorders>
              <w:top w:val="nil"/>
              <w:left w:val="nil"/>
              <w:bottom w:val="single" w:sz="4" w:space="0" w:color="auto"/>
              <w:right w:val="nil"/>
            </w:tcBorders>
            <w:shd w:val="clear" w:color="auto" w:fill="auto"/>
            <w:vAlign w:val="center"/>
            <w:hideMark/>
          </w:tcPr>
          <w:p w14:paraId="7A595BAD"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adjusted budget</w:t>
            </w:r>
          </w:p>
        </w:tc>
        <w:tc>
          <w:tcPr>
            <w:tcW w:w="1056" w:type="dxa"/>
            <w:tcBorders>
              <w:top w:val="nil"/>
              <w:left w:val="nil"/>
              <w:bottom w:val="single" w:sz="4" w:space="0" w:color="auto"/>
              <w:right w:val="nil"/>
            </w:tcBorders>
            <w:shd w:val="clear" w:color="auto" w:fill="auto"/>
            <w:vAlign w:val="center"/>
            <w:hideMark/>
          </w:tcPr>
          <w:p w14:paraId="511EF382"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deviation</w:t>
            </w:r>
          </w:p>
        </w:tc>
        <w:tc>
          <w:tcPr>
            <w:tcW w:w="936" w:type="dxa"/>
            <w:tcBorders>
              <w:top w:val="nil"/>
              <w:left w:val="nil"/>
              <w:bottom w:val="single" w:sz="4" w:space="0" w:color="auto"/>
              <w:right w:val="nil"/>
            </w:tcBorders>
            <w:shd w:val="clear" w:color="auto" w:fill="auto"/>
            <w:vAlign w:val="center"/>
            <w:hideMark/>
          </w:tcPr>
          <w:p w14:paraId="2B709F37"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absolute deviation</w:t>
            </w:r>
          </w:p>
        </w:tc>
        <w:tc>
          <w:tcPr>
            <w:tcW w:w="826" w:type="dxa"/>
            <w:tcBorders>
              <w:top w:val="nil"/>
              <w:left w:val="nil"/>
              <w:bottom w:val="single" w:sz="4" w:space="0" w:color="auto"/>
              <w:right w:val="single" w:sz="4" w:space="0" w:color="auto"/>
            </w:tcBorders>
            <w:shd w:val="clear" w:color="auto" w:fill="auto"/>
            <w:noWrap/>
            <w:vAlign w:val="center"/>
            <w:hideMark/>
          </w:tcPr>
          <w:p w14:paraId="1A98C46B" w14:textId="77777777" w:rsidR="007518E4" w:rsidRPr="003E7F03" w:rsidRDefault="007518E4" w:rsidP="00E12685">
            <w:pPr>
              <w:spacing w:before="0"/>
              <w:ind w:left="0"/>
              <w:jc w:val="center"/>
              <w:rPr>
                <w:rFonts w:ascii="Times New Roman" w:hAnsi="Times New Roman"/>
                <w:b/>
                <w:bCs/>
                <w:sz w:val="18"/>
                <w:szCs w:val="18"/>
                <w:lang w:val="en-GB" w:eastAsia="en-GB"/>
              </w:rPr>
            </w:pPr>
            <w:r w:rsidRPr="003E7F03">
              <w:rPr>
                <w:rFonts w:ascii="Times New Roman" w:hAnsi="Times New Roman"/>
                <w:b/>
                <w:bCs/>
                <w:sz w:val="18"/>
                <w:szCs w:val="18"/>
                <w:lang w:val="en-GB" w:eastAsia="en-GB"/>
              </w:rPr>
              <w:t>percent</w:t>
            </w:r>
          </w:p>
        </w:tc>
      </w:tr>
      <w:tr w:rsidR="007518E4" w:rsidRPr="003E7F03" w14:paraId="47A58B60"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21D5B873"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Salary and employee allowance</w:t>
            </w:r>
          </w:p>
        </w:tc>
        <w:tc>
          <w:tcPr>
            <w:tcW w:w="1026" w:type="dxa"/>
            <w:tcBorders>
              <w:top w:val="nil"/>
              <w:left w:val="nil"/>
              <w:bottom w:val="nil"/>
              <w:right w:val="nil"/>
            </w:tcBorders>
            <w:shd w:val="clear" w:color="000000" w:fill="FFFFFF"/>
            <w:noWrap/>
            <w:vAlign w:val="bottom"/>
            <w:hideMark/>
          </w:tcPr>
          <w:p w14:paraId="1F11E53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9,800,000</w:t>
            </w:r>
          </w:p>
        </w:tc>
        <w:tc>
          <w:tcPr>
            <w:tcW w:w="1100" w:type="dxa"/>
            <w:tcBorders>
              <w:top w:val="nil"/>
              <w:left w:val="nil"/>
              <w:bottom w:val="nil"/>
              <w:right w:val="nil"/>
            </w:tcBorders>
            <w:shd w:val="clear" w:color="000000" w:fill="FFFFFF"/>
            <w:noWrap/>
            <w:vAlign w:val="bottom"/>
            <w:hideMark/>
          </w:tcPr>
          <w:p w14:paraId="0C93A68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8,942,015</w:t>
            </w:r>
          </w:p>
        </w:tc>
        <w:tc>
          <w:tcPr>
            <w:tcW w:w="1026" w:type="dxa"/>
            <w:tcBorders>
              <w:top w:val="nil"/>
              <w:left w:val="nil"/>
              <w:bottom w:val="nil"/>
              <w:right w:val="nil"/>
            </w:tcBorders>
            <w:shd w:val="clear" w:color="auto" w:fill="auto"/>
            <w:noWrap/>
            <w:vAlign w:val="bottom"/>
            <w:hideMark/>
          </w:tcPr>
          <w:p w14:paraId="1769702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9,370,255</w:t>
            </w:r>
          </w:p>
        </w:tc>
        <w:tc>
          <w:tcPr>
            <w:tcW w:w="1056" w:type="dxa"/>
            <w:tcBorders>
              <w:top w:val="nil"/>
              <w:left w:val="nil"/>
              <w:bottom w:val="nil"/>
              <w:right w:val="nil"/>
            </w:tcBorders>
            <w:shd w:val="clear" w:color="auto" w:fill="auto"/>
            <w:noWrap/>
            <w:vAlign w:val="bottom"/>
            <w:hideMark/>
          </w:tcPr>
          <w:p w14:paraId="430138F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(857,985)</w:t>
            </w:r>
          </w:p>
        </w:tc>
        <w:tc>
          <w:tcPr>
            <w:tcW w:w="936" w:type="dxa"/>
            <w:tcBorders>
              <w:top w:val="nil"/>
              <w:left w:val="nil"/>
              <w:bottom w:val="nil"/>
              <w:right w:val="nil"/>
            </w:tcBorders>
            <w:shd w:val="clear" w:color="auto" w:fill="auto"/>
            <w:noWrap/>
            <w:vAlign w:val="bottom"/>
            <w:hideMark/>
          </w:tcPr>
          <w:p w14:paraId="20F3A55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857,985</w:t>
            </w:r>
          </w:p>
        </w:tc>
        <w:tc>
          <w:tcPr>
            <w:tcW w:w="826" w:type="dxa"/>
            <w:tcBorders>
              <w:top w:val="nil"/>
              <w:left w:val="nil"/>
              <w:bottom w:val="nil"/>
              <w:right w:val="single" w:sz="4" w:space="0" w:color="auto"/>
            </w:tcBorders>
            <w:shd w:val="clear" w:color="auto" w:fill="auto"/>
            <w:noWrap/>
            <w:vAlign w:val="bottom"/>
            <w:hideMark/>
          </w:tcPr>
          <w:p w14:paraId="3E1BB2C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9.2%</w:t>
            </w:r>
          </w:p>
        </w:tc>
      </w:tr>
      <w:tr w:rsidR="007518E4" w:rsidRPr="003E7F03" w14:paraId="61E86318"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34E0C5FB"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Compensation and policy allowances</w:t>
            </w:r>
          </w:p>
        </w:tc>
        <w:tc>
          <w:tcPr>
            <w:tcW w:w="1026" w:type="dxa"/>
            <w:tcBorders>
              <w:top w:val="nil"/>
              <w:left w:val="nil"/>
              <w:bottom w:val="nil"/>
              <w:right w:val="nil"/>
            </w:tcBorders>
            <w:shd w:val="clear" w:color="000000" w:fill="FFFFFF"/>
            <w:noWrap/>
            <w:vAlign w:val="bottom"/>
            <w:hideMark/>
          </w:tcPr>
          <w:p w14:paraId="2E17FB7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1,611,000</w:t>
            </w:r>
          </w:p>
        </w:tc>
        <w:tc>
          <w:tcPr>
            <w:tcW w:w="1100" w:type="dxa"/>
            <w:tcBorders>
              <w:top w:val="nil"/>
              <w:left w:val="nil"/>
              <w:bottom w:val="nil"/>
              <w:right w:val="nil"/>
            </w:tcBorders>
            <w:shd w:val="clear" w:color="000000" w:fill="FFFFFF"/>
            <w:noWrap/>
            <w:vAlign w:val="bottom"/>
            <w:hideMark/>
          </w:tcPr>
          <w:p w14:paraId="6915B593"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1,334,548</w:t>
            </w:r>
          </w:p>
        </w:tc>
        <w:tc>
          <w:tcPr>
            <w:tcW w:w="1026" w:type="dxa"/>
            <w:tcBorders>
              <w:top w:val="nil"/>
              <w:left w:val="nil"/>
              <w:bottom w:val="nil"/>
              <w:right w:val="nil"/>
            </w:tcBorders>
            <w:shd w:val="clear" w:color="auto" w:fill="auto"/>
            <w:noWrap/>
            <w:vAlign w:val="bottom"/>
            <w:hideMark/>
          </w:tcPr>
          <w:p w14:paraId="00E3C9F5"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1,540,355</w:t>
            </w:r>
          </w:p>
        </w:tc>
        <w:tc>
          <w:tcPr>
            <w:tcW w:w="1056" w:type="dxa"/>
            <w:tcBorders>
              <w:top w:val="nil"/>
              <w:left w:val="nil"/>
              <w:bottom w:val="nil"/>
              <w:right w:val="nil"/>
            </w:tcBorders>
            <w:shd w:val="clear" w:color="auto" w:fill="auto"/>
            <w:noWrap/>
            <w:vAlign w:val="bottom"/>
            <w:hideMark/>
          </w:tcPr>
          <w:p w14:paraId="3DC771A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(276,452)</w:t>
            </w:r>
          </w:p>
        </w:tc>
        <w:tc>
          <w:tcPr>
            <w:tcW w:w="936" w:type="dxa"/>
            <w:tcBorders>
              <w:top w:val="nil"/>
              <w:left w:val="nil"/>
              <w:bottom w:val="nil"/>
              <w:right w:val="nil"/>
            </w:tcBorders>
            <w:shd w:val="clear" w:color="auto" w:fill="auto"/>
            <w:noWrap/>
            <w:vAlign w:val="bottom"/>
            <w:hideMark/>
          </w:tcPr>
          <w:p w14:paraId="275FEF9C"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276,452</w:t>
            </w:r>
          </w:p>
        </w:tc>
        <w:tc>
          <w:tcPr>
            <w:tcW w:w="826" w:type="dxa"/>
            <w:tcBorders>
              <w:top w:val="nil"/>
              <w:left w:val="nil"/>
              <w:bottom w:val="nil"/>
              <w:right w:val="single" w:sz="4" w:space="0" w:color="auto"/>
            </w:tcBorders>
            <w:shd w:val="clear" w:color="auto" w:fill="auto"/>
            <w:noWrap/>
            <w:vAlign w:val="bottom"/>
            <w:hideMark/>
          </w:tcPr>
          <w:p w14:paraId="2677EDB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17.9%</w:t>
            </w:r>
          </w:p>
        </w:tc>
      </w:tr>
      <w:tr w:rsidR="007518E4" w:rsidRPr="003E7F03" w14:paraId="3C990C24"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2B2E7E17"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Operation expenditure</w:t>
            </w:r>
          </w:p>
        </w:tc>
        <w:tc>
          <w:tcPr>
            <w:tcW w:w="1026" w:type="dxa"/>
            <w:tcBorders>
              <w:top w:val="nil"/>
              <w:left w:val="nil"/>
              <w:bottom w:val="nil"/>
              <w:right w:val="nil"/>
            </w:tcBorders>
            <w:shd w:val="clear" w:color="000000" w:fill="FFFFFF"/>
            <w:noWrap/>
            <w:vAlign w:val="bottom"/>
            <w:hideMark/>
          </w:tcPr>
          <w:p w14:paraId="31A8013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2,574,000</w:t>
            </w:r>
          </w:p>
        </w:tc>
        <w:tc>
          <w:tcPr>
            <w:tcW w:w="1100" w:type="dxa"/>
            <w:tcBorders>
              <w:top w:val="nil"/>
              <w:left w:val="nil"/>
              <w:bottom w:val="nil"/>
              <w:right w:val="nil"/>
            </w:tcBorders>
            <w:shd w:val="clear" w:color="000000" w:fill="FFFFFF"/>
            <w:noWrap/>
            <w:vAlign w:val="bottom"/>
            <w:hideMark/>
          </w:tcPr>
          <w:p w14:paraId="1542573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2,458,346</w:t>
            </w:r>
          </w:p>
        </w:tc>
        <w:tc>
          <w:tcPr>
            <w:tcW w:w="1026" w:type="dxa"/>
            <w:tcBorders>
              <w:top w:val="nil"/>
              <w:left w:val="nil"/>
              <w:bottom w:val="nil"/>
              <w:right w:val="nil"/>
            </w:tcBorders>
            <w:shd w:val="clear" w:color="auto" w:fill="auto"/>
            <w:noWrap/>
            <w:vAlign w:val="bottom"/>
            <w:hideMark/>
          </w:tcPr>
          <w:p w14:paraId="2D17DAF4"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2,461,126</w:t>
            </w:r>
          </w:p>
        </w:tc>
        <w:tc>
          <w:tcPr>
            <w:tcW w:w="1056" w:type="dxa"/>
            <w:tcBorders>
              <w:top w:val="nil"/>
              <w:left w:val="nil"/>
              <w:bottom w:val="nil"/>
              <w:right w:val="nil"/>
            </w:tcBorders>
            <w:shd w:val="clear" w:color="auto" w:fill="auto"/>
            <w:noWrap/>
            <w:vAlign w:val="bottom"/>
            <w:hideMark/>
          </w:tcPr>
          <w:p w14:paraId="0737888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(115,654)</w:t>
            </w:r>
          </w:p>
        </w:tc>
        <w:tc>
          <w:tcPr>
            <w:tcW w:w="936" w:type="dxa"/>
            <w:tcBorders>
              <w:top w:val="nil"/>
              <w:left w:val="nil"/>
              <w:bottom w:val="nil"/>
              <w:right w:val="nil"/>
            </w:tcBorders>
            <w:shd w:val="clear" w:color="auto" w:fill="auto"/>
            <w:noWrap/>
            <w:vAlign w:val="bottom"/>
            <w:hideMark/>
          </w:tcPr>
          <w:p w14:paraId="787E4EC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115,654</w:t>
            </w:r>
          </w:p>
        </w:tc>
        <w:tc>
          <w:tcPr>
            <w:tcW w:w="826" w:type="dxa"/>
            <w:tcBorders>
              <w:top w:val="nil"/>
              <w:left w:val="nil"/>
              <w:bottom w:val="nil"/>
              <w:right w:val="single" w:sz="4" w:space="0" w:color="auto"/>
            </w:tcBorders>
            <w:shd w:val="clear" w:color="auto" w:fill="auto"/>
            <w:noWrap/>
            <w:vAlign w:val="bottom"/>
            <w:hideMark/>
          </w:tcPr>
          <w:p w14:paraId="20A0318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4.7%</w:t>
            </w:r>
          </w:p>
        </w:tc>
      </w:tr>
      <w:tr w:rsidR="007518E4" w:rsidRPr="003E7F03" w14:paraId="1E5019BD"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5673A3D5"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Technical activities and subsidies</w:t>
            </w:r>
          </w:p>
        </w:tc>
        <w:tc>
          <w:tcPr>
            <w:tcW w:w="1026" w:type="dxa"/>
            <w:tcBorders>
              <w:top w:val="nil"/>
              <w:left w:val="nil"/>
              <w:bottom w:val="nil"/>
              <w:right w:val="nil"/>
            </w:tcBorders>
            <w:shd w:val="clear" w:color="000000" w:fill="FFFFFF"/>
            <w:noWrap/>
            <w:vAlign w:val="bottom"/>
            <w:hideMark/>
          </w:tcPr>
          <w:p w14:paraId="2D610BA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1,792,000</w:t>
            </w:r>
          </w:p>
        </w:tc>
        <w:tc>
          <w:tcPr>
            <w:tcW w:w="1100" w:type="dxa"/>
            <w:tcBorders>
              <w:top w:val="nil"/>
              <w:left w:val="nil"/>
              <w:bottom w:val="nil"/>
              <w:right w:val="nil"/>
            </w:tcBorders>
            <w:shd w:val="clear" w:color="000000" w:fill="FFFFFF"/>
            <w:noWrap/>
            <w:vAlign w:val="bottom"/>
            <w:hideMark/>
          </w:tcPr>
          <w:p w14:paraId="7F08E75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1,781,538</w:t>
            </w:r>
          </w:p>
        </w:tc>
        <w:tc>
          <w:tcPr>
            <w:tcW w:w="1026" w:type="dxa"/>
            <w:tcBorders>
              <w:top w:val="nil"/>
              <w:left w:val="nil"/>
              <w:bottom w:val="nil"/>
              <w:right w:val="nil"/>
            </w:tcBorders>
            <w:shd w:val="clear" w:color="auto" w:fill="auto"/>
            <w:noWrap/>
            <w:vAlign w:val="bottom"/>
            <w:hideMark/>
          </w:tcPr>
          <w:p w14:paraId="13A1225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1,713,418</w:t>
            </w:r>
          </w:p>
        </w:tc>
        <w:tc>
          <w:tcPr>
            <w:tcW w:w="1056" w:type="dxa"/>
            <w:tcBorders>
              <w:top w:val="nil"/>
              <w:left w:val="nil"/>
              <w:bottom w:val="nil"/>
              <w:right w:val="nil"/>
            </w:tcBorders>
            <w:shd w:val="clear" w:color="auto" w:fill="auto"/>
            <w:noWrap/>
            <w:vAlign w:val="bottom"/>
            <w:hideMark/>
          </w:tcPr>
          <w:p w14:paraId="27AE728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(10,462)</w:t>
            </w:r>
          </w:p>
        </w:tc>
        <w:tc>
          <w:tcPr>
            <w:tcW w:w="936" w:type="dxa"/>
            <w:tcBorders>
              <w:top w:val="nil"/>
              <w:left w:val="nil"/>
              <w:bottom w:val="nil"/>
              <w:right w:val="nil"/>
            </w:tcBorders>
            <w:shd w:val="clear" w:color="auto" w:fill="auto"/>
            <w:noWrap/>
            <w:vAlign w:val="bottom"/>
            <w:hideMark/>
          </w:tcPr>
          <w:p w14:paraId="6A6CEE4C"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10,462</w:t>
            </w:r>
          </w:p>
        </w:tc>
        <w:tc>
          <w:tcPr>
            <w:tcW w:w="826" w:type="dxa"/>
            <w:tcBorders>
              <w:top w:val="nil"/>
              <w:left w:val="nil"/>
              <w:bottom w:val="nil"/>
              <w:right w:val="single" w:sz="4" w:space="0" w:color="auto"/>
            </w:tcBorders>
            <w:shd w:val="clear" w:color="auto" w:fill="auto"/>
            <w:noWrap/>
            <w:vAlign w:val="bottom"/>
            <w:hideMark/>
          </w:tcPr>
          <w:p w14:paraId="6FFED57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0.6%</w:t>
            </w:r>
          </w:p>
        </w:tc>
      </w:tr>
      <w:tr w:rsidR="007518E4" w:rsidRPr="003E7F03" w14:paraId="09E821F3"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01F82388"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Financial expenditure</w:t>
            </w:r>
          </w:p>
        </w:tc>
        <w:tc>
          <w:tcPr>
            <w:tcW w:w="1026" w:type="dxa"/>
            <w:tcBorders>
              <w:top w:val="nil"/>
              <w:left w:val="nil"/>
              <w:bottom w:val="nil"/>
              <w:right w:val="nil"/>
            </w:tcBorders>
            <w:shd w:val="clear" w:color="000000" w:fill="FFFFFF"/>
            <w:noWrap/>
            <w:vAlign w:val="bottom"/>
            <w:hideMark/>
          </w:tcPr>
          <w:p w14:paraId="2777D0E7"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100" w:type="dxa"/>
            <w:tcBorders>
              <w:top w:val="nil"/>
              <w:left w:val="nil"/>
              <w:bottom w:val="nil"/>
              <w:right w:val="nil"/>
            </w:tcBorders>
            <w:shd w:val="clear" w:color="000000" w:fill="FFFFFF"/>
            <w:noWrap/>
            <w:vAlign w:val="bottom"/>
            <w:hideMark/>
          </w:tcPr>
          <w:p w14:paraId="3A96061D"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026" w:type="dxa"/>
            <w:tcBorders>
              <w:top w:val="nil"/>
              <w:left w:val="nil"/>
              <w:bottom w:val="nil"/>
              <w:right w:val="nil"/>
            </w:tcBorders>
            <w:shd w:val="clear" w:color="auto" w:fill="auto"/>
            <w:noWrap/>
            <w:vAlign w:val="bottom"/>
            <w:hideMark/>
          </w:tcPr>
          <w:p w14:paraId="2875490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w:t>
            </w:r>
          </w:p>
        </w:tc>
        <w:tc>
          <w:tcPr>
            <w:tcW w:w="1056" w:type="dxa"/>
            <w:tcBorders>
              <w:top w:val="nil"/>
              <w:left w:val="nil"/>
              <w:bottom w:val="nil"/>
              <w:right w:val="nil"/>
            </w:tcBorders>
            <w:shd w:val="clear" w:color="auto" w:fill="auto"/>
            <w:noWrap/>
            <w:vAlign w:val="bottom"/>
            <w:hideMark/>
          </w:tcPr>
          <w:p w14:paraId="367E3CE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w:t>
            </w:r>
          </w:p>
        </w:tc>
        <w:tc>
          <w:tcPr>
            <w:tcW w:w="936" w:type="dxa"/>
            <w:tcBorders>
              <w:top w:val="nil"/>
              <w:left w:val="nil"/>
              <w:bottom w:val="nil"/>
              <w:right w:val="nil"/>
            </w:tcBorders>
            <w:shd w:val="clear" w:color="auto" w:fill="auto"/>
            <w:noWrap/>
            <w:vAlign w:val="bottom"/>
            <w:hideMark/>
          </w:tcPr>
          <w:p w14:paraId="23F30A5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w:t>
            </w:r>
          </w:p>
        </w:tc>
        <w:tc>
          <w:tcPr>
            <w:tcW w:w="826" w:type="dxa"/>
            <w:tcBorders>
              <w:top w:val="nil"/>
              <w:left w:val="nil"/>
              <w:bottom w:val="nil"/>
              <w:right w:val="single" w:sz="4" w:space="0" w:color="auto"/>
            </w:tcBorders>
            <w:shd w:val="clear" w:color="auto" w:fill="auto"/>
            <w:noWrap/>
            <w:vAlign w:val="bottom"/>
            <w:hideMark/>
          </w:tcPr>
          <w:p w14:paraId="3DE15E36" w14:textId="77777777" w:rsidR="007518E4" w:rsidRPr="003E7F03" w:rsidRDefault="007518E4" w:rsidP="00E12685">
            <w:pPr>
              <w:spacing w:before="0"/>
              <w:ind w:left="0"/>
              <w:jc w:val="center"/>
              <w:rPr>
                <w:rFonts w:ascii="Times New Roman" w:hAnsi="Times New Roman"/>
                <w:sz w:val="18"/>
                <w:szCs w:val="18"/>
                <w:lang w:val="en-GB" w:eastAsia="en-GB"/>
              </w:rPr>
            </w:pPr>
            <w:r w:rsidRPr="003E7F03">
              <w:rPr>
                <w:rFonts w:ascii="Times New Roman" w:hAnsi="Times New Roman"/>
                <w:sz w:val="18"/>
                <w:szCs w:val="18"/>
                <w:lang w:val="en-GB" w:eastAsia="en-GB"/>
              </w:rPr>
              <w:t>#DIV/0!</w:t>
            </w:r>
          </w:p>
        </w:tc>
      </w:tr>
      <w:tr w:rsidR="007518E4" w:rsidRPr="003E7F03" w14:paraId="259338FB"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296B2312"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Other expenditures</w:t>
            </w:r>
          </w:p>
        </w:tc>
        <w:tc>
          <w:tcPr>
            <w:tcW w:w="1026" w:type="dxa"/>
            <w:tcBorders>
              <w:top w:val="nil"/>
              <w:left w:val="nil"/>
              <w:bottom w:val="nil"/>
              <w:right w:val="nil"/>
            </w:tcBorders>
            <w:shd w:val="clear" w:color="000000" w:fill="FFFFFF"/>
            <w:noWrap/>
            <w:vAlign w:val="bottom"/>
            <w:hideMark/>
          </w:tcPr>
          <w:p w14:paraId="0E2D416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400,000</w:t>
            </w:r>
          </w:p>
        </w:tc>
        <w:tc>
          <w:tcPr>
            <w:tcW w:w="1100" w:type="dxa"/>
            <w:tcBorders>
              <w:top w:val="nil"/>
              <w:left w:val="nil"/>
              <w:bottom w:val="nil"/>
              <w:right w:val="nil"/>
            </w:tcBorders>
            <w:shd w:val="clear" w:color="000000" w:fill="FFFFFF"/>
            <w:noWrap/>
            <w:vAlign w:val="bottom"/>
            <w:hideMark/>
          </w:tcPr>
          <w:p w14:paraId="7933F545"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178,272</w:t>
            </w:r>
          </w:p>
        </w:tc>
        <w:tc>
          <w:tcPr>
            <w:tcW w:w="1026" w:type="dxa"/>
            <w:tcBorders>
              <w:top w:val="nil"/>
              <w:left w:val="nil"/>
              <w:bottom w:val="nil"/>
              <w:right w:val="nil"/>
            </w:tcBorders>
            <w:shd w:val="clear" w:color="auto" w:fill="auto"/>
            <w:noWrap/>
            <w:vAlign w:val="bottom"/>
            <w:hideMark/>
          </w:tcPr>
          <w:p w14:paraId="59554FE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382,459</w:t>
            </w:r>
          </w:p>
        </w:tc>
        <w:tc>
          <w:tcPr>
            <w:tcW w:w="1056" w:type="dxa"/>
            <w:tcBorders>
              <w:top w:val="nil"/>
              <w:left w:val="nil"/>
              <w:bottom w:val="nil"/>
              <w:right w:val="nil"/>
            </w:tcBorders>
            <w:shd w:val="clear" w:color="auto" w:fill="auto"/>
            <w:noWrap/>
            <w:vAlign w:val="bottom"/>
            <w:hideMark/>
          </w:tcPr>
          <w:p w14:paraId="38E62F4C"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(221,728)</w:t>
            </w:r>
          </w:p>
        </w:tc>
        <w:tc>
          <w:tcPr>
            <w:tcW w:w="936" w:type="dxa"/>
            <w:tcBorders>
              <w:top w:val="nil"/>
              <w:left w:val="nil"/>
              <w:bottom w:val="nil"/>
              <w:right w:val="nil"/>
            </w:tcBorders>
            <w:shd w:val="clear" w:color="auto" w:fill="auto"/>
            <w:noWrap/>
            <w:vAlign w:val="bottom"/>
            <w:hideMark/>
          </w:tcPr>
          <w:p w14:paraId="71B1582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221,728</w:t>
            </w:r>
          </w:p>
        </w:tc>
        <w:tc>
          <w:tcPr>
            <w:tcW w:w="826" w:type="dxa"/>
            <w:tcBorders>
              <w:top w:val="nil"/>
              <w:left w:val="nil"/>
              <w:bottom w:val="nil"/>
              <w:right w:val="single" w:sz="4" w:space="0" w:color="auto"/>
            </w:tcBorders>
            <w:shd w:val="clear" w:color="auto" w:fill="auto"/>
            <w:noWrap/>
            <w:vAlign w:val="bottom"/>
            <w:hideMark/>
          </w:tcPr>
          <w:p w14:paraId="3B90302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58.0%</w:t>
            </w:r>
          </w:p>
        </w:tc>
      </w:tr>
      <w:tr w:rsidR="007518E4" w:rsidRPr="003E7F03" w14:paraId="3249D72D"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1BFDCA9B"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New purchase for operation</w:t>
            </w:r>
          </w:p>
        </w:tc>
        <w:tc>
          <w:tcPr>
            <w:tcW w:w="1026" w:type="dxa"/>
            <w:tcBorders>
              <w:top w:val="nil"/>
              <w:left w:val="nil"/>
              <w:bottom w:val="nil"/>
              <w:right w:val="nil"/>
            </w:tcBorders>
            <w:shd w:val="clear" w:color="000000" w:fill="FFFFFF"/>
            <w:noWrap/>
            <w:vAlign w:val="bottom"/>
            <w:hideMark/>
          </w:tcPr>
          <w:p w14:paraId="7252527B"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200,000</w:t>
            </w:r>
          </w:p>
        </w:tc>
        <w:tc>
          <w:tcPr>
            <w:tcW w:w="1100" w:type="dxa"/>
            <w:tcBorders>
              <w:top w:val="nil"/>
              <w:left w:val="nil"/>
              <w:bottom w:val="nil"/>
              <w:right w:val="nil"/>
            </w:tcBorders>
            <w:shd w:val="clear" w:color="000000" w:fill="FFFFFF"/>
            <w:noWrap/>
            <w:vAlign w:val="bottom"/>
            <w:hideMark/>
          </w:tcPr>
          <w:p w14:paraId="5B331F0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177,576</w:t>
            </w:r>
          </w:p>
        </w:tc>
        <w:tc>
          <w:tcPr>
            <w:tcW w:w="1026" w:type="dxa"/>
            <w:tcBorders>
              <w:top w:val="nil"/>
              <w:left w:val="nil"/>
              <w:bottom w:val="nil"/>
              <w:right w:val="nil"/>
            </w:tcBorders>
            <w:shd w:val="clear" w:color="auto" w:fill="auto"/>
            <w:noWrap/>
            <w:vAlign w:val="bottom"/>
            <w:hideMark/>
          </w:tcPr>
          <w:p w14:paraId="533A7AE7"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191,230</w:t>
            </w:r>
          </w:p>
        </w:tc>
        <w:tc>
          <w:tcPr>
            <w:tcW w:w="1056" w:type="dxa"/>
            <w:tcBorders>
              <w:top w:val="nil"/>
              <w:left w:val="nil"/>
              <w:bottom w:val="nil"/>
              <w:right w:val="nil"/>
            </w:tcBorders>
            <w:shd w:val="clear" w:color="auto" w:fill="auto"/>
            <w:noWrap/>
            <w:vAlign w:val="bottom"/>
            <w:hideMark/>
          </w:tcPr>
          <w:p w14:paraId="0589D99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(22,424)</w:t>
            </w:r>
          </w:p>
        </w:tc>
        <w:tc>
          <w:tcPr>
            <w:tcW w:w="936" w:type="dxa"/>
            <w:tcBorders>
              <w:top w:val="nil"/>
              <w:left w:val="nil"/>
              <w:bottom w:val="nil"/>
              <w:right w:val="nil"/>
            </w:tcBorders>
            <w:shd w:val="clear" w:color="auto" w:fill="auto"/>
            <w:noWrap/>
            <w:vAlign w:val="bottom"/>
            <w:hideMark/>
          </w:tcPr>
          <w:p w14:paraId="146C6DD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22,424</w:t>
            </w:r>
          </w:p>
        </w:tc>
        <w:tc>
          <w:tcPr>
            <w:tcW w:w="826" w:type="dxa"/>
            <w:tcBorders>
              <w:top w:val="nil"/>
              <w:left w:val="nil"/>
              <w:bottom w:val="nil"/>
              <w:right w:val="single" w:sz="4" w:space="0" w:color="auto"/>
            </w:tcBorders>
            <w:shd w:val="clear" w:color="auto" w:fill="auto"/>
            <w:noWrap/>
            <w:vAlign w:val="bottom"/>
            <w:hideMark/>
          </w:tcPr>
          <w:p w14:paraId="1EBF772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11.7%</w:t>
            </w:r>
          </w:p>
        </w:tc>
      </w:tr>
      <w:tr w:rsidR="007518E4" w:rsidRPr="003E7F03" w14:paraId="09450856"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55D096F0"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Capital-external expenditure</w:t>
            </w:r>
          </w:p>
        </w:tc>
        <w:tc>
          <w:tcPr>
            <w:tcW w:w="1026" w:type="dxa"/>
            <w:tcBorders>
              <w:top w:val="nil"/>
              <w:left w:val="nil"/>
              <w:bottom w:val="nil"/>
              <w:right w:val="nil"/>
            </w:tcBorders>
            <w:shd w:val="clear" w:color="000000" w:fill="FFFFFF"/>
            <w:noWrap/>
            <w:vAlign w:val="bottom"/>
            <w:hideMark/>
          </w:tcPr>
          <w:p w14:paraId="3E3B5AD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5,560,000</w:t>
            </w:r>
          </w:p>
        </w:tc>
        <w:tc>
          <w:tcPr>
            <w:tcW w:w="1100" w:type="dxa"/>
            <w:tcBorders>
              <w:top w:val="nil"/>
              <w:left w:val="nil"/>
              <w:bottom w:val="nil"/>
              <w:right w:val="nil"/>
            </w:tcBorders>
            <w:shd w:val="clear" w:color="000000" w:fill="FFFFFF"/>
            <w:noWrap/>
            <w:vAlign w:val="bottom"/>
            <w:hideMark/>
          </w:tcPr>
          <w:p w14:paraId="0619BCC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6,314,903</w:t>
            </w:r>
          </w:p>
        </w:tc>
        <w:tc>
          <w:tcPr>
            <w:tcW w:w="1026" w:type="dxa"/>
            <w:tcBorders>
              <w:top w:val="nil"/>
              <w:left w:val="nil"/>
              <w:bottom w:val="nil"/>
              <w:right w:val="nil"/>
            </w:tcBorders>
            <w:shd w:val="clear" w:color="auto" w:fill="auto"/>
            <w:noWrap/>
            <w:vAlign w:val="bottom"/>
            <w:hideMark/>
          </w:tcPr>
          <w:p w14:paraId="246C1F19"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5,316,186</w:t>
            </w:r>
          </w:p>
        </w:tc>
        <w:tc>
          <w:tcPr>
            <w:tcW w:w="1056" w:type="dxa"/>
            <w:tcBorders>
              <w:top w:val="nil"/>
              <w:left w:val="nil"/>
              <w:bottom w:val="nil"/>
              <w:right w:val="nil"/>
            </w:tcBorders>
            <w:shd w:val="clear" w:color="auto" w:fill="auto"/>
            <w:noWrap/>
            <w:vAlign w:val="bottom"/>
            <w:hideMark/>
          </w:tcPr>
          <w:p w14:paraId="62F1BEC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754,903</w:t>
            </w:r>
          </w:p>
        </w:tc>
        <w:tc>
          <w:tcPr>
            <w:tcW w:w="936" w:type="dxa"/>
            <w:tcBorders>
              <w:top w:val="nil"/>
              <w:left w:val="nil"/>
              <w:bottom w:val="nil"/>
              <w:right w:val="nil"/>
            </w:tcBorders>
            <w:shd w:val="clear" w:color="auto" w:fill="auto"/>
            <w:noWrap/>
            <w:vAlign w:val="bottom"/>
            <w:hideMark/>
          </w:tcPr>
          <w:p w14:paraId="6F3090B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754,903</w:t>
            </w:r>
          </w:p>
        </w:tc>
        <w:tc>
          <w:tcPr>
            <w:tcW w:w="826" w:type="dxa"/>
            <w:tcBorders>
              <w:top w:val="nil"/>
              <w:left w:val="nil"/>
              <w:bottom w:val="nil"/>
              <w:right w:val="single" w:sz="4" w:space="0" w:color="auto"/>
            </w:tcBorders>
            <w:shd w:val="clear" w:color="auto" w:fill="auto"/>
            <w:noWrap/>
            <w:vAlign w:val="bottom"/>
            <w:hideMark/>
          </w:tcPr>
          <w:p w14:paraId="352C8DB4"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14.2%</w:t>
            </w:r>
          </w:p>
        </w:tc>
      </w:tr>
      <w:tr w:rsidR="007518E4" w:rsidRPr="003E7F03" w14:paraId="776D900A"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385D8BD5"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Capital-local expenditure</w:t>
            </w:r>
          </w:p>
        </w:tc>
        <w:tc>
          <w:tcPr>
            <w:tcW w:w="1026" w:type="dxa"/>
            <w:tcBorders>
              <w:top w:val="nil"/>
              <w:left w:val="nil"/>
              <w:bottom w:val="nil"/>
              <w:right w:val="nil"/>
            </w:tcBorders>
            <w:shd w:val="clear" w:color="000000" w:fill="FFFFFF"/>
            <w:noWrap/>
            <w:vAlign w:val="bottom"/>
            <w:hideMark/>
          </w:tcPr>
          <w:p w14:paraId="77CA33E1"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3,800,000</w:t>
            </w:r>
          </w:p>
        </w:tc>
        <w:tc>
          <w:tcPr>
            <w:tcW w:w="1100" w:type="dxa"/>
            <w:tcBorders>
              <w:top w:val="nil"/>
              <w:left w:val="nil"/>
              <w:bottom w:val="nil"/>
              <w:right w:val="nil"/>
            </w:tcBorders>
            <w:shd w:val="clear" w:color="000000" w:fill="FFFFFF"/>
            <w:noWrap/>
            <w:vAlign w:val="bottom"/>
            <w:hideMark/>
          </w:tcPr>
          <w:p w14:paraId="2335463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3,317,019</w:t>
            </w:r>
          </w:p>
        </w:tc>
        <w:tc>
          <w:tcPr>
            <w:tcW w:w="1026" w:type="dxa"/>
            <w:tcBorders>
              <w:top w:val="nil"/>
              <w:left w:val="nil"/>
              <w:bottom w:val="nil"/>
              <w:right w:val="nil"/>
            </w:tcBorders>
            <w:shd w:val="clear" w:color="auto" w:fill="auto"/>
            <w:noWrap/>
            <w:vAlign w:val="bottom"/>
            <w:hideMark/>
          </w:tcPr>
          <w:p w14:paraId="4DD348A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3,633,364</w:t>
            </w:r>
          </w:p>
        </w:tc>
        <w:tc>
          <w:tcPr>
            <w:tcW w:w="1056" w:type="dxa"/>
            <w:tcBorders>
              <w:top w:val="nil"/>
              <w:left w:val="nil"/>
              <w:bottom w:val="nil"/>
              <w:right w:val="nil"/>
            </w:tcBorders>
            <w:shd w:val="clear" w:color="auto" w:fill="auto"/>
            <w:noWrap/>
            <w:vAlign w:val="bottom"/>
            <w:hideMark/>
          </w:tcPr>
          <w:p w14:paraId="3D98047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(482,981)</w:t>
            </w:r>
          </w:p>
        </w:tc>
        <w:tc>
          <w:tcPr>
            <w:tcW w:w="936" w:type="dxa"/>
            <w:tcBorders>
              <w:top w:val="nil"/>
              <w:left w:val="nil"/>
              <w:bottom w:val="nil"/>
              <w:right w:val="nil"/>
            </w:tcBorders>
            <w:shd w:val="clear" w:color="auto" w:fill="auto"/>
            <w:noWrap/>
            <w:vAlign w:val="bottom"/>
            <w:hideMark/>
          </w:tcPr>
          <w:p w14:paraId="0BF121FB"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482,981</w:t>
            </w:r>
          </w:p>
        </w:tc>
        <w:tc>
          <w:tcPr>
            <w:tcW w:w="826" w:type="dxa"/>
            <w:tcBorders>
              <w:top w:val="nil"/>
              <w:left w:val="nil"/>
              <w:bottom w:val="nil"/>
              <w:right w:val="single" w:sz="4" w:space="0" w:color="auto"/>
            </w:tcBorders>
            <w:shd w:val="clear" w:color="auto" w:fill="auto"/>
            <w:noWrap/>
            <w:vAlign w:val="bottom"/>
            <w:hideMark/>
          </w:tcPr>
          <w:p w14:paraId="3CB1433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13.3%</w:t>
            </w:r>
          </w:p>
        </w:tc>
      </w:tr>
      <w:tr w:rsidR="007518E4" w:rsidRPr="003E7F03" w14:paraId="4C59DEA3"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413BCCC3"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External debt</w:t>
            </w:r>
          </w:p>
        </w:tc>
        <w:tc>
          <w:tcPr>
            <w:tcW w:w="1026" w:type="dxa"/>
            <w:tcBorders>
              <w:top w:val="nil"/>
              <w:left w:val="nil"/>
              <w:bottom w:val="nil"/>
              <w:right w:val="nil"/>
            </w:tcBorders>
            <w:shd w:val="clear" w:color="000000" w:fill="FFFFFF"/>
            <w:noWrap/>
            <w:vAlign w:val="bottom"/>
            <w:hideMark/>
          </w:tcPr>
          <w:p w14:paraId="2E2B3BD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3,052,000</w:t>
            </w:r>
          </w:p>
        </w:tc>
        <w:tc>
          <w:tcPr>
            <w:tcW w:w="1100" w:type="dxa"/>
            <w:tcBorders>
              <w:top w:val="nil"/>
              <w:left w:val="nil"/>
              <w:bottom w:val="nil"/>
              <w:right w:val="nil"/>
            </w:tcBorders>
            <w:shd w:val="clear" w:color="000000" w:fill="FFFFFF"/>
            <w:noWrap/>
            <w:vAlign w:val="bottom"/>
            <w:hideMark/>
          </w:tcPr>
          <w:p w14:paraId="4BA4841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3,448,879</w:t>
            </w:r>
          </w:p>
        </w:tc>
        <w:tc>
          <w:tcPr>
            <w:tcW w:w="1026" w:type="dxa"/>
            <w:tcBorders>
              <w:top w:val="nil"/>
              <w:left w:val="nil"/>
              <w:bottom w:val="nil"/>
              <w:right w:val="nil"/>
            </w:tcBorders>
            <w:shd w:val="clear" w:color="auto" w:fill="auto"/>
            <w:noWrap/>
            <w:vAlign w:val="bottom"/>
            <w:hideMark/>
          </w:tcPr>
          <w:p w14:paraId="016D764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2,918,165</w:t>
            </w:r>
          </w:p>
        </w:tc>
        <w:tc>
          <w:tcPr>
            <w:tcW w:w="1056" w:type="dxa"/>
            <w:tcBorders>
              <w:top w:val="nil"/>
              <w:left w:val="nil"/>
              <w:bottom w:val="nil"/>
              <w:right w:val="nil"/>
            </w:tcBorders>
            <w:shd w:val="clear" w:color="auto" w:fill="auto"/>
            <w:noWrap/>
            <w:vAlign w:val="bottom"/>
            <w:hideMark/>
          </w:tcPr>
          <w:p w14:paraId="5F5E38A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396,879</w:t>
            </w:r>
          </w:p>
        </w:tc>
        <w:tc>
          <w:tcPr>
            <w:tcW w:w="936" w:type="dxa"/>
            <w:tcBorders>
              <w:top w:val="nil"/>
              <w:left w:val="nil"/>
              <w:bottom w:val="nil"/>
              <w:right w:val="nil"/>
            </w:tcBorders>
            <w:shd w:val="clear" w:color="auto" w:fill="auto"/>
            <w:noWrap/>
            <w:vAlign w:val="bottom"/>
            <w:hideMark/>
          </w:tcPr>
          <w:p w14:paraId="3CB17DB3"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396,879</w:t>
            </w:r>
          </w:p>
        </w:tc>
        <w:tc>
          <w:tcPr>
            <w:tcW w:w="826" w:type="dxa"/>
            <w:tcBorders>
              <w:top w:val="nil"/>
              <w:left w:val="nil"/>
              <w:bottom w:val="nil"/>
              <w:right w:val="single" w:sz="4" w:space="0" w:color="auto"/>
            </w:tcBorders>
            <w:shd w:val="clear" w:color="auto" w:fill="auto"/>
            <w:noWrap/>
            <w:vAlign w:val="bottom"/>
            <w:hideMark/>
          </w:tcPr>
          <w:p w14:paraId="002FFF18"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13.6%</w:t>
            </w:r>
          </w:p>
        </w:tc>
      </w:tr>
      <w:tr w:rsidR="007518E4" w:rsidRPr="003E7F03" w14:paraId="58CCF693" w14:textId="77777777" w:rsidTr="00D737E9">
        <w:trPr>
          <w:trHeight w:val="20"/>
        </w:trPr>
        <w:tc>
          <w:tcPr>
            <w:tcW w:w="2977" w:type="dxa"/>
            <w:tcBorders>
              <w:top w:val="nil"/>
              <w:left w:val="single" w:sz="4" w:space="0" w:color="auto"/>
              <w:bottom w:val="nil"/>
              <w:right w:val="nil"/>
            </w:tcBorders>
            <w:shd w:val="clear" w:color="auto" w:fill="auto"/>
            <w:noWrap/>
            <w:vAlign w:val="bottom"/>
            <w:hideMark/>
          </w:tcPr>
          <w:p w14:paraId="2EBEDF6B"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Domestic debt</w:t>
            </w:r>
          </w:p>
        </w:tc>
        <w:tc>
          <w:tcPr>
            <w:tcW w:w="1026" w:type="dxa"/>
            <w:tcBorders>
              <w:top w:val="nil"/>
              <w:left w:val="nil"/>
              <w:bottom w:val="nil"/>
              <w:right w:val="nil"/>
            </w:tcBorders>
            <w:shd w:val="clear" w:color="000000" w:fill="FFFFFF"/>
            <w:noWrap/>
            <w:vAlign w:val="bottom"/>
            <w:hideMark/>
          </w:tcPr>
          <w:p w14:paraId="6B8DE9A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3,157,000</w:t>
            </w:r>
          </w:p>
        </w:tc>
        <w:tc>
          <w:tcPr>
            <w:tcW w:w="1100" w:type="dxa"/>
            <w:tcBorders>
              <w:top w:val="nil"/>
              <w:left w:val="nil"/>
              <w:bottom w:val="nil"/>
              <w:right w:val="nil"/>
            </w:tcBorders>
            <w:shd w:val="clear" w:color="000000" w:fill="FFFFFF"/>
            <w:noWrap/>
            <w:vAlign w:val="bottom"/>
            <w:hideMark/>
          </w:tcPr>
          <w:p w14:paraId="3E4AA1E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2,592,024</w:t>
            </w:r>
          </w:p>
        </w:tc>
        <w:tc>
          <w:tcPr>
            <w:tcW w:w="1026" w:type="dxa"/>
            <w:tcBorders>
              <w:top w:val="nil"/>
              <w:left w:val="nil"/>
              <w:bottom w:val="nil"/>
              <w:right w:val="nil"/>
            </w:tcBorders>
            <w:shd w:val="clear" w:color="auto" w:fill="auto"/>
            <w:noWrap/>
            <w:vAlign w:val="bottom"/>
            <w:hideMark/>
          </w:tcPr>
          <w:p w14:paraId="5033330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3,018,561</w:t>
            </w:r>
          </w:p>
        </w:tc>
        <w:tc>
          <w:tcPr>
            <w:tcW w:w="1056" w:type="dxa"/>
            <w:tcBorders>
              <w:top w:val="nil"/>
              <w:left w:val="nil"/>
              <w:bottom w:val="nil"/>
              <w:right w:val="nil"/>
            </w:tcBorders>
            <w:shd w:val="clear" w:color="auto" w:fill="auto"/>
            <w:noWrap/>
            <w:vAlign w:val="bottom"/>
            <w:hideMark/>
          </w:tcPr>
          <w:p w14:paraId="573A62C5"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(564,976)</w:t>
            </w:r>
          </w:p>
        </w:tc>
        <w:tc>
          <w:tcPr>
            <w:tcW w:w="936" w:type="dxa"/>
            <w:tcBorders>
              <w:top w:val="nil"/>
              <w:left w:val="nil"/>
              <w:bottom w:val="nil"/>
              <w:right w:val="nil"/>
            </w:tcBorders>
            <w:shd w:val="clear" w:color="auto" w:fill="auto"/>
            <w:noWrap/>
            <w:vAlign w:val="bottom"/>
            <w:hideMark/>
          </w:tcPr>
          <w:p w14:paraId="75EC12BA"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564,976</w:t>
            </w:r>
          </w:p>
        </w:tc>
        <w:tc>
          <w:tcPr>
            <w:tcW w:w="826" w:type="dxa"/>
            <w:tcBorders>
              <w:top w:val="nil"/>
              <w:left w:val="nil"/>
              <w:bottom w:val="single" w:sz="4" w:space="0" w:color="auto"/>
              <w:right w:val="single" w:sz="4" w:space="0" w:color="auto"/>
            </w:tcBorders>
            <w:shd w:val="clear" w:color="auto" w:fill="auto"/>
            <w:noWrap/>
            <w:vAlign w:val="bottom"/>
            <w:hideMark/>
          </w:tcPr>
          <w:p w14:paraId="7C9770BD"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18.7%</w:t>
            </w:r>
          </w:p>
        </w:tc>
      </w:tr>
      <w:tr w:rsidR="007518E4" w:rsidRPr="003E7F03" w14:paraId="32C57F91" w14:textId="77777777" w:rsidTr="00D737E9">
        <w:trPr>
          <w:trHeight w:val="20"/>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14:paraId="4A1C3F3E" w14:textId="77777777" w:rsidR="007518E4" w:rsidRPr="003E7F03" w:rsidRDefault="007518E4" w:rsidP="00E12685">
            <w:pPr>
              <w:spacing w:before="0"/>
              <w:ind w:left="0"/>
              <w:jc w:val="left"/>
              <w:rPr>
                <w:rFonts w:ascii="Times New Roman" w:hAnsi="Times New Roman"/>
                <w:b/>
                <w:bCs/>
                <w:sz w:val="18"/>
                <w:szCs w:val="18"/>
                <w:lang w:val="en-GB" w:eastAsia="en-GB"/>
              </w:rPr>
            </w:pPr>
            <w:r w:rsidRPr="003E7F03">
              <w:rPr>
                <w:rFonts w:ascii="Times New Roman" w:hAnsi="Times New Roman"/>
                <w:b/>
                <w:bCs/>
                <w:sz w:val="18"/>
                <w:szCs w:val="18"/>
                <w:lang w:val="en-GB" w:eastAsia="en-GB"/>
              </w:rPr>
              <w:t>Total expenditure</w:t>
            </w:r>
          </w:p>
        </w:tc>
        <w:tc>
          <w:tcPr>
            <w:tcW w:w="1026" w:type="dxa"/>
            <w:tcBorders>
              <w:top w:val="single" w:sz="4" w:space="0" w:color="auto"/>
              <w:left w:val="nil"/>
              <w:bottom w:val="single" w:sz="4" w:space="0" w:color="auto"/>
              <w:right w:val="nil"/>
            </w:tcBorders>
            <w:shd w:val="clear" w:color="auto" w:fill="auto"/>
            <w:noWrap/>
            <w:vAlign w:val="bottom"/>
            <w:hideMark/>
          </w:tcPr>
          <w:p w14:paraId="38B2FF32"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31,946,000</w:t>
            </w:r>
          </w:p>
        </w:tc>
        <w:tc>
          <w:tcPr>
            <w:tcW w:w="1100" w:type="dxa"/>
            <w:tcBorders>
              <w:top w:val="single" w:sz="4" w:space="0" w:color="auto"/>
              <w:left w:val="nil"/>
              <w:bottom w:val="single" w:sz="4" w:space="0" w:color="auto"/>
              <w:right w:val="nil"/>
            </w:tcBorders>
            <w:shd w:val="clear" w:color="auto" w:fill="auto"/>
            <w:noWrap/>
            <w:vAlign w:val="bottom"/>
            <w:hideMark/>
          </w:tcPr>
          <w:p w14:paraId="45F4FA8E"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30,545,119</w:t>
            </w:r>
          </w:p>
        </w:tc>
        <w:tc>
          <w:tcPr>
            <w:tcW w:w="1026" w:type="dxa"/>
            <w:tcBorders>
              <w:top w:val="single" w:sz="4" w:space="0" w:color="auto"/>
              <w:left w:val="nil"/>
              <w:bottom w:val="single" w:sz="4" w:space="0" w:color="auto"/>
              <w:right w:val="nil"/>
            </w:tcBorders>
            <w:shd w:val="clear" w:color="auto" w:fill="auto"/>
            <w:noWrap/>
            <w:vAlign w:val="bottom"/>
            <w:hideMark/>
          </w:tcPr>
          <w:p w14:paraId="623CE7CF"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30,545,119</w:t>
            </w:r>
          </w:p>
        </w:tc>
        <w:tc>
          <w:tcPr>
            <w:tcW w:w="1056" w:type="dxa"/>
            <w:tcBorders>
              <w:top w:val="single" w:sz="4" w:space="0" w:color="auto"/>
              <w:left w:val="nil"/>
              <w:bottom w:val="single" w:sz="4" w:space="0" w:color="auto"/>
              <w:right w:val="nil"/>
            </w:tcBorders>
            <w:shd w:val="clear" w:color="auto" w:fill="auto"/>
            <w:noWrap/>
            <w:vAlign w:val="bottom"/>
            <w:hideMark/>
          </w:tcPr>
          <w:p w14:paraId="5595E250"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(1,400,881)</w:t>
            </w:r>
          </w:p>
        </w:tc>
        <w:tc>
          <w:tcPr>
            <w:tcW w:w="936" w:type="dxa"/>
            <w:tcBorders>
              <w:top w:val="single" w:sz="4" w:space="0" w:color="auto"/>
              <w:left w:val="nil"/>
              <w:bottom w:val="single" w:sz="4" w:space="0" w:color="auto"/>
              <w:right w:val="nil"/>
            </w:tcBorders>
            <w:shd w:val="clear" w:color="auto" w:fill="auto"/>
            <w:noWrap/>
            <w:vAlign w:val="bottom"/>
            <w:hideMark/>
          </w:tcPr>
          <w:p w14:paraId="72180966" w14:textId="77777777" w:rsidR="007518E4" w:rsidRPr="003E7F03" w:rsidRDefault="007518E4" w:rsidP="00E12685">
            <w:pPr>
              <w:spacing w:before="0"/>
              <w:ind w:left="0"/>
              <w:jc w:val="right"/>
              <w:rPr>
                <w:rFonts w:ascii="Times New Roman" w:hAnsi="Times New Roman"/>
                <w:sz w:val="18"/>
                <w:szCs w:val="18"/>
                <w:lang w:val="en-GB" w:eastAsia="en-GB"/>
              </w:rPr>
            </w:pPr>
            <w:r w:rsidRPr="003E7F03">
              <w:rPr>
                <w:rFonts w:ascii="Times New Roman" w:hAnsi="Times New Roman"/>
                <w:sz w:val="18"/>
                <w:szCs w:val="18"/>
                <w:lang w:val="en-GB" w:eastAsia="en-GB"/>
              </w:rPr>
              <w:t>3,704,445</w:t>
            </w:r>
          </w:p>
        </w:tc>
        <w:tc>
          <w:tcPr>
            <w:tcW w:w="826" w:type="dxa"/>
            <w:tcBorders>
              <w:top w:val="nil"/>
              <w:left w:val="nil"/>
              <w:bottom w:val="single" w:sz="4" w:space="0" w:color="auto"/>
              <w:right w:val="single" w:sz="4" w:space="0" w:color="auto"/>
            </w:tcBorders>
            <w:shd w:val="clear" w:color="auto" w:fill="auto"/>
            <w:noWrap/>
            <w:vAlign w:val="bottom"/>
            <w:hideMark/>
          </w:tcPr>
          <w:p w14:paraId="1F2D954D"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 </w:t>
            </w:r>
          </w:p>
        </w:tc>
      </w:tr>
      <w:tr w:rsidR="007518E4" w:rsidRPr="003E7F03" w14:paraId="3A884598" w14:textId="77777777" w:rsidTr="00D737E9">
        <w:trPr>
          <w:trHeight w:val="20"/>
        </w:trPr>
        <w:tc>
          <w:tcPr>
            <w:tcW w:w="2977" w:type="dxa"/>
            <w:tcBorders>
              <w:top w:val="nil"/>
              <w:left w:val="single" w:sz="4" w:space="0" w:color="auto"/>
              <w:bottom w:val="single" w:sz="4" w:space="0" w:color="auto"/>
              <w:right w:val="nil"/>
            </w:tcBorders>
            <w:shd w:val="clear" w:color="auto" w:fill="auto"/>
            <w:noWrap/>
            <w:vAlign w:val="bottom"/>
            <w:hideMark/>
          </w:tcPr>
          <w:p w14:paraId="5DBBBA49" w14:textId="77777777" w:rsidR="007518E4" w:rsidRPr="003E7F03" w:rsidRDefault="007518E4" w:rsidP="00E12685">
            <w:pPr>
              <w:spacing w:before="0"/>
              <w:ind w:left="0"/>
              <w:jc w:val="left"/>
              <w:rPr>
                <w:rFonts w:ascii="Times New Roman" w:hAnsi="Times New Roman"/>
                <w:sz w:val="18"/>
                <w:szCs w:val="18"/>
                <w:lang w:val="en-GB" w:eastAsia="en-GB"/>
              </w:rPr>
            </w:pPr>
            <w:r w:rsidRPr="003E7F03">
              <w:rPr>
                <w:rFonts w:ascii="Times New Roman" w:hAnsi="Times New Roman"/>
                <w:sz w:val="18"/>
                <w:szCs w:val="18"/>
                <w:lang w:val="en-GB" w:eastAsia="en-GB"/>
              </w:rPr>
              <w:t>composition variance</w:t>
            </w:r>
          </w:p>
        </w:tc>
        <w:tc>
          <w:tcPr>
            <w:tcW w:w="1026" w:type="dxa"/>
            <w:tcBorders>
              <w:top w:val="nil"/>
              <w:left w:val="nil"/>
              <w:bottom w:val="single" w:sz="4" w:space="0" w:color="auto"/>
              <w:right w:val="nil"/>
            </w:tcBorders>
            <w:shd w:val="clear" w:color="auto" w:fill="auto"/>
            <w:noWrap/>
            <w:vAlign w:val="center"/>
            <w:hideMark/>
          </w:tcPr>
          <w:p w14:paraId="05E66FD8" w14:textId="77777777" w:rsidR="007518E4" w:rsidRPr="003E7F03" w:rsidRDefault="007518E4" w:rsidP="00E12685">
            <w:pPr>
              <w:spacing w:before="0"/>
              <w:ind w:left="0"/>
              <w:jc w:val="right"/>
              <w:rPr>
                <w:rFonts w:ascii="Times New Roman" w:hAnsi="Times New Roman"/>
                <w:b/>
                <w:bCs/>
                <w:sz w:val="18"/>
                <w:szCs w:val="18"/>
                <w:lang w:val="en-GB" w:eastAsia="en-GB"/>
              </w:rPr>
            </w:pPr>
          </w:p>
        </w:tc>
        <w:tc>
          <w:tcPr>
            <w:tcW w:w="1100" w:type="dxa"/>
            <w:tcBorders>
              <w:top w:val="nil"/>
              <w:left w:val="nil"/>
              <w:bottom w:val="single" w:sz="4" w:space="0" w:color="auto"/>
              <w:right w:val="nil"/>
            </w:tcBorders>
            <w:shd w:val="clear" w:color="auto" w:fill="auto"/>
            <w:noWrap/>
            <w:vAlign w:val="center"/>
            <w:hideMark/>
          </w:tcPr>
          <w:p w14:paraId="745D6577" w14:textId="77777777" w:rsidR="007518E4" w:rsidRPr="003E7F03" w:rsidRDefault="007518E4" w:rsidP="00E12685">
            <w:pPr>
              <w:spacing w:before="0"/>
              <w:ind w:left="0"/>
              <w:jc w:val="right"/>
              <w:rPr>
                <w:rFonts w:ascii="Times New Roman" w:hAnsi="Times New Roman"/>
                <w:b/>
                <w:bCs/>
                <w:sz w:val="18"/>
                <w:szCs w:val="18"/>
                <w:lang w:val="en-GB" w:eastAsia="en-GB"/>
              </w:rPr>
            </w:pPr>
          </w:p>
        </w:tc>
        <w:tc>
          <w:tcPr>
            <w:tcW w:w="1026" w:type="dxa"/>
            <w:tcBorders>
              <w:top w:val="nil"/>
              <w:left w:val="nil"/>
              <w:bottom w:val="single" w:sz="4" w:space="0" w:color="auto"/>
              <w:right w:val="nil"/>
            </w:tcBorders>
            <w:shd w:val="clear" w:color="auto" w:fill="auto"/>
            <w:noWrap/>
            <w:vAlign w:val="center"/>
            <w:hideMark/>
          </w:tcPr>
          <w:p w14:paraId="3E0A88AE"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1056" w:type="dxa"/>
            <w:tcBorders>
              <w:top w:val="nil"/>
              <w:left w:val="nil"/>
              <w:bottom w:val="single" w:sz="4" w:space="0" w:color="auto"/>
              <w:right w:val="nil"/>
            </w:tcBorders>
            <w:shd w:val="clear" w:color="auto" w:fill="auto"/>
            <w:noWrap/>
            <w:vAlign w:val="center"/>
            <w:hideMark/>
          </w:tcPr>
          <w:p w14:paraId="352A5E31"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936" w:type="dxa"/>
            <w:tcBorders>
              <w:top w:val="nil"/>
              <w:left w:val="nil"/>
              <w:bottom w:val="single" w:sz="4" w:space="0" w:color="auto"/>
              <w:right w:val="nil"/>
            </w:tcBorders>
            <w:shd w:val="clear" w:color="auto" w:fill="auto"/>
            <w:noWrap/>
            <w:vAlign w:val="center"/>
            <w:hideMark/>
          </w:tcPr>
          <w:p w14:paraId="356C559E" w14:textId="77777777" w:rsidR="007518E4" w:rsidRPr="003E7F03" w:rsidRDefault="007518E4" w:rsidP="00E12685">
            <w:pPr>
              <w:spacing w:before="0"/>
              <w:ind w:left="0"/>
              <w:jc w:val="right"/>
              <w:rPr>
                <w:rFonts w:ascii="Times New Roman" w:hAnsi="Times New Roman"/>
                <w:sz w:val="18"/>
                <w:szCs w:val="18"/>
                <w:lang w:val="en-GB" w:eastAsia="en-GB"/>
              </w:rPr>
            </w:pPr>
          </w:p>
        </w:tc>
        <w:tc>
          <w:tcPr>
            <w:tcW w:w="826" w:type="dxa"/>
            <w:tcBorders>
              <w:top w:val="nil"/>
              <w:left w:val="nil"/>
              <w:bottom w:val="single" w:sz="4" w:space="0" w:color="auto"/>
              <w:right w:val="single" w:sz="4" w:space="0" w:color="auto"/>
            </w:tcBorders>
            <w:shd w:val="clear" w:color="auto" w:fill="auto"/>
            <w:noWrap/>
            <w:vAlign w:val="center"/>
            <w:hideMark/>
          </w:tcPr>
          <w:p w14:paraId="181D63BF" w14:textId="77777777" w:rsidR="007518E4" w:rsidRPr="003E7F03" w:rsidRDefault="007518E4" w:rsidP="00E12685">
            <w:pPr>
              <w:spacing w:before="0"/>
              <w:ind w:left="0"/>
              <w:jc w:val="right"/>
              <w:rPr>
                <w:rFonts w:ascii="Times New Roman" w:hAnsi="Times New Roman"/>
                <w:b/>
                <w:bCs/>
                <w:sz w:val="18"/>
                <w:szCs w:val="18"/>
                <w:lang w:val="en-GB" w:eastAsia="en-GB"/>
              </w:rPr>
            </w:pPr>
            <w:r w:rsidRPr="003E7F03">
              <w:rPr>
                <w:rFonts w:ascii="Times New Roman" w:hAnsi="Times New Roman"/>
                <w:b/>
                <w:bCs/>
                <w:sz w:val="18"/>
                <w:szCs w:val="18"/>
                <w:lang w:val="en-GB" w:eastAsia="en-GB"/>
              </w:rPr>
              <w:t>12.1%</w:t>
            </w:r>
          </w:p>
        </w:tc>
      </w:tr>
    </w:tbl>
    <w:p w14:paraId="18E29C55" w14:textId="77777777" w:rsidR="007518E4" w:rsidRDefault="007518E4" w:rsidP="00E12685">
      <w:pPr>
        <w:spacing w:before="0"/>
        <w:ind w:left="0"/>
      </w:pPr>
    </w:p>
    <w:tbl>
      <w:tblPr>
        <w:tblW w:w="5000" w:type="pct"/>
        <w:tblCellMar>
          <w:left w:w="70" w:type="dxa"/>
          <w:right w:w="70" w:type="dxa"/>
        </w:tblCellMar>
        <w:tblLook w:val="04A0" w:firstRow="1" w:lastRow="0" w:firstColumn="1" w:lastColumn="0" w:noHBand="0" w:noVBand="1"/>
      </w:tblPr>
      <w:tblGrid>
        <w:gridCol w:w="2825"/>
        <w:gridCol w:w="1196"/>
        <w:gridCol w:w="1196"/>
        <w:gridCol w:w="1019"/>
        <w:gridCol w:w="1091"/>
        <w:gridCol w:w="974"/>
        <w:gridCol w:w="720"/>
      </w:tblGrid>
      <w:tr w:rsidR="00743BA7" w:rsidRPr="00743BA7" w14:paraId="0715C53B" w14:textId="77777777" w:rsidTr="0024261E">
        <w:trPr>
          <w:trHeight w:val="264"/>
        </w:trPr>
        <w:tc>
          <w:tcPr>
            <w:tcW w:w="1556" w:type="pct"/>
            <w:tcBorders>
              <w:top w:val="nil"/>
              <w:left w:val="single" w:sz="4" w:space="0" w:color="auto"/>
              <w:bottom w:val="single" w:sz="4" w:space="0" w:color="auto"/>
              <w:right w:val="nil"/>
            </w:tcBorders>
            <w:shd w:val="clear" w:color="auto" w:fill="auto"/>
            <w:noWrap/>
            <w:vAlign w:val="bottom"/>
            <w:hideMark/>
          </w:tcPr>
          <w:p w14:paraId="489420A0" w14:textId="77777777" w:rsidR="0080252E" w:rsidRPr="00A07C63" w:rsidRDefault="000310F5" w:rsidP="00A07C63">
            <w:pPr>
              <w:rPr>
                <w:rFonts w:ascii="Times New Roman" w:hAnsi="Times New Roman"/>
                <w:b/>
                <w:sz w:val="20"/>
                <w:szCs w:val="20"/>
                <w:lang w:val="fr-FR" w:eastAsia="fr-FR"/>
              </w:rPr>
            </w:pPr>
            <w:r w:rsidRPr="00A07C63">
              <w:rPr>
                <w:rFonts w:ascii="Times New Roman" w:hAnsi="Times New Roman"/>
                <w:b/>
                <w:sz w:val="20"/>
                <w:szCs w:val="20"/>
                <w:lang w:val="fr-FR" w:eastAsia="fr-FR"/>
              </w:rPr>
              <w:t>Table 6</w:t>
            </w:r>
            <w:r w:rsidR="00743BA7" w:rsidRPr="00A07C63">
              <w:rPr>
                <w:rFonts w:ascii="Times New Roman" w:hAnsi="Times New Roman"/>
                <w:b/>
                <w:sz w:val="20"/>
                <w:szCs w:val="20"/>
                <w:lang w:val="fr-FR" w:eastAsia="fr-FR"/>
              </w:rPr>
              <w:t xml:space="preserve"> </w:t>
            </w:r>
          </w:p>
        </w:tc>
        <w:tc>
          <w:tcPr>
            <w:tcW w:w="666" w:type="pct"/>
            <w:tcBorders>
              <w:top w:val="nil"/>
              <w:left w:val="nil"/>
              <w:bottom w:val="single" w:sz="4" w:space="0" w:color="auto"/>
              <w:right w:val="nil"/>
            </w:tcBorders>
            <w:shd w:val="clear" w:color="auto" w:fill="auto"/>
            <w:noWrap/>
            <w:vAlign w:val="bottom"/>
            <w:hideMark/>
          </w:tcPr>
          <w:p w14:paraId="75B4795B" w14:textId="77777777" w:rsidR="0080252E" w:rsidRPr="00743BA7" w:rsidRDefault="0080252E" w:rsidP="0080252E">
            <w:pPr>
              <w:spacing w:before="0"/>
              <w:ind w:left="0"/>
              <w:jc w:val="left"/>
              <w:rPr>
                <w:rFonts w:ascii="Times New Roman" w:hAnsi="Times New Roman"/>
                <w:b/>
                <w:bCs/>
                <w:sz w:val="18"/>
                <w:szCs w:val="18"/>
                <w:lang w:val="fr-FR" w:eastAsia="fr-FR"/>
              </w:rPr>
            </w:pPr>
          </w:p>
        </w:tc>
        <w:tc>
          <w:tcPr>
            <w:tcW w:w="666" w:type="pct"/>
            <w:tcBorders>
              <w:top w:val="nil"/>
              <w:left w:val="nil"/>
              <w:bottom w:val="single" w:sz="4" w:space="0" w:color="auto"/>
              <w:right w:val="nil"/>
            </w:tcBorders>
            <w:shd w:val="clear" w:color="auto" w:fill="auto"/>
            <w:noWrap/>
            <w:vAlign w:val="bottom"/>
            <w:hideMark/>
          </w:tcPr>
          <w:p w14:paraId="27A09318" w14:textId="77777777" w:rsidR="0080252E" w:rsidRPr="00743BA7" w:rsidRDefault="0080252E" w:rsidP="0080252E">
            <w:pPr>
              <w:spacing w:before="0"/>
              <w:ind w:left="0"/>
              <w:jc w:val="left"/>
              <w:rPr>
                <w:rFonts w:ascii="Times New Roman" w:hAnsi="Times New Roman"/>
                <w:sz w:val="18"/>
                <w:szCs w:val="18"/>
                <w:lang w:val="fr-FR" w:eastAsia="fr-FR"/>
              </w:rPr>
            </w:pPr>
          </w:p>
        </w:tc>
        <w:tc>
          <w:tcPr>
            <w:tcW w:w="568" w:type="pct"/>
            <w:tcBorders>
              <w:top w:val="nil"/>
              <w:left w:val="nil"/>
              <w:bottom w:val="single" w:sz="4" w:space="0" w:color="auto"/>
              <w:right w:val="nil"/>
            </w:tcBorders>
            <w:shd w:val="clear" w:color="auto" w:fill="auto"/>
            <w:noWrap/>
            <w:vAlign w:val="bottom"/>
            <w:hideMark/>
          </w:tcPr>
          <w:p w14:paraId="5637BD16" w14:textId="77777777" w:rsidR="0080252E" w:rsidRPr="00743BA7" w:rsidRDefault="0080252E" w:rsidP="0080252E">
            <w:pPr>
              <w:spacing w:before="0"/>
              <w:ind w:left="0"/>
              <w:jc w:val="left"/>
              <w:rPr>
                <w:rFonts w:ascii="Times New Roman" w:hAnsi="Times New Roman"/>
                <w:sz w:val="18"/>
                <w:szCs w:val="18"/>
                <w:lang w:val="fr-FR" w:eastAsia="fr-FR"/>
              </w:rPr>
            </w:pPr>
          </w:p>
        </w:tc>
        <w:tc>
          <w:tcPr>
            <w:tcW w:w="608" w:type="pct"/>
            <w:tcBorders>
              <w:top w:val="nil"/>
              <w:left w:val="nil"/>
              <w:bottom w:val="single" w:sz="4" w:space="0" w:color="auto"/>
              <w:right w:val="nil"/>
            </w:tcBorders>
            <w:shd w:val="clear" w:color="auto" w:fill="auto"/>
            <w:noWrap/>
            <w:vAlign w:val="bottom"/>
            <w:hideMark/>
          </w:tcPr>
          <w:p w14:paraId="335DC5C4" w14:textId="77777777" w:rsidR="0080252E" w:rsidRPr="00743BA7" w:rsidRDefault="0080252E" w:rsidP="0080252E">
            <w:pPr>
              <w:spacing w:before="0"/>
              <w:ind w:left="0"/>
              <w:jc w:val="left"/>
              <w:rPr>
                <w:rFonts w:ascii="Times New Roman" w:hAnsi="Times New Roman"/>
                <w:sz w:val="18"/>
                <w:szCs w:val="18"/>
                <w:lang w:val="fr-FR" w:eastAsia="fr-FR"/>
              </w:rPr>
            </w:pPr>
          </w:p>
        </w:tc>
        <w:tc>
          <w:tcPr>
            <w:tcW w:w="543" w:type="pct"/>
            <w:tcBorders>
              <w:top w:val="nil"/>
              <w:left w:val="nil"/>
              <w:bottom w:val="single" w:sz="4" w:space="0" w:color="auto"/>
              <w:right w:val="nil"/>
            </w:tcBorders>
            <w:shd w:val="clear" w:color="auto" w:fill="auto"/>
            <w:noWrap/>
            <w:vAlign w:val="bottom"/>
            <w:hideMark/>
          </w:tcPr>
          <w:p w14:paraId="2F78C2B3" w14:textId="77777777" w:rsidR="0080252E" w:rsidRPr="00743BA7" w:rsidRDefault="0080252E" w:rsidP="0080252E">
            <w:pPr>
              <w:spacing w:before="0"/>
              <w:ind w:left="0"/>
              <w:jc w:val="left"/>
              <w:rPr>
                <w:rFonts w:ascii="Times New Roman" w:hAnsi="Times New Roman"/>
                <w:sz w:val="18"/>
                <w:szCs w:val="18"/>
                <w:lang w:val="fr-FR" w:eastAsia="fr-FR"/>
              </w:rPr>
            </w:pPr>
          </w:p>
        </w:tc>
        <w:tc>
          <w:tcPr>
            <w:tcW w:w="393" w:type="pct"/>
            <w:tcBorders>
              <w:top w:val="nil"/>
              <w:left w:val="nil"/>
              <w:bottom w:val="single" w:sz="4" w:space="0" w:color="auto"/>
              <w:right w:val="nil"/>
            </w:tcBorders>
            <w:shd w:val="clear" w:color="auto" w:fill="auto"/>
            <w:noWrap/>
            <w:vAlign w:val="bottom"/>
            <w:hideMark/>
          </w:tcPr>
          <w:p w14:paraId="46D22657" w14:textId="77777777" w:rsidR="0080252E" w:rsidRPr="00743BA7" w:rsidRDefault="0080252E" w:rsidP="0080252E">
            <w:pPr>
              <w:spacing w:before="0"/>
              <w:ind w:left="0"/>
              <w:jc w:val="left"/>
              <w:rPr>
                <w:rFonts w:ascii="Times New Roman" w:hAnsi="Times New Roman"/>
                <w:sz w:val="18"/>
                <w:szCs w:val="18"/>
                <w:lang w:val="fr-FR" w:eastAsia="fr-FR"/>
              </w:rPr>
            </w:pPr>
          </w:p>
        </w:tc>
      </w:tr>
      <w:tr w:rsidR="00743BA7" w:rsidRPr="00743BA7" w14:paraId="5222D806"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C11F1" w14:textId="77777777" w:rsidR="0080252E" w:rsidRPr="00743BA7" w:rsidRDefault="00310D44" w:rsidP="0080252E">
            <w:pPr>
              <w:spacing w:before="0"/>
              <w:ind w:left="0"/>
              <w:jc w:val="right"/>
              <w:rPr>
                <w:rFonts w:ascii="Times New Roman" w:hAnsi="Times New Roman"/>
                <w:b/>
                <w:bCs/>
                <w:sz w:val="18"/>
                <w:szCs w:val="18"/>
                <w:lang w:val="fr-FR" w:eastAsia="fr-FR"/>
              </w:rPr>
            </w:pPr>
            <w:r w:rsidRPr="00310D44">
              <w:rPr>
                <w:rFonts w:ascii="Times New Roman" w:hAnsi="Times New Roman"/>
                <w:b/>
                <w:bCs/>
                <w:sz w:val="18"/>
                <w:szCs w:val="18"/>
                <w:lang w:val="fr-FR" w:eastAsia="fr-FR"/>
              </w:rPr>
              <w:t xml:space="preserve">Data for </w:t>
            </w:r>
            <w:proofErr w:type="spellStart"/>
            <w:r w:rsidRPr="00310D44">
              <w:rPr>
                <w:rFonts w:ascii="Times New Roman" w:hAnsi="Times New Roman"/>
                <w:b/>
                <w:bCs/>
                <w:sz w:val="18"/>
                <w:szCs w:val="18"/>
                <w:lang w:val="fr-FR" w:eastAsia="fr-FR"/>
              </w:rPr>
              <w:t>year</w:t>
            </w:r>
            <w:proofErr w:type="spellEnd"/>
            <w:r w:rsidRPr="00310D44">
              <w:rPr>
                <w:rFonts w:ascii="Times New Roman" w:hAnsi="Times New Roman"/>
                <w:b/>
                <w:bCs/>
                <w:sz w:val="18"/>
                <w:szCs w:val="18"/>
                <w:lang w:val="fr-FR" w:eastAsia="fr-FR"/>
              </w:rPr>
              <w:t xml:space="preserve"> = </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93C84" w14:textId="77777777" w:rsidR="0080252E" w:rsidRPr="00743BA7" w:rsidRDefault="00310D44" w:rsidP="0080252E">
            <w:pPr>
              <w:spacing w:before="0"/>
              <w:ind w:left="0"/>
              <w:jc w:val="right"/>
              <w:rPr>
                <w:rFonts w:ascii="Times New Roman" w:hAnsi="Times New Roman"/>
                <w:b/>
                <w:bCs/>
                <w:sz w:val="18"/>
                <w:szCs w:val="18"/>
                <w:lang w:val="fr-FR" w:eastAsia="fr-FR"/>
              </w:rPr>
            </w:pPr>
            <w:r w:rsidRPr="00310D44">
              <w:rPr>
                <w:rFonts w:ascii="Times New Roman" w:hAnsi="Times New Roman"/>
                <w:b/>
                <w:bCs/>
                <w:sz w:val="18"/>
                <w:szCs w:val="18"/>
                <w:lang w:val="fr-FR" w:eastAsia="fr-FR"/>
              </w:rPr>
              <w:t>2017</w:t>
            </w:r>
            <w:r w:rsidR="00743BA7">
              <w:rPr>
                <w:rFonts w:ascii="Times New Roman" w:hAnsi="Times New Roman"/>
                <w:b/>
                <w:bCs/>
                <w:sz w:val="18"/>
                <w:szCs w:val="18"/>
                <w:lang w:val="fr-FR" w:eastAsia="fr-FR"/>
              </w:rPr>
              <w:t xml:space="preserve"> (est.)</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785B"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D2430"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1F2EC"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10506"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AA758"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w:t>
            </w:r>
          </w:p>
        </w:tc>
      </w:tr>
      <w:tr w:rsidR="00743BA7" w:rsidRPr="00743BA7" w14:paraId="5101B482"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3E2A"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spellStart"/>
            <w:r w:rsidRPr="00310D44">
              <w:rPr>
                <w:rFonts w:ascii="Times New Roman" w:hAnsi="Times New Roman"/>
                <w:b/>
                <w:bCs/>
                <w:sz w:val="18"/>
                <w:szCs w:val="18"/>
                <w:lang w:val="fr-FR" w:eastAsia="fr-FR"/>
              </w:rPr>
              <w:t>Economic</w:t>
            </w:r>
            <w:proofErr w:type="spellEnd"/>
            <w:r w:rsidRPr="00310D44">
              <w:rPr>
                <w:rFonts w:ascii="Times New Roman" w:hAnsi="Times New Roman"/>
                <w:b/>
                <w:bCs/>
                <w:sz w:val="18"/>
                <w:szCs w:val="18"/>
                <w:lang w:val="fr-FR" w:eastAsia="fr-FR"/>
              </w:rPr>
              <w:t xml:space="preserve"> </w:t>
            </w:r>
            <w:proofErr w:type="spellStart"/>
            <w:r w:rsidRPr="00310D44">
              <w:rPr>
                <w:rFonts w:ascii="Times New Roman" w:hAnsi="Times New Roman"/>
                <w:b/>
                <w:bCs/>
                <w:sz w:val="18"/>
                <w:szCs w:val="18"/>
                <w:lang w:val="fr-FR" w:eastAsia="fr-FR"/>
              </w:rPr>
              <w:t>head</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B9EE2"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gramStart"/>
            <w:r w:rsidRPr="00310D44">
              <w:rPr>
                <w:rFonts w:ascii="Times New Roman" w:hAnsi="Times New Roman"/>
                <w:b/>
                <w:bCs/>
                <w:sz w:val="18"/>
                <w:szCs w:val="18"/>
                <w:lang w:val="fr-FR" w:eastAsia="fr-FR"/>
              </w:rPr>
              <w:t>budget</w:t>
            </w:r>
            <w:proofErr w:type="gram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B24D6"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spellStart"/>
            <w:proofErr w:type="gramStart"/>
            <w:r w:rsidRPr="00310D44">
              <w:rPr>
                <w:rFonts w:ascii="Times New Roman" w:hAnsi="Times New Roman"/>
                <w:b/>
                <w:bCs/>
                <w:sz w:val="18"/>
                <w:szCs w:val="18"/>
                <w:lang w:val="fr-FR" w:eastAsia="fr-FR"/>
              </w:rPr>
              <w:t>actual</w:t>
            </w:r>
            <w:proofErr w:type="spellEnd"/>
            <w:proofErr w:type="gramEnd"/>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0EC53"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spellStart"/>
            <w:proofErr w:type="gramStart"/>
            <w:r w:rsidRPr="00310D44">
              <w:rPr>
                <w:rFonts w:ascii="Times New Roman" w:hAnsi="Times New Roman"/>
                <w:b/>
                <w:bCs/>
                <w:sz w:val="18"/>
                <w:szCs w:val="18"/>
                <w:lang w:val="fr-FR" w:eastAsia="fr-FR"/>
              </w:rPr>
              <w:t>adjusted</w:t>
            </w:r>
            <w:proofErr w:type="spellEnd"/>
            <w:proofErr w:type="gramEnd"/>
            <w:r w:rsidRPr="00310D44">
              <w:rPr>
                <w:rFonts w:ascii="Times New Roman" w:hAnsi="Times New Roman"/>
                <w:b/>
                <w:bCs/>
                <w:sz w:val="18"/>
                <w:szCs w:val="18"/>
                <w:lang w:val="fr-FR" w:eastAsia="fr-FR"/>
              </w:rPr>
              <w:t xml:space="preserve"> budget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70A0A"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spellStart"/>
            <w:proofErr w:type="gramStart"/>
            <w:r w:rsidRPr="00310D44">
              <w:rPr>
                <w:rFonts w:ascii="Times New Roman" w:hAnsi="Times New Roman"/>
                <w:b/>
                <w:bCs/>
                <w:sz w:val="18"/>
                <w:szCs w:val="18"/>
                <w:lang w:val="fr-FR" w:eastAsia="fr-FR"/>
              </w:rPr>
              <w:t>deviation</w:t>
            </w:r>
            <w:proofErr w:type="spellEnd"/>
            <w:proofErr w:type="gram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8EBF7"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spellStart"/>
            <w:proofErr w:type="gramStart"/>
            <w:r w:rsidRPr="00310D44">
              <w:rPr>
                <w:rFonts w:ascii="Times New Roman" w:hAnsi="Times New Roman"/>
                <w:b/>
                <w:bCs/>
                <w:sz w:val="18"/>
                <w:szCs w:val="18"/>
                <w:lang w:val="fr-FR" w:eastAsia="fr-FR"/>
              </w:rPr>
              <w:t>absolute</w:t>
            </w:r>
            <w:proofErr w:type="spellEnd"/>
            <w:proofErr w:type="gramEnd"/>
            <w:r w:rsidRPr="00310D44">
              <w:rPr>
                <w:rFonts w:ascii="Times New Roman" w:hAnsi="Times New Roman"/>
                <w:b/>
                <w:bCs/>
                <w:sz w:val="18"/>
                <w:szCs w:val="18"/>
                <w:lang w:val="fr-FR" w:eastAsia="fr-FR"/>
              </w:rPr>
              <w:t xml:space="preserve"> </w:t>
            </w:r>
            <w:proofErr w:type="spellStart"/>
            <w:r w:rsidRPr="00310D44">
              <w:rPr>
                <w:rFonts w:ascii="Times New Roman" w:hAnsi="Times New Roman"/>
                <w:b/>
                <w:bCs/>
                <w:sz w:val="18"/>
                <w:szCs w:val="18"/>
                <w:lang w:val="fr-FR" w:eastAsia="fr-FR"/>
              </w:rPr>
              <w:t>deviation</w:t>
            </w:r>
            <w:proofErr w:type="spellEnd"/>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11D67" w14:textId="77777777" w:rsidR="0080252E" w:rsidRPr="00743BA7" w:rsidRDefault="00310D44" w:rsidP="0080252E">
            <w:pPr>
              <w:spacing w:before="0"/>
              <w:ind w:left="0"/>
              <w:jc w:val="center"/>
              <w:rPr>
                <w:rFonts w:ascii="Times New Roman" w:hAnsi="Times New Roman"/>
                <w:b/>
                <w:bCs/>
                <w:sz w:val="18"/>
                <w:szCs w:val="18"/>
                <w:lang w:val="fr-FR" w:eastAsia="fr-FR"/>
              </w:rPr>
            </w:pPr>
            <w:proofErr w:type="gramStart"/>
            <w:r w:rsidRPr="00310D44">
              <w:rPr>
                <w:rFonts w:ascii="Times New Roman" w:hAnsi="Times New Roman"/>
                <w:b/>
                <w:bCs/>
                <w:sz w:val="18"/>
                <w:szCs w:val="18"/>
                <w:lang w:val="fr-FR" w:eastAsia="fr-FR"/>
              </w:rPr>
              <w:t>percent</w:t>
            </w:r>
            <w:proofErr w:type="gramEnd"/>
          </w:p>
        </w:tc>
      </w:tr>
      <w:tr w:rsidR="00743BA7" w:rsidRPr="00743BA7" w14:paraId="3F1A2990"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6D2FE"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xml:space="preserve">Salary and </w:t>
            </w:r>
            <w:proofErr w:type="spellStart"/>
            <w:r w:rsidRPr="00310D44">
              <w:rPr>
                <w:rFonts w:ascii="Times New Roman" w:hAnsi="Times New Roman"/>
                <w:sz w:val="18"/>
                <w:szCs w:val="18"/>
                <w:lang w:val="fr-FR" w:eastAsia="fr-FR"/>
              </w:rPr>
              <w:t>employee</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allowance</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892619"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10,500,000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878665"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10,070,809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872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10,039,559</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D321F"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(429,191)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89D42"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429,191</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5F08D"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4.3%</w:t>
            </w:r>
          </w:p>
        </w:tc>
      </w:tr>
      <w:tr w:rsidR="00743BA7" w:rsidRPr="00743BA7" w14:paraId="366FB5BC"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5912"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xml:space="preserve">Compensation and </w:t>
            </w:r>
            <w:proofErr w:type="spellStart"/>
            <w:r w:rsidRPr="00310D44">
              <w:rPr>
                <w:rFonts w:ascii="Times New Roman" w:hAnsi="Times New Roman"/>
                <w:sz w:val="18"/>
                <w:szCs w:val="18"/>
                <w:lang w:val="fr-FR" w:eastAsia="fr-FR"/>
              </w:rPr>
              <w:t>policy</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allowances</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9AE6A0"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1,700,000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8E4EDB"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1,700,000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1362"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1,625,452</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858C4"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21998"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C8D26"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0.0%</w:t>
            </w:r>
          </w:p>
        </w:tc>
      </w:tr>
      <w:tr w:rsidR="00743BA7" w:rsidRPr="00743BA7" w14:paraId="77D1EC62"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B959" w14:textId="77777777" w:rsidR="0080252E" w:rsidRPr="00743BA7" w:rsidRDefault="00310D44" w:rsidP="0080252E">
            <w:pPr>
              <w:spacing w:before="0"/>
              <w:ind w:left="0"/>
              <w:jc w:val="left"/>
              <w:rPr>
                <w:rFonts w:ascii="Times New Roman" w:hAnsi="Times New Roman"/>
                <w:sz w:val="18"/>
                <w:szCs w:val="18"/>
                <w:lang w:val="fr-FR" w:eastAsia="fr-FR"/>
              </w:rPr>
            </w:pPr>
            <w:proofErr w:type="spellStart"/>
            <w:r w:rsidRPr="00310D44">
              <w:rPr>
                <w:rFonts w:ascii="Times New Roman" w:hAnsi="Times New Roman"/>
                <w:sz w:val="18"/>
                <w:szCs w:val="18"/>
                <w:lang w:val="fr-FR" w:eastAsia="fr-FR"/>
              </w:rPr>
              <w:t>Operation</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expenditure</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22732F"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2,800,000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A9A29E"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2,990,463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091B7"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2,677,216</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2FF4E"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190,463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94DC5"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190,463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50E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7.1%</w:t>
            </w:r>
          </w:p>
        </w:tc>
      </w:tr>
      <w:tr w:rsidR="00743BA7" w:rsidRPr="00743BA7" w14:paraId="6AC9F400"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66177" w14:textId="77777777" w:rsidR="0080252E" w:rsidRPr="00743BA7" w:rsidRDefault="00310D44" w:rsidP="0080252E">
            <w:pPr>
              <w:spacing w:before="0"/>
              <w:ind w:left="0"/>
              <w:jc w:val="left"/>
              <w:rPr>
                <w:rFonts w:ascii="Times New Roman" w:hAnsi="Times New Roman"/>
                <w:sz w:val="18"/>
                <w:szCs w:val="18"/>
                <w:lang w:val="fr-FR" w:eastAsia="fr-FR"/>
              </w:rPr>
            </w:pPr>
            <w:proofErr w:type="spellStart"/>
            <w:r w:rsidRPr="00310D44">
              <w:rPr>
                <w:rFonts w:ascii="Times New Roman" w:hAnsi="Times New Roman"/>
                <w:sz w:val="18"/>
                <w:szCs w:val="18"/>
                <w:lang w:val="fr-FR" w:eastAsia="fr-FR"/>
              </w:rPr>
              <w:t>Technical</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activities</w:t>
            </w:r>
            <w:proofErr w:type="spellEnd"/>
            <w:r w:rsidRPr="00310D44">
              <w:rPr>
                <w:rFonts w:ascii="Times New Roman" w:hAnsi="Times New Roman"/>
                <w:sz w:val="18"/>
                <w:szCs w:val="18"/>
                <w:lang w:val="fr-FR" w:eastAsia="fr-FR"/>
              </w:rPr>
              <w:t xml:space="preserve"> and subsidies</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B5E16E"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1,580,000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61294"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1,574,127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7487"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1,510,715</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A6B2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(5,873)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D125"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5,873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5CB2"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0.4%</w:t>
            </w:r>
          </w:p>
        </w:tc>
      </w:tr>
      <w:tr w:rsidR="00743BA7" w:rsidRPr="00743BA7" w14:paraId="46ED93D2"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28DF2"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xml:space="preserve">Financial </w:t>
            </w:r>
            <w:proofErr w:type="spellStart"/>
            <w:r w:rsidRPr="00310D44">
              <w:rPr>
                <w:rFonts w:ascii="Times New Roman" w:hAnsi="Times New Roman"/>
                <w:sz w:val="18"/>
                <w:szCs w:val="18"/>
                <w:lang w:val="fr-FR" w:eastAsia="fr-FR"/>
              </w:rPr>
              <w:t>expenditure</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2C771F"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1,881,000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E2C3E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2,125,601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2D82E"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1,798,515</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C0CF7"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244,601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A38AC"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244,601</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E943"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13.6%</w:t>
            </w:r>
          </w:p>
        </w:tc>
      </w:tr>
      <w:tr w:rsidR="00743BA7" w:rsidRPr="00743BA7" w14:paraId="3BB251A5"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CA905" w14:textId="77777777" w:rsidR="0080252E" w:rsidRPr="00743BA7" w:rsidRDefault="00310D44" w:rsidP="0080252E">
            <w:pPr>
              <w:spacing w:before="0"/>
              <w:ind w:left="0"/>
              <w:jc w:val="left"/>
              <w:rPr>
                <w:rFonts w:ascii="Times New Roman" w:hAnsi="Times New Roman"/>
                <w:sz w:val="18"/>
                <w:szCs w:val="18"/>
                <w:lang w:val="fr-FR" w:eastAsia="fr-FR"/>
              </w:rPr>
            </w:pPr>
            <w:proofErr w:type="spellStart"/>
            <w:r w:rsidRPr="00310D44">
              <w:rPr>
                <w:rFonts w:ascii="Times New Roman" w:hAnsi="Times New Roman"/>
                <w:sz w:val="18"/>
                <w:szCs w:val="18"/>
                <w:lang w:val="fr-FR" w:eastAsia="fr-FR"/>
              </w:rPr>
              <w:t>Other</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expenditures</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FCF477"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400,000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B564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400,000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A45A6"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382,459</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D94F"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63AC"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38B43"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0.0%</w:t>
            </w:r>
          </w:p>
        </w:tc>
      </w:tr>
      <w:tr w:rsidR="00743BA7" w:rsidRPr="00743BA7" w14:paraId="3D99D6B0"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30BA5"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xml:space="preserve">New </w:t>
            </w:r>
            <w:proofErr w:type="spellStart"/>
            <w:r w:rsidRPr="00310D44">
              <w:rPr>
                <w:rFonts w:ascii="Times New Roman" w:hAnsi="Times New Roman"/>
                <w:sz w:val="18"/>
                <w:szCs w:val="18"/>
                <w:lang w:val="fr-FR" w:eastAsia="fr-FR"/>
              </w:rPr>
              <w:t>purchase</w:t>
            </w:r>
            <w:proofErr w:type="spellEnd"/>
            <w:r w:rsidRPr="00310D44">
              <w:rPr>
                <w:rFonts w:ascii="Times New Roman" w:hAnsi="Times New Roman"/>
                <w:sz w:val="18"/>
                <w:szCs w:val="18"/>
                <w:lang w:val="fr-FR" w:eastAsia="fr-FR"/>
              </w:rPr>
              <w:t xml:space="preserve"> for </w:t>
            </w:r>
            <w:proofErr w:type="spellStart"/>
            <w:r w:rsidRPr="00310D44">
              <w:rPr>
                <w:rFonts w:ascii="Times New Roman" w:hAnsi="Times New Roman"/>
                <w:sz w:val="18"/>
                <w:szCs w:val="18"/>
                <w:lang w:val="fr-FR" w:eastAsia="fr-FR"/>
              </w:rPr>
              <w:t>operation</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129794"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DCC0D"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9ECE8"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271F3"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A3FCF"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EBB73" w14:textId="77777777" w:rsidR="0080252E" w:rsidRPr="00743BA7" w:rsidRDefault="0080252E" w:rsidP="00D737E9">
            <w:pPr>
              <w:spacing w:before="0"/>
              <w:ind w:left="0"/>
              <w:jc w:val="right"/>
              <w:rPr>
                <w:rFonts w:ascii="Times New Roman" w:hAnsi="Times New Roman"/>
                <w:sz w:val="18"/>
                <w:szCs w:val="18"/>
                <w:lang w:val="fr-FR" w:eastAsia="fr-FR"/>
              </w:rPr>
            </w:pPr>
          </w:p>
        </w:tc>
      </w:tr>
      <w:tr w:rsidR="00743BA7" w:rsidRPr="00743BA7" w14:paraId="0648B9BA"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DE259"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Capital-</w:t>
            </w:r>
            <w:proofErr w:type="spellStart"/>
            <w:r w:rsidRPr="00310D44">
              <w:rPr>
                <w:rFonts w:ascii="Times New Roman" w:hAnsi="Times New Roman"/>
                <w:sz w:val="18"/>
                <w:szCs w:val="18"/>
                <w:lang w:val="fr-FR" w:eastAsia="fr-FR"/>
              </w:rPr>
              <w:t>external</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expenditure</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7143F3"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8,078,000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48B664"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8,078,000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9F07F"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7,723,767</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C0DA1"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3BCFE"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63E81"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0.0%</w:t>
            </w:r>
          </w:p>
        </w:tc>
      </w:tr>
      <w:tr w:rsidR="00743BA7" w:rsidRPr="00743BA7" w14:paraId="525E3EA2"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9C666"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xml:space="preserve">Capital-local </w:t>
            </w:r>
            <w:proofErr w:type="spellStart"/>
            <w:r w:rsidRPr="00310D44">
              <w:rPr>
                <w:rFonts w:ascii="Times New Roman" w:hAnsi="Times New Roman"/>
                <w:sz w:val="18"/>
                <w:szCs w:val="18"/>
                <w:lang w:val="fr-FR" w:eastAsia="fr-FR"/>
              </w:rPr>
              <w:t>expenditure</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0D08E1"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5,463,000</w:t>
            </w: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1A60B5"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5,463,000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9F61"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5,223,439</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AF262"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1468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BFD39"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0.0%</w:t>
            </w:r>
          </w:p>
        </w:tc>
      </w:tr>
      <w:tr w:rsidR="00743BA7" w:rsidRPr="00743BA7" w14:paraId="4CDDDF39"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5BF45" w14:textId="77777777" w:rsidR="0080252E" w:rsidRPr="00743BA7" w:rsidRDefault="00310D44" w:rsidP="0080252E">
            <w:pPr>
              <w:spacing w:before="0"/>
              <w:ind w:left="0"/>
              <w:jc w:val="left"/>
              <w:rPr>
                <w:rFonts w:ascii="Times New Roman" w:hAnsi="Times New Roman"/>
                <w:sz w:val="18"/>
                <w:szCs w:val="18"/>
                <w:lang w:val="fr-FR" w:eastAsia="fr-FR"/>
              </w:rPr>
            </w:pPr>
            <w:proofErr w:type="spellStart"/>
            <w:r w:rsidRPr="00310D44">
              <w:rPr>
                <w:rFonts w:ascii="Times New Roman" w:hAnsi="Times New Roman"/>
                <w:sz w:val="18"/>
                <w:szCs w:val="18"/>
                <w:lang w:val="fr-FR" w:eastAsia="fr-FR"/>
              </w:rPr>
              <w:t>External</w:t>
            </w:r>
            <w:proofErr w:type="spellEnd"/>
            <w:r w:rsidRPr="00310D44">
              <w:rPr>
                <w:rFonts w:ascii="Times New Roman" w:hAnsi="Times New Roman"/>
                <w:sz w:val="18"/>
                <w:szCs w:val="18"/>
                <w:lang w:val="fr-FR" w:eastAsia="fr-FR"/>
              </w:rPr>
              <w:t xml:space="preserve"> </w:t>
            </w:r>
            <w:proofErr w:type="spellStart"/>
            <w:r w:rsidRPr="00310D44">
              <w:rPr>
                <w:rFonts w:ascii="Times New Roman" w:hAnsi="Times New Roman"/>
                <w:sz w:val="18"/>
                <w:szCs w:val="18"/>
                <w:lang w:val="fr-FR" w:eastAsia="fr-FR"/>
              </w:rPr>
              <w:t>debt</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D77B8D"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ABC6FD"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D87A4"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96D1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6612"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7A266" w14:textId="77777777" w:rsidR="0080252E" w:rsidRPr="00743BA7" w:rsidRDefault="0080252E" w:rsidP="00D737E9">
            <w:pPr>
              <w:spacing w:before="0"/>
              <w:ind w:left="0"/>
              <w:jc w:val="right"/>
              <w:rPr>
                <w:rFonts w:ascii="Times New Roman" w:hAnsi="Times New Roman"/>
                <w:sz w:val="18"/>
                <w:szCs w:val="18"/>
                <w:lang w:val="fr-FR" w:eastAsia="fr-FR"/>
              </w:rPr>
            </w:pPr>
          </w:p>
        </w:tc>
      </w:tr>
      <w:tr w:rsidR="00743BA7" w:rsidRPr="00743BA7" w14:paraId="409E3D4D"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96213" w14:textId="77777777" w:rsidR="0080252E" w:rsidRPr="00743BA7" w:rsidRDefault="00310D44" w:rsidP="0080252E">
            <w:pPr>
              <w:spacing w:before="0"/>
              <w:ind w:left="0"/>
              <w:jc w:val="left"/>
              <w:rPr>
                <w:rFonts w:ascii="Times New Roman" w:hAnsi="Times New Roman"/>
                <w:sz w:val="18"/>
                <w:szCs w:val="18"/>
                <w:lang w:val="fr-FR" w:eastAsia="fr-FR"/>
              </w:rPr>
            </w:pPr>
            <w:r w:rsidRPr="00310D44">
              <w:rPr>
                <w:rFonts w:ascii="Times New Roman" w:hAnsi="Times New Roman"/>
                <w:sz w:val="18"/>
                <w:szCs w:val="18"/>
                <w:lang w:val="fr-FR" w:eastAsia="fr-FR"/>
              </w:rPr>
              <w:t xml:space="preserve">Domestic </w:t>
            </w:r>
            <w:proofErr w:type="spellStart"/>
            <w:r w:rsidRPr="00310D44">
              <w:rPr>
                <w:rFonts w:ascii="Times New Roman" w:hAnsi="Times New Roman"/>
                <w:sz w:val="18"/>
                <w:szCs w:val="18"/>
                <w:lang w:val="fr-FR" w:eastAsia="fr-FR"/>
              </w:rPr>
              <w:t>debt</w:t>
            </w:r>
            <w:proofErr w:type="spellEnd"/>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C460F9"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66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C903DA"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5A266"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42BF4"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6DDBA"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4D0E2" w14:textId="77777777" w:rsidR="0080252E" w:rsidRPr="00743BA7" w:rsidRDefault="0080252E" w:rsidP="00D737E9">
            <w:pPr>
              <w:spacing w:before="0"/>
              <w:ind w:left="0"/>
              <w:jc w:val="right"/>
              <w:rPr>
                <w:rFonts w:ascii="Times New Roman" w:hAnsi="Times New Roman"/>
                <w:sz w:val="18"/>
                <w:szCs w:val="18"/>
                <w:lang w:val="fr-FR" w:eastAsia="fr-FR"/>
              </w:rPr>
            </w:pPr>
          </w:p>
        </w:tc>
      </w:tr>
      <w:tr w:rsidR="00743BA7" w:rsidRPr="00743BA7" w14:paraId="4C8AE3B3"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28C97" w14:textId="77777777" w:rsidR="0080252E" w:rsidRPr="00743BA7" w:rsidRDefault="00310D44" w:rsidP="0080252E">
            <w:pPr>
              <w:spacing w:before="0"/>
              <w:ind w:left="0"/>
              <w:jc w:val="left"/>
              <w:rPr>
                <w:rFonts w:ascii="Times New Roman" w:hAnsi="Times New Roman"/>
                <w:b/>
                <w:bCs/>
                <w:sz w:val="18"/>
                <w:szCs w:val="18"/>
                <w:lang w:val="fr-FR" w:eastAsia="fr-FR"/>
              </w:rPr>
            </w:pPr>
            <w:r w:rsidRPr="00310D44">
              <w:rPr>
                <w:rFonts w:ascii="Times New Roman" w:hAnsi="Times New Roman"/>
                <w:b/>
                <w:bCs/>
                <w:sz w:val="18"/>
                <w:szCs w:val="18"/>
                <w:lang w:val="fr-FR" w:eastAsia="fr-FR"/>
              </w:rPr>
              <w:t xml:space="preserve">Total </w:t>
            </w:r>
            <w:proofErr w:type="spellStart"/>
            <w:r w:rsidRPr="00310D44">
              <w:rPr>
                <w:rFonts w:ascii="Times New Roman" w:hAnsi="Times New Roman"/>
                <w:b/>
                <w:bCs/>
                <w:sz w:val="18"/>
                <w:szCs w:val="18"/>
                <w:lang w:val="fr-FR" w:eastAsia="fr-FR"/>
              </w:rPr>
              <w:t>expenditure</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839A0"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32,402,000</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76E85"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32,402,000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78B0D"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30,981,123</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E6E67"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E48D9" w14:textId="77777777" w:rsidR="0080252E" w:rsidRPr="00743BA7" w:rsidRDefault="00310D44" w:rsidP="00D737E9">
            <w:pPr>
              <w:spacing w:before="0"/>
              <w:ind w:left="0"/>
              <w:jc w:val="right"/>
              <w:rPr>
                <w:rFonts w:ascii="Times New Roman" w:hAnsi="Times New Roman"/>
                <w:sz w:val="18"/>
                <w:szCs w:val="18"/>
                <w:lang w:val="fr-FR" w:eastAsia="fr-FR"/>
              </w:rPr>
            </w:pPr>
            <w:r w:rsidRPr="00310D44">
              <w:rPr>
                <w:rFonts w:ascii="Times New Roman" w:hAnsi="Times New Roman"/>
                <w:sz w:val="18"/>
                <w:szCs w:val="18"/>
                <w:lang w:val="fr-FR" w:eastAsia="fr-FR"/>
              </w:rPr>
              <w:t>870,128</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D8818" w14:textId="77777777" w:rsidR="0080252E" w:rsidRPr="00743BA7" w:rsidRDefault="0080252E" w:rsidP="00D737E9">
            <w:pPr>
              <w:spacing w:before="0"/>
              <w:ind w:left="0"/>
              <w:jc w:val="right"/>
              <w:rPr>
                <w:rFonts w:ascii="Times New Roman" w:hAnsi="Times New Roman"/>
                <w:sz w:val="18"/>
                <w:szCs w:val="18"/>
                <w:lang w:val="fr-FR" w:eastAsia="fr-FR"/>
              </w:rPr>
            </w:pPr>
          </w:p>
        </w:tc>
      </w:tr>
      <w:tr w:rsidR="00743BA7" w:rsidRPr="00743BA7" w14:paraId="6DD3109D" w14:textId="77777777" w:rsidTr="0024261E">
        <w:trPr>
          <w:trHeight w:val="20"/>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E21EC" w14:textId="77777777" w:rsidR="0080252E" w:rsidRPr="00743BA7" w:rsidRDefault="00310D44" w:rsidP="0080252E">
            <w:pPr>
              <w:spacing w:before="0"/>
              <w:ind w:left="0"/>
              <w:jc w:val="left"/>
              <w:rPr>
                <w:rFonts w:ascii="Times New Roman" w:hAnsi="Times New Roman"/>
                <w:sz w:val="18"/>
                <w:szCs w:val="18"/>
                <w:lang w:val="fr-FR" w:eastAsia="fr-FR"/>
              </w:rPr>
            </w:pPr>
            <w:proofErr w:type="gramStart"/>
            <w:r w:rsidRPr="00310D44">
              <w:rPr>
                <w:rFonts w:ascii="Times New Roman" w:hAnsi="Times New Roman"/>
                <w:sz w:val="18"/>
                <w:szCs w:val="18"/>
                <w:lang w:val="fr-FR" w:eastAsia="fr-FR"/>
              </w:rPr>
              <w:t>composition</w:t>
            </w:r>
            <w:proofErr w:type="gramEnd"/>
            <w:r w:rsidRPr="00310D44">
              <w:rPr>
                <w:rFonts w:ascii="Times New Roman" w:hAnsi="Times New Roman"/>
                <w:sz w:val="18"/>
                <w:szCs w:val="18"/>
                <w:lang w:val="fr-FR" w:eastAsia="fr-FR"/>
              </w:rPr>
              <w:t xml:space="preserve"> variance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10AE" w14:textId="77777777" w:rsidR="0080252E" w:rsidRPr="00743BA7" w:rsidRDefault="0080252E" w:rsidP="00D737E9">
            <w:pPr>
              <w:spacing w:before="0"/>
              <w:ind w:left="0"/>
              <w:jc w:val="right"/>
              <w:rPr>
                <w:rFonts w:ascii="Times New Roman" w:hAnsi="Times New Roman"/>
                <w:b/>
                <w:bCs/>
                <w:sz w:val="18"/>
                <w:szCs w:val="18"/>
                <w:lang w:val="fr-FR" w:eastAsia="fr-FR"/>
              </w:rPr>
            </w:pP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4DB06" w14:textId="77777777" w:rsidR="0080252E" w:rsidRPr="00743BA7" w:rsidRDefault="0080252E" w:rsidP="00D737E9">
            <w:pPr>
              <w:spacing w:before="0"/>
              <w:ind w:left="0"/>
              <w:jc w:val="right"/>
              <w:rPr>
                <w:rFonts w:ascii="Times New Roman" w:hAnsi="Times New Roman"/>
                <w:b/>
                <w:bCs/>
                <w:sz w:val="18"/>
                <w:szCs w:val="18"/>
                <w:lang w:val="fr-FR" w:eastAsia="fr-FR"/>
              </w:rPr>
            </w:pP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339AA"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80959"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B65F5" w14:textId="77777777" w:rsidR="0080252E" w:rsidRPr="00743BA7" w:rsidRDefault="0080252E" w:rsidP="00D737E9">
            <w:pPr>
              <w:spacing w:before="0"/>
              <w:ind w:left="0"/>
              <w:jc w:val="right"/>
              <w:rPr>
                <w:rFonts w:ascii="Times New Roman" w:hAnsi="Times New Roman"/>
                <w:sz w:val="18"/>
                <w:szCs w:val="18"/>
                <w:lang w:val="fr-FR" w:eastAsia="fr-FR"/>
              </w:rPr>
            </w:pP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364E8" w14:textId="77777777" w:rsidR="0080252E" w:rsidRPr="00743BA7" w:rsidRDefault="00310D44" w:rsidP="00D737E9">
            <w:pPr>
              <w:spacing w:before="0"/>
              <w:ind w:left="0"/>
              <w:jc w:val="right"/>
              <w:rPr>
                <w:rFonts w:ascii="Times New Roman" w:hAnsi="Times New Roman"/>
                <w:b/>
                <w:bCs/>
                <w:sz w:val="18"/>
                <w:szCs w:val="18"/>
                <w:lang w:val="fr-FR" w:eastAsia="fr-FR"/>
              </w:rPr>
            </w:pPr>
            <w:r w:rsidRPr="00310D44">
              <w:rPr>
                <w:rFonts w:ascii="Times New Roman" w:hAnsi="Times New Roman"/>
                <w:b/>
                <w:bCs/>
                <w:sz w:val="18"/>
                <w:szCs w:val="18"/>
                <w:lang w:val="fr-FR" w:eastAsia="fr-FR"/>
              </w:rPr>
              <w:t>2.8%</w:t>
            </w:r>
          </w:p>
        </w:tc>
      </w:tr>
    </w:tbl>
    <w:p w14:paraId="55314C4C" w14:textId="77777777" w:rsidR="00D737E9" w:rsidRDefault="00D737E9">
      <w:r>
        <w:br w:type="page"/>
      </w:r>
    </w:p>
    <w:tbl>
      <w:tblPr>
        <w:tblW w:w="4295" w:type="pct"/>
        <w:tblInd w:w="107" w:type="dxa"/>
        <w:tblLook w:val="04A0" w:firstRow="1" w:lastRow="0" w:firstColumn="1" w:lastColumn="0" w:noHBand="0" w:noVBand="1"/>
      </w:tblPr>
      <w:tblGrid>
        <w:gridCol w:w="5237"/>
        <w:gridCol w:w="130"/>
        <w:gridCol w:w="2386"/>
      </w:tblGrid>
      <w:tr w:rsidR="007518E4" w:rsidRPr="003E7F03" w14:paraId="0A57909B" w14:textId="77777777" w:rsidTr="00D737E9">
        <w:trPr>
          <w:gridAfter w:val="2"/>
          <w:wAfter w:w="1623" w:type="pct"/>
          <w:trHeight w:val="20"/>
        </w:trPr>
        <w:tc>
          <w:tcPr>
            <w:tcW w:w="3377" w:type="pct"/>
            <w:tcBorders>
              <w:top w:val="nil"/>
              <w:left w:val="nil"/>
              <w:bottom w:val="nil"/>
              <w:right w:val="nil"/>
            </w:tcBorders>
            <w:shd w:val="clear" w:color="auto" w:fill="auto"/>
            <w:noWrap/>
            <w:vAlign w:val="bottom"/>
            <w:hideMark/>
          </w:tcPr>
          <w:p w14:paraId="5F48E3C9" w14:textId="77777777" w:rsidR="007518E4" w:rsidRPr="003E7F03" w:rsidRDefault="00D737E9" w:rsidP="000310F5">
            <w:pPr>
              <w:spacing w:before="0"/>
              <w:ind w:left="0"/>
              <w:jc w:val="left"/>
              <w:rPr>
                <w:rFonts w:ascii="Times New Roman" w:hAnsi="Times New Roman"/>
                <w:b/>
                <w:bCs/>
                <w:sz w:val="18"/>
                <w:szCs w:val="18"/>
                <w:lang w:val="en-GB" w:eastAsia="en-GB"/>
              </w:rPr>
            </w:pPr>
            <w:r>
              <w:lastRenderedPageBreak/>
              <w:br w:type="page"/>
            </w:r>
            <w:r>
              <w:rPr>
                <w:rFonts w:ascii="Times New Roman" w:hAnsi="Times New Roman"/>
                <w:b/>
                <w:bCs/>
                <w:sz w:val="18"/>
                <w:szCs w:val="18"/>
                <w:lang w:val="en-GB" w:eastAsia="en-GB"/>
              </w:rPr>
              <w:t xml:space="preserve">Table </w:t>
            </w:r>
            <w:r w:rsidR="000310F5">
              <w:rPr>
                <w:rFonts w:ascii="Times New Roman" w:hAnsi="Times New Roman"/>
                <w:b/>
                <w:bCs/>
                <w:sz w:val="18"/>
                <w:szCs w:val="18"/>
                <w:lang w:val="en-GB" w:eastAsia="en-GB"/>
              </w:rPr>
              <w:t>7</w:t>
            </w:r>
            <w:r w:rsidR="007518E4" w:rsidRPr="003E7F03">
              <w:rPr>
                <w:rFonts w:ascii="Times New Roman" w:hAnsi="Times New Roman"/>
                <w:b/>
                <w:bCs/>
                <w:sz w:val="18"/>
                <w:szCs w:val="18"/>
                <w:lang w:val="en-GB" w:eastAsia="en-GB"/>
              </w:rPr>
              <w:t xml:space="preserve"> - Results Matrix</w:t>
            </w:r>
          </w:p>
        </w:tc>
      </w:tr>
      <w:tr w:rsidR="007518E4" w:rsidRPr="003E7F03" w14:paraId="7CDF3381" w14:textId="77777777" w:rsidTr="00D737E9">
        <w:trPr>
          <w:trHeight w:val="2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34414" w14:textId="77777777" w:rsidR="007518E4" w:rsidRPr="003E7F03" w:rsidRDefault="007518E4" w:rsidP="00E12685">
            <w:pPr>
              <w:spacing w:before="0"/>
              <w:ind w:left="0"/>
              <w:jc w:val="center"/>
              <w:rPr>
                <w:rFonts w:ascii="Times New Roman" w:hAnsi="Times New Roman"/>
                <w:sz w:val="18"/>
                <w:szCs w:val="18"/>
                <w:lang w:val="en-GB" w:eastAsia="en-GB"/>
              </w:rPr>
            </w:pPr>
            <w:r w:rsidRPr="003E7F03">
              <w:rPr>
                <w:rFonts w:ascii="Times New Roman" w:hAnsi="Times New Roman"/>
                <w:sz w:val="18"/>
                <w:szCs w:val="18"/>
                <w:lang w:val="en-GB" w:eastAsia="en-GB"/>
              </w:rPr>
              <w:t> </w:t>
            </w:r>
          </w:p>
        </w:tc>
        <w:tc>
          <w:tcPr>
            <w:tcW w:w="1539" w:type="pct"/>
            <w:tcBorders>
              <w:top w:val="nil"/>
              <w:left w:val="single" w:sz="4" w:space="0" w:color="auto"/>
              <w:bottom w:val="nil"/>
              <w:right w:val="nil"/>
            </w:tcBorders>
            <w:shd w:val="clear" w:color="auto" w:fill="auto"/>
            <w:noWrap/>
            <w:vAlign w:val="bottom"/>
            <w:hideMark/>
          </w:tcPr>
          <w:p w14:paraId="01678ED5" w14:textId="77777777" w:rsidR="007518E4" w:rsidRPr="003E7F03" w:rsidRDefault="007518E4" w:rsidP="00E12685">
            <w:pPr>
              <w:spacing w:before="0"/>
              <w:ind w:left="0"/>
              <w:jc w:val="left"/>
              <w:rPr>
                <w:rFonts w:ascii="Times New Roman" w:hAnsi="Times New Roman"/>
                <w:sz w:val="18"/>
                <w:szCs w:val="18"/>
                <w:lang w:val="en-GB" w:eastAsia="en-GB"/>
              </w:rPr>
            </w:pPr>
          </w:p>
        </w:tc>
      </w:tr>
      <w:tr w:rsidR="007518E4" w:rsidRPr="003E7F03" w14:paraId="42B26450" w14:textId="77777777" w:rsidTr="00D737E9">
        <w:trPr>
          <w:trHeight w:val="2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7C990" w14:textId="77777777" w:rsidR="007518E4" w:rsidRPr="003E7F03" w:rsidRDefault="007518E4" w:rsidP="00E12685">
            <w:pPr>
              <w:spacing w:before="0"/>
              <w:ind w:left="0"/>
              <w:jc w:val="center"/>
              <w:rPr>
                <w:rFonts w:ascii="Times New Roman" w:hAnsi="Times New Roman"/>
                <w:sz w:val="18"/>
                <w:szCs w:val="18"/>
                <w:lang w:val="en-GB" w:eastAsia="en-GB"/>
              </w:rPr>
            </w:pPr>
            <w:r w:rsidRPr="003E7F03">
              <w:rPr>
                <w:rFonts w:ascii="Times New Roman" w:hAnsi="Times New Roman"/>
                <w:sz w:val="18"/>
                <w:szCs w:val="18"/>
                <w:lang w:val="en-GB" w:eastAsia="en-GB"/>
              </w:rPr>
              <w:t>composition variance</w:t>
            </w:r>
          </w:p>
        </w:tc>
        <w:tc>
          <w:tcPr>
            <w:tcW w:w="1539" w:type="pct"/>
            <w:tcBorders>
              <w:top w:val="nil"/>
              <w:left w:val="single" w:sz="4" w:space="0" w:color="auto"/>
              <w:bottom w:val="nil"/>
              <w:right w:val="nil"/>
            </w:tcBorders>
            <w:shd w:val="clear" w:color="auto" w:fill="auto"/>
            <w:noWrap/>
            <w:vAlign w:val="bottom"/>
            <w:hideMark/>
          </w:tcPr>
          <w:p w14:paraId="208C5555" w14:textId="77777777" w:rsidR="007518E4" w:rsidRPr="003E7F03" w:rsidRDefault="007518E4" w:rsidP="00E12685">
            <w:pPr>
              <w:spacing w:before="0"/>
              <w:ind w:left="0"/>
              <w:jc w:val="left"/>
              <w:rPr>
                <w:rFonts w:ascii="Times New Roman" w:hAnsi="Times New Roman"/>
                <w:sz w:val="18"/>
                <w:szCs w:val="18"/>
                <w:lang w:val="en-GB" w:eastAsia="en-GB"/>
              </w:rPr>
            </w:pPr>
          </w:p>
        </w:tc>
      </w:tr>
      <w:tr w:rsidR="007518E4" w:rsidRPr="003E7F03" w14:paraId="07A42DAE" w14:textId="77777777" w:rsidTr="00D737E9">
        <w:trPr>
          <w:trHeight w:val="2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F2103" w14:textId="77777777" w:rsidR="007518E4" w:rsidRPr="003E7F03" w:rsidRDefault="007518E4" w:rsidP="00E12685">
            <w:pPr>
              <w:spacing w:before="0"/>
              <w:ind w:left="0"/>
              <w:jc w:val="center"/>
              <w:rPr>
                <w:rFonts w:ascii="Times New Roman" w:hAnsi="Times New Roman"/>
                <w:color w:val="000000" w:themeColor="text1"/>
                <w:sz w:val="18"/>
                <w:szCs w:val="18"/>
                <w:lang w:val="en-GB" w:eastAsia="en-GB"/>
              </w:rPr>
            </w:pPr>
            <w:r w:rsidRPr="003E7F03">
              <w:rPr>
                <w:rFonts w:ascii="Times New Roman" w:hAnsi="Times New Roman"/>
                <w:color w:val="000000" w:themeColor="text1"/>
                <w:sz w:val="18"/>
                <w:szCs w:val="18"/>
                <w:lang w:val="en-GB" w:eastAsia="en-GB"/>
              </w:rPr>
              <w:t>16.2%</w:t>
            </w:r>
          </w:p>
        </w:tc>
        <w:tc>
          <w:tcPr>
            <w:tcW w:w="1539" w:type="pct"/>
            <w:tcBorders>
              <w:top w:val="nil"/>
              <w:left w:val="single" w:sz="4" w:space="0" w:color="auto"/>
              <w:bottom w:val="nil"/>
              <w:right w:val="nil"/>
            </w:tcBorders>
            <w:shd w:val="clear" w:color="auto" w:fill="auto"/>
            <w:noWrap/>
            <w:vAlign w:val="bottom"/>
            <w:hideMark/>
          </w:tcPr>
          <w:p w14:paraId="4F6242A9" w14:textId="77777777" w:rsidR="007518E4" w:rsidRPr="003E7F03" w:rsidRDefault="007518E4" w:rsidP="00E12685">
            <w:pPr>
              <w:spacing w:before="0"/>
              <w:ind w:left="0"/>
              <w:jc w:val="left"/>
              <w:rPr>
                <w:rFonts w:ascii="Times New Roman" w:hAnsi="Times New Roman"/>
                <w:sz w:val="18"/>
                <w:szCs w:val="18"/>
                <w:lang w:val="en-GB" w:eastAsia="en-GB"/>
              </w:rPr>
            </w:pPr>
          </w:p>
        </w:tc>
      </w:tr>
      <w:tr w:rsidR="007518E4" w:rsidRPr="003E7F03" w14:paraId="7D1FD135" w14:textId="77777777" w:rsidTr="00D737E9">
        <w:trPr>
          <w:trHeight w:val="2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92F59" w14:textId="77777777" w:rsidR="007518E4" w:rsidRPr="003E7F03" w:rsidRDefault="007518E4" w:rsidP="00E12685">
            <w:pPr>
              <w:spacing w:before="0"/>
              <w:ind w:left="0"/>
              <w:jc w:val="center"/>
              <w:rPr>
                <w:rFonts w:ascii="Times New Roman" w:hAnsi="Times New Roman"/>
                <w:color w:val="000000" w:themeColor="text1"/>
                <w:sz w:val="18"/>
                <w:szCs w:val="18"/>
                <w:lang w:val="en-GB" w:eastAsia="en-GB"/>
              </w:rPr>
            </w:pPr>
            <w:r w:rsidRPr="003E7F03">
              <w:rPr>
                <w:rFonts w:ascii="Times New Roman" w:hAnsi="Times New Roman"/>
                <w:color w:val="000000" w:themeColor="text1"/>
                <w:sz w:val="18"/>
                <w:szCs w:val="18"/>
                <w:lang w:val="en-GB" w:eastAsia="en-GB"/>
              </w:rPr>
              <w:t>13.7%</w:t>
            </w:r>
          </w:p>
        </w:tc>
        <w:tc>
          <w:tcPr>
            <w:tcW w:w="1539" w:type="pct"/>
            <w:tcBorders>
              <w:top w:val="nil"/>
              <w:left w:val="single" w:sz="4" w:space="0" w:color="auto"/>
              <w:bottom w:val="nil"/>
              <w:right w:val="nil"/>
            </w:tcBorders>
            <w:shd w:val="clear" w:color="auto" w:fill="auto"/>
            <w:noWrap/>
            <w:vAlign w:val="bottom"/>
            <w:hideMark/>
          </w:tcPr>
          <w:p w14:paraId="041A3996" w14:textId="77777777" w:rsidR="007518E4" w:rsidRPr="003E7F03" w:rsidRDefault="007518E4" w:rsidP="00E12685">
            <w:pPr>
              <w:spacing w:before="0"/>
              <w:ind w:left="0"/>
              <w:jc w:val="left"/>
              <w:rPr>
                <w:rFonts w:ascii="Times New Roman" w:hAnsi="Times New Roman"/>
                <w:sz w:val="18"/>
                <w:szCs w:val="18"/>
                <w:lang w:val="en-GB" w:eastAsia="en-GB"/>
              </w:rPr>
            </w:pPr>
          </w:p>
        </w:tc>
      </w:tr>
      <w:tr w:rsidR="007518E4" w:rsidRPr="003E7F03" w14:paraId="55E30A42" w14:textId="77777777" w:rsidTr="00D737E9">
        <w:trPr>
          <w:trHeight w:val="2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9D46A" w14:textId="77777777" w:rsidR="007518E4" w:rsidRPr="003E7F03" w:rsidRDefault="00743BA7" w:rsidP="00E12685">
            <w:pPr>
              <w:spacing w:before="0"/>
              <w:ind w:left="0"/>
              <w:jc w:val="center"/>
              <w:rPr>
                <w:rFonts w:ascii="Times New Roman" w:hAnsi="Times New Roman"/>
                <w:color w:val="000000" w:themeColor="text1"/>
                <w:sz w:val="18"/>
                <w:szCs w:val="18"/>
                <w:lang w:val="en-GB" w:eastAsia="en-GB"/>
              </w:rPr>
            </w:pPr>
            <w:r>
              <w:rPr>
                <w:rFonts w:ascii="Times New Roman" w:hAnsi="Times New Roman"/>
                <w:color w:val="000000" w:themeColor="text1"/>
                <w:sz w:val="18"/>
                <w:szCs w:val="18"/>
                <w:lang w:val="en-GB" w:eastAsia="en-GB"/>
              </w:rPr>
              <w:t>2.8 (</w:t>
            </w:r>
            <w:proofErr w:type="gramStart"/>
            <w:r>
              <w:rPr>
                <w:rFonts w:ascii="Times New Roman" w:hAnsi="Times New Roman"/>
                <w:color w:val="000000" w:themeColor="text1"/>
                <w:sz w:val="18"/>
                <w:szCs w:val="18"/>
                <w:lang w:val="en-GB" w:eastAsia="en-GB"/>
              </w:rPr>
              <w:t>est.)</w:t>
            </w:r>
            <w:r w:rsidR="007518E4" w:rsidRPr="003E7F03">
              <w:rPr>
                <w:rFonts w:ascii="Times New Roman" w:hAnsi="Times New Roman"/>
                <w:color w:val="000000" w:themeColor="text1"/>
                <w:sz w:val="18"/>
                <w:szCs w:val="18"/>
                <w:lang w:val="en-GB" w:eastAsia="en-GB"/>
              </w:rPr>
              <w:t>%</w:t>
            </w:r>
            <w:proofErr w:type="gramEnd"/>
          </w:p>
        </w:tc>
        <w:tc>
          <w:tcPr>
            <w:tcW w:w="1539" w:type="pct"/>
            <w:tcBorders>
              <w:top w:val="nil"/>
              <w:left w:val="single" w:sz="4" w:space="0" w:color="auto"/>
              <w:bottom w:val="single" w:sz="4" w:space="0" w:color="auto"/>
              <w:right w:val="nil"/>
            </w:tcBorders>
            <w:shd w:val="clear" w:color="auto" w:fill="auto"/>
            <w:noWrap/>
            <w:vAlign w:val="bottom"/>
            <w:hideMark/>
          </w:tcPr>
          <w:p w14:paraId="3646D195" w14:textId="77777777" w:rsidR="007518E4" w:rsidRPr="003E7F03" w:rsidRDefault="007518E4" w:rsidP="00E12685">
            <w:pPr>
              <w:spacing w:before="0"/>
              <w:ind w:left="0"/>
              <w:jc w:val="left"/>
              <w:rPr>
                <w:rFonts w:ascii="Times New Roman" w:hAnsi="Times New Roman"/>
                <w:sz w:val="18"/>
                <w:szCs w:val="18"/>
                <w:lang w:val="en-GB" w:eastAsia="en-GB"/>
              </w:rPr>
            </w:pPr>
          </w:p>
        </w:tc>
      </w:tr>
    </w:tbl>
    <w:p w14:paraId="020D6A9C" w14:textId="77777777" w:rsidR="007518E4" w:rsidRDefault="007518E4" w:rsidP="00E12685">
      <w:pPr>
        <w:spacing w:before="0"/>
        <w:ind w:left="0"/>
      </w:pPr>
    </w:p>
    <w:p w14:paraId="57BF93F9" w14:textId="77777777" w:rsidR="007518E4" w:rsidRDefault="007518E4" w:rsidP="00E12685">
      <w:pPr>
        <w:spacing w:before="0"/>
        <w:ind w:left="0"/>
      </w:pPr>
    </w:p>
    <w:p w14:paraId="6B9CA53A" w14:textId="77777777" w:rsidR="007518E4" w:rsidRDefault="007518E4" w:rsidP="00E12685">
      <w:pPr>
        <w:spacing w:before="0"/>
        <w:ind w:left="0"/>
      </w:pPr>
      <w:r>
        <w:br w:type="page"/>
      </w:r>
    </w:p>
    <w:tbl>
      <w:tblPr>
        <w:tblW w:w="7938" w:type="dxa"/>
        <w:tblInd w:w="108" w:type="dxa"/>
        <w:tblLook w:val="04A0" w:firstRow="1" w:lastRow="0" w:firstColumn="1" w:lastColumn="0" w:noHBand="0" w:noVBand="1"/>
      </w:tblPr>
      <w:tblGrid>
        <w:gridCol w:w="2410"/>
        <w:gridCol w:w="1026"/>
        <w:gridCol w:w="1026"/>
        <w:gridCol w:w="1208"/>
        <w:gridCol w:w="1134"/>
        <w:gridCol w:w="1134"/>
      </w:tblGrid>
      <w:tr w:rsidR="007518E4" w:rsidRPr="00591305" w14:paraId="67583CD5" w14:textId="77777777" w:rsidTr="007518E4">
        <w:trPr>
          <w:trHeight w:val="20"/>
        </w:trPr>
        <w:tc>
          <w:tcPr>
            <w:tcW w:w="793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96E1" w14:textId="77777777" w:rsidR="007518E4" w:rsidRPr="003865F3" w:rsidRDefault="007518E4" w:rsidP="00E12685">
            <w:pPr>
              <w:spacing w:before="0"/>
              <w:ind w:left="0"/>
              <w:jc w:val="left"/>
              <w:rPr>
                <w:rFonts w:ascii="Times New Roman" w:hAnsi="Times New Roman"/>
                <w:b/>
                <w:sz w:val="16"/>
                <w:szCs w:val="16"/>
                <w:lang w:val="en-GB" w:eastAsia="en-GB"/>
              </w:rPr>
            </w:pPr>
            <w:r w:rsidRPr="003865F3">
              <w:rPr>
                <w:rFonts w:ascii="Times New Roman" w:hAnsi="Times New Roman"/>
                <w:b/>
                <w:bCs/>
                <w:sz w:val="16"/>
                <w:szCs w:val="16"/>
                <w:lang w:val="en-GB" w:eastAsia="en-GB"/>
              </w:rPr>
              <w:lastRenderedPageBreak/>
              <w:t xml:space="preserve">Table </w:t>
            </w:r>
            <w:r w:rsidR="000310F5">
              <w:rPr>
                <w:rFonts w:ascii="Times New Roman" w:hAnsi="Times New Roman"/>
                <w:b/>
                <w:bCs/>
                <w:sz w:val="16"/>
                <w:szCs w:val="16"/>
                <w:lang w:val="en-GB" w:eastAsia="en-GB"/>
              </w:rPr>
              <w:t>8</w:t>
            </w:r>
            <w:r w:rsidRPr="003865F3">
              <w:rPr>
                <w:rFonts w:ascii="Times New Roman" w:hAnsi="Times New Roman"/>
                <w:b/>
                <w:bCs/>
                <w:sz w:val="16"/>
                <w:szCs w:val="16"/>
                <w:lang w:val="en-GB" w:eastAsia="en-GB"/>
              </w:rPr>
              <w:t xml:space="preserve"> Lao PDR: Government Revenue </w:t>
            </w:r>
            <w:proofErr w:type="gramStart"/>
            <w:r w:rsidRPr="003865F3">
              <w:rPr>
                <w:rFonts w:ascii="Times New Roman" w:hAnsi="Times New Roman"/>
                <w:b/>
                <w:bCs/>
                <w:sz w:val="16"/>
                <w:szCs w:val="16"/>
                <w:lang w:val="en-GB" w:eastAsia="en-GB"/>
              </w:rPr>
              <w:t>( 2014</w:t>
            </w:r>
            <w:proofErr w:type="gramEnd"/>
            <w:r w:rsidRPr="003865F3">
              <w:rPr>
                <w:rFonts w:ascii="Times New Roman" w:hAnsi="Times New Roman"/>
                <w:b/>
                <w:bCs/>
                <w:sz w:val="16"/>
                <w:szCs w:val="16"/>
                <w:lang w:val="en-GB" w:eastAsia="en-GB"/>
              </w:rPr>
              <w:t>-15)</w:t>
            </w:r>
            <w:r>
              <w:rPr>
                <w:rFonts w:ascii="Times New Roman" w:hAnsi="Times New Roman"/>
                <w:b/>
                <w:bCs/>
                <w:sz w:val="16"/>
                <w:szCs w:val="16"/>
                <w:lang w:val="en-GB" w:eastAsia="en-GB"/>
              </w:rPr>
              <w:t xml:space="preserve"> million kip</w:t>
            </w:r>
          </w:p>
        </w:tc>
      </w:tr>
      <w:tr w:rsidR="007518E4" w:rsidRPr="00591305" w14:paraId="1308DE42" w14:textId="77777777" w:rsidTr="000310F5">
        <w:trPr>
          <w:trHeight w:val="789"/>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F22A466" w14:textId="77777777" w:rsidR="007518E4" w:rsidRPr="00591305" w:rsidRDefault="007518E4" w:rsidP="000310F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Revenue type and collecting agency</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09C1E9" w14:textId="77777777" w:rsidR="007518E4" w:rsidRPr="00591305" w:rsidRDefault="007518E4" w:rsidP="000310F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Total Plan 2014/2015</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60CDDB" w14:textId="77777777" w:rsidR="007518E4" w:rsidRPr="00591305" w:rsidRDefault="007518E4" w:rsidP="000310F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Actual 2014/2015</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C6059A" w14:textId="77777777" w:rsidR="007518E4" w:rsidRPr="00591305" w:rsidRDefault="007518E4" w:rsidP="000310F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Deviation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D1C3E1" w14:textId="77777777" w:rsidR="007518E4" w:rsidRPr="00591305" w:rsidRDefault="007518E4" w:rsidP="000310F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Absolute Deviation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546DE7" w14:textId="77777777" w:rsidR="007518E4" w:rsidRPr="00591305" w:rsidRDefault="007518E4" w:rsidP="000310F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Absolute Deviation %</w:t>
            </w:r>
          </w:p>
        </w:tc>
      </w:tr>
      <w:tr w:rsidR="007518E4" w:rsidRPr="00591305" w14:paraId="102DC58F" w14:textId="77777777" w:rsidTr="000310F5">
        <w:trPr>
          <w:trHeight w:val="789"/>
        </w:trPr>
        <w:tc>
          <w:tcPr>
            <w:tcW w:w="2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4B50" w14:textId="77777777" w:rsidR="007518E4" w:rsidRPr="00591305" w:rsidRDefault="007518E4" w:rsidP="00E12685">
            <w:pPr>
              <w:spacing w:before="0"/>
              <w:ind w:left="0"/>
              <w:jc w:val="left"/>
              <w:rPr>
                <w:rFonts w:ascii="Times New Roman" w:hAnsi="Times New Roman"/>
                <w:bCs/>
                <w:sz w:val="16"/>
                <w:szCs w:val="16"/>
                <w:lang w:val="en-GB" w:eastAsia="en-GB"/>
              </w:rPr>
            </w:pPr>
          </w:p>
        </w:tc>
        <w:tc>
          <w:tcPr>
            <w:tcW w:w="10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AD24E2" w14:textId="77777777" w:rsidR="007518E4" w:rsidRPr="00591305" w:rsidRDefault="007518E4" w:rsidP="00E12685">
            <w:pPr>
              <w:spacing w:before="0"/>
              <w:ind w:left="0"/>
              <w:jc w:val="left"/>
              <w:rPr>
                <w:rFonts w:ascii="Times New Roman" w:hAnsi="Times New Roman"/>
                <w:bCs/>
                <w:sz w:val="16"/>
                <w:szCs w:val="16"/>
                <w:lang w:val="en-GB" w:eastAsia="en-GB"/>
              </w:rPr>
            </w:pPr>
          </w:p>
        </w:tc>
        <w:tc>
          <w:tcPr>
            <w:tcW w:w="102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CF6BB" w14:textId="77777777" w:rsidR="007518E4" w:rsidRPr="00591305" w:rsidRDefault="007518E4" w:rsidP="00E12685">
            <w:pPr>
              <w:spacing w:before="0"/>
              <w:ind w:left="0"/>
              <w:jc w:val="left"/>
              <w:rPr>
                <w:rFonts w:ascii="Times New Roman" w:hAnsi="Times New Roman"/>
                <w:bCs/>
                <w:sz w:val="16"/>
                <w:szCs w:val="16"/>
                <w:lang w:val="en-GB" w:eastAsia="en-GB"/>
              </w:rPr>
            </w:pPr>
          </w:p>
        </w:tc>
        <w:tc>
          <w:tcPr>
            <w:tcW w:w="120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20488" w14:textId="77777777" w:rsidR="007518E4" w:rsidRPr="00591305" w:rsidRDefault="007518E4" w:rsidP="00E12685">
            <w:pPr>
              <w:spacing w:before="0"/>
              <w:ind w:left="0"/>
              <w:jc w:val="left"/>
              <w:rPr>
                <w:rFonts w:ascii="Times New Roman" w:hAnsi="Times New Roman"/>
                <w:bCs/>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48968" w14:textId="77777777" w:rsidR="007518E4" w:rsidRPr="00591305" w:rsidRDefault="007518E4" w:rsidP="00E12685">
            <w:pPr>
              <w:spacing w:before="0"/>
              <w:ind w:left="0"/>
              <w:jc w:val="left"/>
              <w:rPr>
                <w:rFonts w:ascii="Times New Roman" w:hAnsi="Times New Roman"/>
                <w:bCs/>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0836DF" w14:textId="77777777" w:rsidR="007518E4" w:rsidRPr="00591305" w:rsidRDefault="007518E4" w:rsidP="00E12685">
            <w:pPr>
              <w:spacing w:before="0"/>
              <w:ind w:left="0"/>
              <w:jc w:val="left"/>
              <w:rPr>
                <w:rFonts w:ascii="Times New Roman" w:hAnsi="Times New Roman"/>
                <w:bCs/>
                <w:sz w:val="16"/>
                <w:szCs w:val="16"/>
                <w:lang w:val="en-GB" w:eastAsia="en-GB"/>
              </w:rPr>
            </w:pPr>
          </w:p>
        </w:tc>
      </w:tr>
      <w:tr w:rsidR="007518E4" w:rsidRPr="00591305" w14:paraId="5B662EB5"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A97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Tax revenue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0F7CA" w14:textId="77777777" w:rsidR="007518E4" w:rsidRPr="00591305" w:rsidRDefault="007518E4" w:rsidP="00E12685">
            <w:pPr>
              <w:spacing w:before="0"/>
              <w:ind w:left="0"/>
              <w:jc w:val="left"/>
              <w:rPr>
                <w:rFonts w:ascii="Times New Roman" w:hAnsi="Times New Roman"/>
                <w:bCs/>
                <w:color w:val="000000"/>
                <w:sz w:val="16"/>
                <w:szCs w:val="16"/>
                <w:lang w:val="en-GB" w:eastAsia="en-GB"/>
              </w:rPr>
            </w:pPr>
            <w:r w:rsidRPr="00591305">
              <w:rPr>
                <w:rFonts w:ascii="Times New Roman" w:hAnsi="Times New Roman"/>
                <w:bCs/>
                <w:color w:val="000000"/>
                <w:sz w:val="16"/>
                <w:szCs w:val="16"/>
                <w:lang w:val="en-GB" w:eastAsia="en-GB"/>
              </w:rPr>
              <w:t>16,688,781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F2E0" w14:textId="77777777" w:rsidR="007518E4" w:rsidRPr="00591305" w:rsidRDefault="007518E4" w:rsidP="00E12685">
            <w:pPr>
              <w:spacing w:before="0"/>
              <w:ind w:left="0"/>
              <w:jc w:val="left"/>
              <w:rPr>
                <w:rFonts w:ascii="Times New Roman" w:hAnsi="Times New Roman"/>
                <w:bCs/>
                <w:color w:val="000000"/>
                <w:sz w:val="16"/>
                <w:szCs w:val="16"/>
                <w:lang w:val="en-GB" w:eastAsia="en-GB"/>
              </w:rPr>
            </w:pPr>
            <w:r w:rsidRPr="00591305">
              <w:rPr>
                <w:rFonts w:ascii="Times New Roman" w:hAnsi="Times New Roman"/>
                <w:bCs/>
                <w:color w:val="000000"/>
                <w:sz w:val="16"/>
                <w:szCs w:val="16"/>
                <w:lang w:val="en-GB" w:eastAsia="en-GB"/>
              </w:rPr>
              <w:t>15,818,886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843D5" w14:textId="77777777" w:rsidR="007518E4" w:rsidRPr="00591305" w:rsidRDefault="007518E4" w:rsidP="00E12685">
            <w:pPr>
              <w:spacing w:before="0"/>
              <w:ind w:left="0"/>
              <w:jc w:val="left"/>
              <w:rPr>
                <w:rFonts w:ascii="Times New Roman" w:hAnsi="Times New Roman"/>
                <w:bCs/>
                <w:color w:val="000000"/>
                <w:sz w:val="16"/>
                <w:szCs w:val="16"/>
                <w:lang w:val="en-GB" w:eastAsia="en-GB"/>
              </w:rPr>
            </w:pPr>
            <w:r w:rsidRPr="00591305">
              <w:rPr>
                <w:rFonts w:ascii="Times New Roman" w:hAnsi="Times New Roman"/>
                <w:bCs/>
                <w:color w:val="000000"/>
                <w:sz w:val="16"/>
                <w:szCs w:val="16"/>
                <w:lang w:val="en-GB" w:eastAsia="en-GB"/>
              </w:rPr>
              <w:t>(869,895)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F0EA7" w14:textId="77777777" w:rsidR="007518E4" w:rsidRPr="00591305" w:rsidRDefault="007518E4" w:rsidP="00E12685">
            <w:pPr>
              <w:spacing w:before="0"/>
              <w:ind w:left="0"/>
              <w:jc w:val="left"/>
              <w:rPr>
                <w:rFonts w:ascii="Times New Roman" w:hAnsi="Times New Roman"/>
                <w:bCs/>
                <w:color w:val="000000"/>
                <w:sz w:val="16"/>
                <w:szCs w:val="16"/>
                <w:lang w:val="en-GB" w:eastAsia="en-GB"/>
              </w:rPr>
            </w:pPr>
            <w:r w:rsidRPr="00591305">
              <w:rPr>
                <w:rFonts w:ascii="Times New Roman" w:hAnsi="Times New Roman"/>
                <w:bCs/>
                <w:color w:val="000000"/>
                <w:sz w:val="16"/>
                <w:szCs w:val="16"/>
                <w:lang w:val="en-GB" w:eastAsia="en-GB"/>
              </w:rPr>
              <w:t>2,375,447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2196D"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14.1%</w:t>
            </w:r>
          </w:p>
        </w:tc>
      </w:tr>
      <w:tr w:rsidR="007518E4" w:rsidRPr="00591305" w14:paraId="00E40883"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AB3D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 Profit tax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3048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2,240,573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370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2,129,155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A251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(111,417)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D0FA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111,417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EA45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5.0%</w:t>
            </w:r>
          </w:p>
        </w:tc>
      </w:tr>
      <w:tr w:rsidR="007518E4" w:rsidRPr="00591305" w14:paraId="36BDDB38"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727B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  Income tax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B62B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1,123,420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6683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1,099,810</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8AAC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(23,610)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C288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B782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2.1%</w:t>
            </w:r>
          </w:p>
        </w:tc>
      </w:tr>
      <w:tr w:rsidR="007518E4" w:rsidRPr="00591305" w14:paraId="50F8F29E"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C5C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 Land tax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2C28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182,000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E669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130,777</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2F17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5718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8DC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28.1%</w:t>
            </w:r>
          </w:p>
        </w:tc>
      </w:tr>
      <w:tr w:rsidR="007518E4" w:rsidRPr="00591305" w14:paraId="1DB9C498"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83B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 Business licences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B02E3" w14:textId="77777777" w:rsidR="007518E4" w:rsidRPr="00591305" w:rsidRDefault="007518E4" w:rsidP="00E12685">
            <w:pPr>
              <w:spacing w:before="0"/>
              <w:ind w:left="0"/>
              <w:jc w:val="left"/>
              <w:rPr>
                <w:rFonts w:ascii="Times New Roman" w:hAnsi="Times New Roman"/>
                <w:sz w:val="16"/>
                <w:szCs w:val="16"/>
                <w:lang w:val="en-GB" w:eastAsia="en-GB"/>
              </w:rPr>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AA9D7" w14:textId="77777777" w:rsidR="007518E4" w:rsidRPr="00591305" w:rsidRDefault="007518E4" w:rsidP="00E12685">
            <w:pPr>
              <w:spacing w:before="0"/>
              <w:ind w:left="0"/>
              <w:jc w:val="left"/>
              <w:rPr>
                <w:rFonts w:ascii="Times New Roman" w:hAnsi="Times New Roman"/>
                <w:sz w:val="16"/>
                <w:szCs w:val="16"/>
                <w:lang w:val="en-GB" w:eastAsia="en-GB"/>
              </w:rPr>
            </w:pP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25BBE" w14:textId="77777777" w:rsidR="007518E4" w:rsidRPr="00591305" w:rsidRDefault="007518E4" w:rsidP="00E12685">
            <w:pPr>
              <w:spacing w:before="0"/>
              <w:ind w:left="0"/>
              <w:jc w:val="left"/>
              <w:rPr>
                <w:rFonts w:ascii="Times New Roman" w:hAnsi="Times New Roman"/>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68288" w14:textId="77777777" w:rsidR="007518E4" w:rsidRPr="00591305" w:rsidRDefault="007518E4" w:rsidP="00E12685">
            <w:pPr>
              <w:spacing w:before="0"/>
              <w:ind w:left="0"/>
              <w:jc w:val="left"/>
              <w:rPr>
                <w:rFonts w:ascii="Times New Roman" w:hAnsi="Times New Roman"/>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A74A4" w14:textId="77777777" w:rsidR="007518E4" w:rsidRPr="00591305" w:rsidRDefault="007518E4" w:rsidP="00E12685">
            <w:pPr>
              <w:spacing w:before="0"/>
              <w:ind w:left="0"/>
              <w:jc w:val="left"/>
              <w:rPr>
                <w:rFonts w:ascii="Times New Roman" w:hAnsi="Times New Roman"/>
                <w:sz w:val="16"/>
                <w:szCs w:val="16"/>
                <w:lang w:val="en-GB" w:eastAsia="en-GB"/>
              </w:rPr>
            </w:pPr>
          </w:p>
        </w:tc>
      </w:tr>
      <w:tr w:rsidR="007518E4" w:rsidRPr="00591305" w14:paraId="1E5963CE"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7CF5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 Minimum tax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FBF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2,711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0791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3,082</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0D4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20CA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B452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13.7%</w:t>
            </w:r>
          </w:p>
        </w:tc>
      </w:tr>
      <w:tr w:rsidR="007518E4" w:rsidRPr="00591305" w14:paraId="47CD5F8D"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69FD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 Turnover tax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FCCC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536,825</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0EDC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247,669</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B73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(289,156)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6D31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289,156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7EE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53.9%</w:t>
            </w:r>
          </w:p>
        </w:tc>
      </w:tr>
      <w:tr w:rsidR="007518E4" w:rsidRPr="00591305" w14:paraId="399C40F3"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72F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 VAT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2909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4,384,074</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31F9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4,480,683</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0D3E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96,608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E272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96,608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0BBA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2.2%</w:t>
            </w:r>
          </w:p>
        </w:tc>
      </w:tr>
      <w:tr w:rsidR="007518E4" w:rsidRPr="00591305" w14:paraId="2675FEA6"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7C1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 Excise duties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9B26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3,753,110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E2C2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3,363,018</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FBA7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(390,092)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238B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390,092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655C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10.4%</w:t>
            </w:r>
          </w:p>
        </w:tc>
      </w:tr>
      <w:tr w:rsidR="007518E4" w:rsidRPr="00591305" w14:paraId="00E97992"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6FF1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 Import duties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51EE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1,902,200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307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1,356,531</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FC17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(545,669)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E88B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545,669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9AA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28.7%</w:t>
            </w:r>
          </w:p>
        </w:tc>
      </w:tr>
      <w:tr w:rsidR="007518E4" w:rsidRPr="00591305" w14:paraId="5CC95FDD"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9906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 Export duties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5D2B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348,600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12F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229,843</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1A1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(118,757)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BE36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118,757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0F58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34.1%</w:t>
            </w:r>
          </w:p>
        </w:tc>
      </w:tr>
      <w:tr w:rsidR="007518E4" w:rsidRPr="00591305" w14:paraId="21C5885E"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973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 Registration Fees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3BC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75,000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F5F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61,701</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1F4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(13,299)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D2F3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13,299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738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17.7%</w:t>
            </w:r>
          </w:p>
        </w:tc>
      </w:tr>
      <w:tr w:rsidR="007518E4" w:rsidRPr="00591305" w14:paraId="78E5E9ED"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D551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 Other Fees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3BA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1,050,819</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D49C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1,234,536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63A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183,717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F1FD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183,717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604E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15.2%</w:t>
            </w:r>
          </w:p>
        </w:tc>
      </w:tr>
      <w:tr w:rsidR="007518E4" w:rsidRPr="00591305" w14:paraId="555550D4"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C202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 Natural Resources taxes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908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666,509</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63C8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587,061</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634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(79,449)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5AEB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79,449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DB21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11.9%</w:t>
            </w:r>
          </w:p>
        </w:tc>
      </w:tr>
      <w:tr w:rsidR="007518E4" w:rsidRPr="00591305" w14:paraId="5FD30437"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AAB4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14. Timber royalties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DF7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184,294</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0AB1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540,069</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B42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355,775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CAC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355,775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1E3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193.0%</w:t>
            </w:r>
          </w:p>
        </w:tc>
      </w:tr>
      <w:tr w:rsidR="007518E4" w:rsidRPr="00591305" w14:paraId="009826F6"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5AE1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15. Hydro-power royalties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795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238,646</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330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354,951</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B7CA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116,305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959F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116,305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C85D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48.7%</w:t>
            </w:r>
          </w:p>
        </w:tc>
      </w:tr>
      <w:tr w:rsidR="007518E4" w:rsidRPr="00591305" w14:paraId="5A800FC1"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B5D44" w14:textId="77777777" w:rsidR="007518E4" w:rsidRPr="00591305" w:rsidRDefault="007518E4" w:rsidP="00E12685">
            <w:pPr>
              <w:spacing w:before="0"/>
              <w:ind w:left="0"/>
              <w:jc w:val="left"/>
              <w:rPr>
                <w:rFonts w:ascii="Times New Roman" w:hAnsi="Times New Roman"/>
                <w:bCs/>
                <w:sz w:val="16"/>
                <w:szCs w:val="16"/>
                <w:lang w:val="en-GB" w:eastAsia="en-GB"/>
              </w:rPr>
            </w:pPr>
            <w:proofErr w:type="gramStart"/>
            <w:r w:rsidRPr="00591305">
              <w:rPr>
                <w:rFonts w:ascii="Times New Roman" w:hAnsi="Times New Roman"/>
                <w:bCs/>
                <w:sz w:val="16"/>
                <w:szCs w:val="16"/>
                <w:lang w:val="en-GB" w:eastAsia="en-GB"/>
              </w:rPr>
              <w:t>Non tax</w:t>
            </w:r>
            <w:proofErr w:type="gramEnd"/>
            <w:r w:rsidRPr="00591305">
              <w:rPr>
                <w:rFonts w:ascii="Times New Roman" w:hAnsi="Times New Roman"/>
                <w:bCs/>
                <w:sz w:val="16"/>
                <w:szCs w:val="16"/>
                <w:lang w:val="en-GB" w:eastAsia="en-GB"/>
              </w:rPr>
              <w:t xml:space="preserve"> revenues</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5F8DB"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2,111,384</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8D83B"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2,715,501</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C0DD9"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604,117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C237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604,117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83EDB"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25.9%</w:t>
            </w:r>
          </w:p>
        </w:tc>
      </w:tr>
      <w:tr w:rsidR="007518E4" w:rsidRPr="00591305" w14:paraId="29C72465"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41C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 Leasing fees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EB0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64,928</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378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113,863</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2F05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48,934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C1F6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48,934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CFF9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75.4%</w:t>
            </w:r>
          </w:p>
        </w:tc>
      </w:tr>
      <w:tr w:rsidR="007518E4" w:rsidRPr="00591305" w14:paraId="3052113F"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C01E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 Concessions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27C4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65,196</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746F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93,306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AB6B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078D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0C1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43.1%</w:t>
            </w:r>
          </w:p>
        </w:tc>
      </w:tr>
      <w:tr w:rsidR="007518E4" w:rsidRPr="00591305" w14:paraId="38FC0E1B"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628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 Fines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C70D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111,477</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D0D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124,189</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6390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12,712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58DD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12,712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0417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11.4%</w:t>
            </w:r>
          </w:p>
        </w:tc>
      </w:tr>
      <w:tr w:rsidR="007518E4" w:rsidRPr="00591305" w14:paraId="517B3959"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5EB2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 Administration fees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7D6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604,246</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7B04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608,414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E93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4,168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D760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565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0.5%</w:t>
            </w:r>
          </w:p>
        </w:tc>
      </w:tr>
      <w:tr w:rsidR="007518E4" w:rsidRPr="00591305" w14:paraId="1108FF6D"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DAF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 Depreciation and dividends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AC3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853,196</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B77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946,052</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39A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92,856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1853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92,856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8F5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10.1%</w:t>
            </w:r>
          </w:p>
        </w:tc>
      </w:tr>
      <w:tr w:rsidR="007518E4" w:rsidRPr="00591305" w14:paraId="447E178E"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B48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 Interest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F7F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105,215</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6C6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289,230</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ED6E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184,016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67FE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184,016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BF0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174.9%</w:t>
            </w:r>
          </w:p>
        </w:tc>
      </w:tr>
      <w:tr w:rsidR="007518E4" w:rsidRPr="00591305" w14:paraId="58393E94"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A7C4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 Overflight rights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E738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302,427</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E3A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525,795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315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223,369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20FF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223,369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AAC1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73.9%</w:t>
            </w:r>
          </w:p>
        </w:tc>
      </w:tr>
      <w:tr w:rsidR="007518E4" w:rsidRPr="00591305" w14:paraId="7A805A5D"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2AB9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 Forest Preservation Funds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113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4,700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B9ED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5,644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968C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AAB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FD5F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20.1%</w:t>
            </w:r>
          </w:p>
        </w:tc>
      </w:tr>
      <w:tr w:rsidR="007518E4" w:rsidRPr="00591305" w14:paraId="34E23AD6"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7A8B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 Other</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ED0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19F8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9,007</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2A9A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460A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D152E" w14:textId="77777777" w:rsidR="007518E4" w:rsidRPr="00591305" w:rsidRDefault="007518E4" w:rsidP="00E12685">
            <w:pPr>
              <w:spacing w:before="0"/>
              <w:ind w:left="0"/>
              <w:jc w:val="left"/>
              <w:rPr>
                <w:rFonts w:ascii="Times New Roman" w:hAnsi="Times New Roman"/>
                <w:sz w:val="16"/>
                <w:szCs w:val="16"/>
                <w:lang w:val="en-GB" w:eastAsia="en-GB"/>
              </w:rPr>
            </w:pPr>
          </w:p>
        </w:tc>
      </w:tr>
      <w:tr w:rsidR="007518E4" w:rsidRPr="00591305" w14:paraId="42162B0F"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7F543"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 xml:space="preserve">Total Tax and </w:t>
            </w:r>
            <w:proofErr w:type="spellStart"/>
            <w:r w:rsidRPr="00591305">
              <w:rPr>
                <w:rFonts w:ascii="Times New Roman" w:hAnsi="Times New Roman"/>
                <w:bCs/>
                <w:sz w:val="16"/>
                <w:szCs w:val="16"/>
                <w:lang w:val="en-GB" w:eastAsia="en-GB"/>
              </w:rPr>
              <w:t>NonTax</w:t>
            </w:r>
            <w:proofErr w:type="spellEnd"/>
            <w:r w:rsidRPr="00591305">
              <w:rPr>
                <w:rFonts w:ascii="Times New Roman" w:hAnsi="Times New Roman"/>
                <w:bCs/>
                <w:sz w:val="16"/>
                <w:szCs w:val="16"/>
                <w:lang w:val="en-GB" w:eastAsia="en-GB"/>
              </w:rPr>
              <w:t xml:space="preserve"> revenues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8FD27"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18,800,165</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4BE0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18,534,386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D128"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(265,778)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9A62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2,979,564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F51E"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15.5%</w:t>
            </w:r>
          </w:p>
        </w:tc>
      </w:tr>
      <w:tr w:rsidR="007518E4" w:rsidRPr="00591305" w14:paraId="0BE65317"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A9E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Sale of State Assets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D96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1,470,535</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75F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623,309</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27E1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(847,225)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D0DB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847,225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87A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60.4%</w:t>
            </w:r>
          </w:p>
        </w:tc>
      </w:tr>
      <w:tr w:rsidR="007518E4" w:rsidRPr="00591305" w14:paraId="1C68BF5B"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5F6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Capital return</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38F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265,330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9B5F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748,103</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7D60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482,773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B5F1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482,773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C52F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182.0%</w:t>
            </w:r>
          </w:p>
        </w:tc>
      </w:tr>
      <w:tr w:rsidR="007518E4" w:rsidRPr="00591305" w14:paraId="09C7C3C9"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BAC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Pump amortization</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6C3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D66A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8169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7A94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4C288" w14:textId="77777777" w:rsidR="007518E4" w:rsidRPr="00591305" w:rsidRDefault="007518E4" w:rsidP="00E12685">
            <w:pPr>
              <w:spacing w:before="0"/>
              <w:ind w:left="0"/>
              <w:jc w:val="left"/>
              <w:rPr>
                <w:rFonts w:ascii="Times New Roman" w:hAnsi="Times New Roman"/>
                <w:sz w:val="16"/>
                <w:szCs w:val="16"/>
                <w:lang w:val="en-GB" w:eastAsia="en-GB"/>
              </w:rPr>
            </w:pPr>
          </w:p>
        </w:tc>
      </w:tr>
      <w:tr w:rsidR="007518E4" w:rsidRPr="00591305" w14:paraId="673A280F" w14:textId="77777777" w:rsidTr="007518E4">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EAA78"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 xml:space="preserve">Total Revenue with Assets </w:t>
            </w:r>
            <w:proofErr w:type="spellStart"/>
            <w:r w:rsidRPr="00591305">
              <w:rPr>
                <w:rFonts w:ascii="Times New Roman" w:hAnsi="Times New Roman"/>
                <w:bCs/>
                <w:sz w:val="16"/>
                <w:szCs w:val="16"/>
                <w:lang w:val="en-GB" w:eastAsia="en-GB"/>
              </w:rPr>
              <w:t>sale+Capital</w:t>
            </w:r>
            <w:proofErr w:type="spellEnd"/>
            <w:r w:rsidRPr="00591305">
              <w:rPr>
                <w:rFonts w:ascii="Times New Roman" w:hAnsi="Times New Roman"/>
                <w:bCs/>
                <w:sz w:val="16"/>
                <w:szCs w:val="16"/>
                <w:lang w:val="en-GB" w:eastAsia="en-GB"/>
              </w:rPr>
              <w:t xml:space="preserve"> Return</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E9D2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20,536,030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EC52A"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19,905,799</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ED5DE"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(630,231)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77EC"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4,309,562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85D24"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20.7%</w:t>
            </w:r>
          </w:p>
        </w:tc>
      </w:tr>
      <w:tr w:rsidR="007518E4" w:rsidRPr="00591305" w14:paraId="0591B67C" w14:textId="77777777" w:rsidTr="00D737E9">
        <w:trPr>
          <w:gridAfter w:val="1"/>
          <w:wAfter w:w="1134" w:type="dxa"/>
          <w:trHeight w:val="789"/>
        </w:trPr>
        <w:tc>
          <w:tcPr>
            <w:tcW w:w="6804" w:type="dxa"/>
            <w:gridSpan w:val="5"/>
            <w:vMerge w:val="restart"/>
            <w:tcBorders>
              <w:top w:val="nil"/>
              <w:left w:val="nil"/>
              <w:right w:val="nil"/>
            </w:tcBorders>
            <w:shd w:val="clear" w:color="auto" w:fill="auto"/>
            <w:noWrap/>
            <w:vAlign w:val="bottom"/>
            <w:hideMark/>
          </w:tcPr>
          <w:p w14:paraId="3D1FBC9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96.9% of budgeted revenue</w:t>
            </w:r>
          </w:p>
        </w:tc>
      </w:tr>
      <w:tr w:rsidR="007518E4" w:rsidRPr="00591305" w14:paraId="564D3BDA" w14:textId="77777777" w:rsidTr="00D737E9">
        <w:trPr>
          <w:gridAfter w:val="1"/>
          <w:wAfter w:w="1134" w:type="dxa"/>
          <w:trHeight w:val="789"/>
        </w:trPr>
        <w:tc>
          <w:tcPr>
            <w:tcW w:w="6804" w:type="dxa"/>
            <w:gridSpan w:val="5"/>
            <w:vMerge/>
            <w:tcBorders>
              <w:left w:val="nil"/>
              <w:bottom w:val="nil"/>
              <w:right w:val="nil"/>
            </w:tcBorders>
            <w:shd w:val="clear" w:color="auto" w:fill="auto"/>
            <w:noWrap/>
            <w:vAlign w:val="bottom"/>
            <w:hideMark/>
          </w:tcPr>
          <w:p w14:paraId="4212622D" w14:textId="77777777" w:rsidR="007518E4" w:rsidRPr="00591305" w:rsidRDefault="007518E4" w:rsidP="00E12685">
            <w:pPr>
              <w:spacing w:before="0"/>
              <w:ind w:left="0"/>
              <w:jc w:val="left"/>
              <w:rPr>
                <w:rFonts w:ascii="Times New Roman" w:hAnsi="Times New Roman"/>
                <w:sz w:val="16"/>
                <w:szCs w:val="16"/>
                <w:lang w:val="en-GB" w:eastAsia="en-GB"/>
              </w:rPr>
            </w:pPr>
          </w:p>
        </w:tc>
      </w:tr>
    </w:tbl>
    <w:p w14:paraId="6BFDFC6D" w14:textId="77777777" w:rsidR="007518E4" w:rsidRDefault="007518E4" w:rsidP="00E12685">
      <w:pPr>
        <w:spacing w:before="0"/>
        <w:ind w:left="0"/>
      </w:pPr>
    </w:p>
    <w:p w14:paraId="09C9C076" w14:textId="77777777" w:rsidR="007518E4" w:rsidRDefault="007518E4" w:rsidP="00E12685">
      <w:pPr>
        <w:spacing w:before="0"/>
        <w:ind w:left="0"/>
      </w:pPr>
      <w:r>
        <w:br w:type="page"/>
      </w:r>
    </w:p>
    <w:p w14:paraId="1BE920D9" w14:textId="77777777" w:rsidR="007518E4" w:rsidRDefault="007518E4" w:rsidP="00E12685">
      <w:pPr>
        <w:spacing w:before="0"/>
        <w:ind w:left="0"/>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026"/>
        <w:gridCol w:w="1026"/>
        <w:gridCol w:w="1208"/>
        <w:gridCol w:w="1134"/>
        <w:gridCol w:w="1134"/>
      </w:tblGrid>
      <w:tr w:rsidR="007518E4" w:rsidRPr="003E7F03" w14:paraId="18633628" w14:textId="77777777" w:rsidTr="007518E4">
        <w:trPr>
          <w:trHeight w:val="20"/>
        </w:trPr>
        <w:tc>
          <w:tcPr>
            <w:tcW w:w="7938" w:type="dxa"/>
            <w:gridSpan w:val="6"/>
            <w:shd w:val="clear" w:color="auto" w:fill="auto"/>
            <w:noWrap/>
            <w:vAlign w:val="center"/>
            <w:hideMark/>
          </w:tcPr>
          <w:p w14:paraId="599DDE3A" w14:textId="77777777" w:rsidR="007518E4" w:rsidRPr="003865F3" w:rsidRDefault="000310F5" w:rsidP="00E12685">
            <w:pPr>
              <w:spacing w:before="0"/>
              <w:ind w:left="0"/>
              <w:jc w:val="left"/>
              <w:rPr>
                <w:rFonts w:ascii="Times New Roman" w:hAnsi="Times New Roman"/>
                <w:b/>
                <w:bCs/>
                <w:sz w:val="16"/>
                <w:szCs w:val="16"/>
                <w:lang w:val="en-GB" w:eastAsia="en-GB"/>
              </w:rPr>
            </w:pPr>
            <w:r>
              <w:rPr>
                <w:rFonts w:ascii="Times New Roman" w:hAnsi="Times New Roman"/>
                <w:b/>
                <w:bCs/>
                <w:sz w:val="16"/>
                <w:szCs w:val="16"/>
                <w:lang w:val="en-GB" w:eastAsia="en-GB"/>
              </w:rPr>
              <w:t>Table 9</w:t>
            </w:r>
            <w:r w:rsidR="007518E4" w:rsidRPr="003865F3">
              <w:rPr>
                <w:rFonts w:ascii="Times New Roman" w:hAnsi="Times New Roman"/>
                <w:b/>
                <w:bCs/>
                <w:sz w:val="16"/>
                <w:szCs w:val="16"/>
                <w:lang w:val="en-GB" w:eastAsia="en-GB"/>
              </w:rPr>
              <w:t xml:space="preserve"> Lao PDR: Government </w:t>
            </w:r>
            <w:proofErr w:type="gramStart"/>
            <w:r w:rsidR="007518E4" w:rsidRPr="003865F3">
              <w:rPr>
                <w:rFonts w:ascii="Times New Roman" w:hAnsi="Times New Roman"/>
                <w:b/>
                <w:bCs/>
                <w:sz w:val="16"/>
                <w:szCs w:val="16"/>
                <w:lang w:val="en-GB" w:eastAsia="en-GB"/>
              </w:rPr>
              <w:t>Revenue  2015</w:t>
            </w:r>
            <w:proofErr w:type="gramEnd"/>
            <w:r w:rsidR="007518E4" w:rsidRPr="003865F3">
              <w:rPr>
                <w:rFonts w:ascii="Times New Roman" w:hAnsi="Times New Roman"/>
                <w:b/>
                <w:bCs/>
                <w:sz w:val="16"/>
                <w:szCs w:val="16"/>
                <w:lang w:val="en-GB" w:eastAsia="en-GB"/>
              </w:rPr>
              <w:t xml:space="preserve">-16 </w:t>
            </w:r>
            <w:r w:rsidR="007518E4">
              <w:rPr>
                <w:rFonts w:ascii="Times New Roman" w:hAnsi="Times New Roman"/>
                <w:b/>
                <w:bCs/>
                <w:sz w:val="16"/>
                <w:szCs w:val="16"/>
                <w:lang w:val="en-GB" w:eastAsia="en-GB"/>
              </w:rPr>
              <w:t>million kip</w:t>
            </w:r>
          </w:p>
        </w:tc>
      </w:tr>
      <w:tr w:rsidR="007518E4" w:rsidRPr="003E7F03" w14:paraId="303ACA07" w14:textId="77777777" w:rsidTr="007518E4">
        <w:trPr>
          <w:trHeight w:val="20"/>
        </w:trPr>
        <w:tc>
          <w:tcPr>
            <w:tcW w:w="2410" w:type="dxa"/>
            <w:shd w:val="clear" w:color="auto" w:fill="auto"/>
            <w:noWrap/>
            <w:vAlign w:val="center"/>
            <w:hideMark/>
          </w:tcPr>
          <w:p w14:paraId="31216344"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Revenue type and collecting agency</w:t>
            </w:r>
          </w:p>
        </w:tc>
        <w:tc>
          <w:tcPr>
            <w:tcW w:w="1026" w:type="dxa"/>
            <w:shd w:val="clear" w:color="auto" w:fill="auto"/>
            <w:vAlign w:val="center"/>
            <w:hideMark/>
          </w:tcPr>
          <w:p w14:paraId="68E9ED29"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Total Plan 2015/2016</w:t>
            </w:r>
          </w:p>
        </w:tc>
        <w:tc>
          <w:tcPr>
            <w:tcW w:w="1026" w:type="dxa"/>
            <w:shd w:val="clear" w:color="auto" w:fill="auto"/>
            <w:vAlign w:val="center"/>
            <w:hideMark/>
          </w:tcPr>
          <w:p w14:paraId="713C2658"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Actual 2015/2016</w:t>
            </w:r>
          </w:p>
        </w:tc>
        <w:tc>
          <w:tcPr>
            <w:tcW w:w="1208" w:type="dxa"/>
            <w:shd w:val="clear" w:color="auto" w:fill="auto"/>
            <w:vAlign w:val="center"/>
            <w:hideMark/>
          </w:tcPr>
          <w:p w14:paraId="2B97DFC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Deviation</w:t>
            </w:r>
          </w:p>
        </w:tc>
        <w:tc>
          <w:tcPr>
            <w:tcW w:w="1134" w:type="dxa"/>
            <w:shd w:val="clear" w:color="auto" w:fill="auto"/>
            <w:vAlign w:val="center"/>
            <w:hideMark/>
          </w:tcPr>
          <w:p w14:paraId="7C6FA43C"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Absolute Deviation</w:t>
            </w:r>
          </w:p>
        </w:tc>
        <w:tc>
          <w:tcPr>
            <w:tcW w:w="1134" w:type="dxa"/>
            <w:shd w:val="clear" w:color="auto" w:fill="auto"/>
            <w:vAlign w:val="center"/>
            <w:hideMark/>
          </w:tcPr>
          <w:p w14:paraId="61FC89AE"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Absolute Deviation %</w:t>
            </w:r>
          </w:p>
        </w:tc>
      </w:tr>
      <w:tr w:rsidR="007518E4" w:rsidRPr="003E7F03" w14:paraId="5ACAF2F0" w14:textId="77777777" w:rsidTr="007518E4">
        <w:trPr>
          <w:trHeight w:val="20"/>
        </w:trPr>
        <w:tc>
          <w:tcPr>
            <w:tcW w:w="2410" w:type="dxa"/>
            <w:shd w:val="clear" w:color="auto" w:fill="auto"/>
            <w:noWrap/>
            <w:vAlign w:val="center"/>
            <w:hideMark/>
          </w:tcPr>
          <w:p w14:paraId="5A654502"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Tax Revenue</w:t>
            </w:r>
          </w:p>
        </w:tc>
        <w:tc>
          <w:tcPr>
            <w:tcW w:w="1026" w:type="dxa"/>
            <w:shd w:val="clear" w:color="auto" w:fill="auto"/>
            <w:noWrap/>
            <w:vAlign w:val="center"/>
            <w:hideMark/>
          </w:tcPr>
          <w:p w14:paraId="7A154F17"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19,494,119</w:t>
            </w:r>
          </w:p>
        </w:tc>
        <w:tc>
          <w:tcPr>
            <w:tcW w:w="1026" w:type="dxa"/>
            <w:shd w:val="clear" w:color="auto" w:fill="auto"/>
            <w:noWrap/>
            <w:vAlign w:val="center"/>
            <w:hideMark/>
          </w:tcPr>
          <w:p w14:paraId="1E881EBE"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16,481,349</w:t>
            </w:r>
          </w:p>
        </w:tc>
        <w:tc>
          <w:tcPr>
            <w:tcW w:w="1208" w:type="dxa"/>
            <w:shd w:val="clear" w:color="auto" w:fill="auto"/>
            <w:noWrap/>
            <w:vAlign w:val="center"/>
            <w:hideMark/>
          </w:tcPr>
          <w:p w14:paraId="67101C63"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(3,012,770)</w:t>
            </w:r>
          </w:p>
        </w:tc>
        <w:tc>
          <w:tcPr>
            <w:tcW w:w="1134" w:type="dxa"/>
            <w:shd w:val="clear" w:color="auto" w:fill="auto"/>
            <w:noWrap/>
            <w:vAlign w:val="center"/>
            <w:hideMark/>
          </w:tcPr>
          <w:p w14:paraId="701DF919"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3,986,755</w:t>
            </w:r>
          </w:p>
        </w:tc>
        <w:tc>
          <w:tcPr>
            <w:tcW w:w="1134" w:type="dxa"/>
            <w:shd w:val="clear" w:color="auto" w:fill="auto"/>
            <w:noWrap/>
            <w:vAlign w:val="center"/>
            <w:hideMark/>
          </w:tcPr>
          <w:p w14:paraId="48EA2CF1"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20%</w:t>
            </w:r>
          </w:p>
        </w:tc>
      </w:tr>
      <w:tr w:rsidR="007518E4" w:rsidRPr="003E7F03" w14:paraId="67EC9379" w14:textId="77777777" w:rsidTr="007518E4">
        <w:trPr>
          <w:trHeight w:val="20"/>
        </w:trPr>
        <w:tc>
          <w:tcPr>
            <w:tcW w:w="2410" w:type="dxa"/>
            <w:shd w:val="clear" w:color="auto" w:fill="auto"/>
            <w:noWrap/>
            <w:vAlign w:val="center"/>
            <w:hideMark/>
          </w:tcPr>
          <w:p w14:paraId="36D6D5C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 Profit Tax</w:t>
            </w:r>
          </w:p>
        </w:tc>
        <w:tc>
          <w:tcPr>
            <w:tcW w:w="1026" w:type="dxa"/>
            <w:shd w:val="clear" w:color="auto" w:fill="auto"/>
            <w:noWrap/>
            <w:vAlign w:val="center"/>
            <w:hideMark/>
          </w:tcPr>
          <w:p w14:paraId="6AD3FF0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2,417,263</w:t>
            </w:r>
          </w:p>
        </w:tc>
        <w:tc>
          <w:tcPr>
            <w:tcW w:w="1026" w:type="dxa"/>
            <w:shd w:val="clear" w:color="auto" w:fill="auto"/>
            <w:noWrap/>
            <w:vAlign w:val="center"/>
            <w:hideMark/>
          </w:tcPr>
          <w:p w14:paraId="61EC3B5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1,753,050</w:t>
            </w:r>
          </w:p>
        </w:tc>
        <w:tc>
          <w:tcPr>
            <w:tcW w:w="1208" w:type="dxa"/>
            <w:shd w:val="clear" w:color="auto" w:fill="auto"/>
            <w:noWrap/>
            <w:vAlign w:val="center"/>
            <w:hideMark/>
          </w:tcPr>
          <w:p w14:paraId="3EAD334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(664,213)</w:t>
            </w:r>
          </w:p>
        </w:tc>
        <w:tc>
          <w:tcPr>
            <w:tcW w:w="1134" w:type="dxa"/>
            <w:shd w:val="clear" w:color="auto" w:fill="auto"/>
            <w:noWrap/>
            <w:vAlign w:val="center"/>
            <w:hideMark/>
          </w:tcPr>
          <w:p w14:paraId="1594E6E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664,213</w:t>
            </w:r>
          </w:p>
        </w:tc>
        <w:tc>
          <w:tcPr>
            <w:tcW w:w="1134" w:type="dxa"/>
            <w:shd w:val="clear" w:color="auto" w:fill="auto"/>
            <w:noWrap/>
            <w:vAlign w:val="center"/>
            <w:hideMark/>
          </w:tcPr>
          <w:p w14:paraId="0C6A5FD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27%</w:t>
            </w:r>
          </w:p>
        </w:tc>
      </w:tr>
      <w:tr w:rsidR="007518E4" w:rsidRPr="003E7F03" w14:paraId="20EE5A37" w14:textId="77777777" w:rsidTr="007518E4">
        <w:trPr>
          <w:trHeight w:val="20"/>
        </w:trPr>
        <w:tc>
          <w:tcPr>
            <w:tcW w:w="2410" w:type="dxa"/>
            <w:shd w:val="clear" w:color="auto" w:fill="auto"/>
            <w:noWrap/>
            <w:vAlign w:val="center"/>
            <w:hideMark/>
          </w:tcPr>
          <w:p w14:paraId="79E2824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  Income Tax</w:t>
            </w:r>
          </w:p>
        </w:tc>
        <w:tc>
          <w:tcPr>
            <w:tcW w:w="1026" w:type="dxa"/>
            <w:shd w:val="clear" w:color="auto" w:fill="auto"/>
            <w:noWrap/>
            <w:vAlign w:val="center"/>
            <w:hideMark/>
          </w:tcPr>
          <w:p w14:paraId="01AC477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1,289,879</w:t>
            </w:r>
          </w:p>
        </w:tc>
        <w:tc>
          <w:tcPr>
            <w:tcW w:w="1026" w:type="dxa"/>
            <w:shd w:val="clear" w:color="auto" w:fill="auto"/>
            <w:noWrap/>
            <w:vAlign w:val="center"/>
            <w:hideMark/>
          </w:tcPr>
          <w:p w14:paraId="493E754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1,592,690</w:t>
            </w:r>
          </w:p>
        </w:tc>
        <w:tc>
          <w:tcPr>
            <w:tcW w:w="1208" w:type="dxa"/>
            <w:shd w:val="clear" w:color="auto" w:fill="auto"/>
            <w:noWrap/>
            <w:vAlign w:val="center"/>
            <w:hideMark/>
          </w:tcPr>
          <w:p w14:paraId="7C25DE7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302,811</w:t>
            </w:r>
          </w:p>
        </w:tc>
        <w:tc>
          <w:tcPr>
            <w:tcW w:w="1134" w:type="dxa"/>
            <w:shd w:val="clear" w:color="auto" w:fill="auto"/>
            <w:noWrap/>
            <w:vAlign w:val="center"/>
            <w:hideMark/>
          </w:tcPr>
          <w:p w14:paraId="53D54D0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302,811</w:t>
            </w:r>
          </w:p>
        </w:tc>
        <w:tc>
          <w:tcPr>
            <w:tcW w:w="1134" w:type="dxa"/>
            <w:shd w:val="clear" w:color="auto" w:fill="auto"/>
            <w:noWrap/>
            <w:vAlign w:val="center"/>
            <w:hideMark/>
          </w:tcPr>
          <w:p w14:paraId="38F8194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w:t>
            </w:r>
          </w:p>
        </w:tc>
      </w:tr>
      <w:tr w:rsidR="007518E4" w:rsidRPr="003E7F03" w14:paraId="26A68F9A" w14:textId="77777777" w:rsidTr="007518E4">
        <w:trPr>
          <w:trHeight w:val="20"/>
        </w:trPr>
        <w:tc>
          <w:tcPr>
            <w:tcW w:w="2410" w:type="dxa"/>
            <w:shd w:val="clear" w:color="auto" w:fill="auto"/>
            <w:noWrap/>
            <w:vAlign w:val="center"/>
            <w:hideMark/>
          </w:tcPr>
          <w:p w14:paraId="7307A3E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 Land Tax</w:t>
            </w:r>
          </w:p>
        </w:tc>
        <w:tc>
          <w:tcPr>
            <w:tcW w:w="1026" w:type="dxa"/>
            <w:shd w:val="clear" w:color="auto" w:fill="auto"/>
            <w:noWrap/>
            <w:vAlign w:val="center"/>
            <w:hideMark/>
          </w:tcPr>
          <w:p w14:paraId="0727D06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113,723</w:t>
            </w:r>
          </w:p>
        </w:tc>
        <w:tc>
          <w:tcPr>
            <w:tcW w:w="1026" w:type="dxa"/>
            <w:shd w:val="clear" w:color="auto" w:fill="auto"/>
            <w:noWrap/>
            <w:vAlign w:val="center"/>
            <w:hideMark/>
          </w:tcPr>
          <w:p w14:paraId="1D72C01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104,750</w:t>
            </w:r>
          </w:p>
        </w:tc>
        <w:tc>
          <w:tcPr>
            <w:tcW w:w="1208" w:type="dxa"/>
            <w:shd w:val="clear" w:color="auto" w:fill="auto"/>
            <w:noWrap/>
            <w:vAlign w:val="center"/>
            <w:hideMark/>
          </w:tcPr>
          <w:p w14:paraId="563FB61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(8,972)</w:t>
            </w:r>
          </w:p>
        </w:tc>
        <w:tc>
          <w:tcPr>
            <w:tcW w:w="1134" w:type="dxa"/>
            <w:shd w:val="clear" w:color="auto" w:fill="auto"/>
            <w:noWrap/>
            <w:vAlign w:val="center"/>
            <w:hideMark/>
          </w:tcPr>
          <w:p w14:paraId="6539E06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8,972</w:t>
            </w:r>
          </w:p>
        </w:tc>
        <w:tc>
          <w:tcPr>
            <w:tcW w:w="1134" w:type="dxa"/>
            <w:shd w:val="clear" w:color="auto" w:fill="auto"/>
            <w:noWrap/>
            <w:vAlign w:val="center"/>
            <w:hideMark/>
          </w:tcPr>
          <w:p w14:paraId="7863C5C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w:t>
            </w:r>
          </w:p>
        </w:tc>
      </w:tr>
      <w:tr w:rsidR="007518E4" w:rsidRPr="003E7F03" w14:paraId="0DCA0572" w14:textId="77777777" w:rsidTr="007518E4">
        <w:trPr>
          <w:trHeight w:val="20"/>
        </w:trPr>
        <w:tc>
          <w:tcPr>
            <w:tcW w:w="2410" w:type="dxa"/>
            <w:shd w:val="clear" w:color="auto" w:fill="auto"/>
            <w:noWrap/>
            <w:vAlign w:val="center"/>
            <w:hideMark/>
          </w:tcPr>
          <w:p w14:paraId="5EDFBE9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 Business Licences</w:t>
            </w:r>
          </w:p>
        </w:tc>
        <w:tc>
          <w:tcPr>
            <w:tcW w:w="1026" w:type="dxa"/>
            <w:shd w:val="clear" w:color="auto" w:fill="auto"/>
            <w:noWrap/>
            <w:vAlign w:val="center"/>
            <w:hideMark/>
          </w:tcPr>
          <w:p w14:paraId="48A08BA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026" w:type="dxa"/>
            <w:shd w:val="clear" w:color="auto" w:fill="auto"/>
            <w:noWrap/>
            <w:vAlign w:val="center"/>
            <w:hideMark/>
          </w:tcPr>
          <w:p w14:paraId="521AD18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208" w:type="dxa"/>
            <w:shd w:val="clear" w:color="auto" w:fill="auto"/>
            <w:noWrap/>
            <w:vAlign w:val="center"/>
            <w:hideMark/>
          </w:tcPr>
          <w:p w14:paraId="69E5CB1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134" w:type="dxa"/>
            <w:shd w:val="clear" w:color="auto" w:fill="auto"/>
            <w:noWrap/>
            <w:vAlign w:val="center"/>
            <w:hideMark/>
          </w:tcPr>
          <w:p w14:paraId="2FAC118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134" w:type="dxa"/>
            <w:shd w:val="clear" w:color="auto" w:fill="auto"/>
            <w:noWrap/>
            <w:vAlign w:val="center"/>
            <w:hideMark/>
          </w:tcPr>
          <w:p w14:paraId="77297DBF" w14:textId="77777777" w:rsidR="007518E4" w:rsidRPr="00591305" w:rsidRDefault="007518E4" w:rsidP="00E12685">
            <w:pPr>
              <w:spacing w:before="0"/>
              <w:ind w:left="0"/>
              <w:jc w:val="left"/>
              <w:rPr>
                <w:rFonts w:ascii="Times New Roman" w:hAnsi="Times New Roman"/>
                <w:sz w:val="16"/>
                <w:szCs w:val="16"/>
                <w:lang w:val="en-GB" w:eastAsia="en-GB"/>
              </w:rPr>
            </w:pPr>
          </w:p>
        </w:tc>
      </w:tr>
      <w:tr w:rsidR="007518E4" w:rsidRPr="003E7F03" w14:paraId="55B8AFF5" w14:textId="77777777" w:rsidTr="007518E4">
        <w:trPr>
          <w:trHeight w:val="20"/>
        </w:trPr>
        <w:tc>
          <w:tcPr>
            <w:tcW w:w="2410" w:type="dxa"/>
            <w:shd w:val="clear" w:color="auto" w:fill="auto"/>
            <w:noWrap/>
            <w:vAlign w:val="center"/>
            <w:hideMark/>
          </w:tcPr>
          <w:p w14:paraId="1A3FA00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 Minimum Tax</w:t>
            </w:r>
          </w:p>
        </w:tc>
        <w:tc>
          <w:tcPr>
            <w:tcW w:w="1026" w:type="dxa"/>
            <w:shd w:val="clear" w:color="auto" w:fill="auto"/>
            <w:noWrap/>
            <w:vAlign w:val="center"/>
            <w:hideMark/>
          </w:tcPr>
          <w:p w14:paraId="15EB46E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2,021</w:t>
            </w:r>
          </w:p>
        </w:tc>
        <w:tc>
          <w:tcPr>
            <w:tcW w:w="1026" w:type="dxa"/>
            <w:shd w:val="clear" w:color="auto" w:fill="auto"/>
            <w:noWrap/>
            <w:vAlign w:val="center"/>
            <w:hideMark/>
          </w:tcPr>
          <w:p w14:paraId="7E0B9FE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(0)</w:t>
            </w:r>
          </w:p>
        </w:tc>
        <w:tc>
          <w:tcPr>
            <w:tcW w:w="1208" w:type="dxa"/>
            <w:shd w:val="clear" w:color="auto" w:fill="auto"/>
            <w:noWrap/>
            <w:vAlign w:val="center"/>
            <w:hideMark/>
          </w:tcPr>
          <w:p w14:paraId="1F030DA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(2,021)</w:t>
            </w:r>
          </w:p>
        </w:tc>
        <w:tc>
          <w:tcPr>
            <w:tcW w:w="1134" w:type="dxa"/>
            <w:shd w:val="clear" w:color="auto" w:fill="auto"/>
            <w:noWrap/>
            <w:vAlign w:val="center"/>
            <w:hideMark/>
          </w:tcPr>
          <w:p w14:paraId="5330AA3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2,021</w:t>
            </w:r>
          </w:p>
        </w:tc>
        <w:tc>
          <w:tcPr>
            <w:tcW w:w="1134" w:type="dxa"/>
            <w:shd w:val="clear" w:color="auto" w:fill="auto"/>
            <w:noWrap/>
            <w:vAlign w:val="center"/>
            <w:hideMark/>
          </w:tcPr>
          <w:p w14:paraId="0D000B2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100%</w:t>
            </w:r>
          </w:p>
        </w:tc>
      </w:tr>
      <w:tr w:rsidR="007518E4" w:rsidRPr="003E7F03" w14:paraId="18DADBA6" w14:textId="77777777" w:rsidTr="007518E4">
        <w:trPr>
          <w:trHeight w:val="20"/>
        </w:trPr>
        <w:tc>
          <w:tcPr>
            <w:tcW w:w="2410" w:type="dxa"/>
            <w:shd w:val="clear" w:color="auto" w:fill="auto"/>
            <w:noWrap/>
            <w:vAlign w:val="center"/>
            <w:hideMark/>
          </w:tcPr>
          <w:p w14:paraId="29432D3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 Turnover Tax</w:t>
            </w:r>
          </w:p>
        </w:tc>
        <w:tc>
          <w:tcPr>
            <w:tcW w:w="1026" w:type="dxa"/>
            <w:shd w:val="clear" w:color="auto" w:fill="auto"/>
            <w:noWrap/>
            <w:vAlign w:val="center"/>
            <w:hideMark/>
          </w:tcPr>
          <w:p w14:paraId="112A36F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31,343</w:t>
            </w:r>
          </w:p>
        </w:tc>
        <w:tc>
          <w:tcPr>
            <w:tcW w:w="1026" w:type="dxa"/>
            <w:shd w:val="clear" w:color="auto" w:fill="auto"/>
            <w:noWrap/>
            <w:vAlign w:val="center"/>
            <w:hideMark/>
          </w:tcPr>
          <w:p w14:paraId="1B8BDDC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0</w:t>
            </w:r>
          </w:p>
        </w:tc>
        <w:tc>
          <w:tcPr>
            <w:tcW w:w="1208" w:type="dxa"/>
            <w:shd w:val="clear" w:color="auto" w:fill="auto"/>
            <w:noWrap/>
            <w:vAlign w:val="center"/>
            <w:hideMark/>
          </w:tcPr>
          <w:p w14:paraId="5FC8D82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(31,343)</w:t>
            </w:r>
          </w:p>
        </w:tc>
        <w:tc>
          <w:tcPr>
            <w:tcW w:w="1134" w:type="dxa"/>
            <w:shd w:val="clear" w:color="auto" w:fill="auto"/>
            <w:noWrap/>
            <w:vAlign w:val="center"/>
            <w:hideMark/>
          </w:tcPr>
          <w:p w14:paraId="3719A32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31,343</w:t>
            </w:r>
          </w:p>
        </w:tc>
        <w:tc>
          <w:tcPr>
            <w:tcW w:w="1134" w:type="dxa"/>
            <w:shd w:val="clear" w:color="auto" w:fill="auto"/>
            <w:noWrap/>
            <w:vAlign w:val="center"/>
            <w:hideMark/>
          </w:tcPr>
          <w:p w14:paraId="6D956F4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100%</w:t>
            </w:r>
          </w:p>
        </w:tc>
      </w:tr>
      <w:tr w:rsidR="007518E4" w:rsidRPr="003E7F03" w14:paraId="3D6F14B3" w14:textId="77777777" w:rsidTr="007518E4">
        <w:trPr>
          <w:trHeight w:val="20"/>
        </w:trPr>
        <w:tc>
          <w:tcPr>
            <w:tcW w:w="2410" w:type="dxa"/>
            <w:shd w:val="clear" w:color="auto" w:fill="auto"/>
            <w:noWrap/>
            <w:vAlign w:val="center"/>
            <w:hideMark/>
          </w:tcPr>
          <w:p w14:paraId="1F2935A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 VAT</w:t>
            </w:r>
          </w:p>
        </w:tc>
        <w:tc>
          <w:tcPr>
            <w:tcW w:w="1026" w:type="dxa"/>
            <w:shd w:val="clear" w:color="auto" w:fill="auto"/>
            <w:noWrap/>
            <w:vAlign w:val="center"/>
            <w:hideMark/>
          </w:tcPr>
          <w:p w14:paraId="0AFC83B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6,777,264</w:t>
            </w:r>
          </w:p>
        </w:tc>
        <w:tc>
          <w:tcPr>
            <w:tcW w:w="1026" w:type="dxa"/>
            <w:shd w:val="clear" w:color="auto" w:fill="auto"/>
            <w:noWrap/>
            <w:vAlign w:val="center"/>
            <w:hideMark/>
          </w:tcPr>
          <w:p w14:paraId="1456C05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4,915,630</w:t>
            </w:r>
          </w:p>
        </w:tc>
        <w:tc>
          <w:tcPr>
            <w:tcW w:w="1208" w:type="dxa"/>
            <w:shd w:val="clear" w:color="auto" w:fill="auto"/>
            <w:noWrap/>
            <w:vAlign w:val="center"/>
            <w:hideMark/>
          </w:tcPr>
          <w:p w14:paraId="5F1E1C9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(1,861,634)</w:t>
            </w:r>
          </w:p>
        </w:tc>
        <w:tc>
          <w:tcPr>
            <w:tcW w:w="1134" w:type="dxa"/>
            <w:shd w:val="clear" w:color="auto" w:fill="auto"/>
            <w:noWrap/>
            <w:vAlign w:val="center"/>
            <w:hideMark/>
          </w:tcPr>
          <w:p w14:paraId="213C2CF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1,861,634</w:t>
            </w:r>
          </w:p>
        </w:tc>
        <w:tc>
          <w:tcPr>
            <w:tcW w:w="1134" w:type="dxa"/>
            <w:shd w:val="clear" w:color="auto" w:fill="auto"/>
            <w:noWrap/>
            <w:vAlign w:val="center"/>
            <w:hideMark/>
          </w:tcPr>
          <w:p w14:paraId="1C95E49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27%</w:t>
            </w:r>
          </w:p>
        </w:tc>
      </w:tr>
      <w:tr w:rsidR="007518E4" w:rsidRPr="003E7F03" w14:paraId="26F5BD87" w14:textId="77777777" w:rsidTr="007518E4">
        <w:trPr>
          <w:trHeight w:val="20"/>
        </w:trPr>
        <w:tc>
          <w:tcPr>
            <w:tcW w:w="2410" w:type="dxa"/>
            <w:shd w:val="clear" w:color="auto" w:fill="auto"/>
            <w:noWrap/>
            <w:vAlign w:val="center"/>
            <w:hideMark/>
          </w:tcPr>
          <w:p w14:paraId="6979F86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 Excise Taxes</w:t>
            </w:r>
          </w:p>
        </w:tc>
        <w:tc>
          <w:tcPr>
            <w:tcW w:w="1026" w:type="dxa"/>
            <w:shd w:val="clear" w:color="auto" w:fill="auto"/>
            <w:noWrap/>
            <w:vAlign w:val="center"/>
            <w:hideMark/>
          </w:tcPr>
          <w:p w14:paraId="073C994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4,023,142</w:t>
            </w:r>
          </w:p>
        </w:tc>
        <w:tc>
          <w:tcPr>
            <w:tcW w:w="1026" w:type="dxa"/>
            <w:shd w:val="clear" w:color="auto" w:fill="auto"/>
            <w:noWrap/>
            <w:vAlign w:val="center"/>
            <w:hideMark/>
          </w:tcPr>
          <w:p w14:paraId="3AD0582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3,734,380</w:t>
            </w:r>
          </w:p>
        </w:tc>
        <w:tc>
          <w:tcPr>
            <w:tcW w:w="1208" w:type="dxa"/>
            <w:shd w:val="clear" w:color="auto" w:fill="auto"/>
            <w:noWrap/>
            <w:vAlign w:val="center"/>
            <w:hideMark/>
          </w:tcPr>
          <w:p w14:paraId="65D2046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(288,762)</w:t>
            </w:r>
          </w:p>
        </w:tc>
        <w:tc>
          <w:tcPr>
            <w:tcW w:w="1134" w:type="dxa"/>
            <w:shd w:val="clear" w:color="auto" w:fill="auto"/>
            <w:noWrap/>
            <w:vAlign w:val="center"/>
            <w:hideMark/>
          </w:tcPr>
          <w:p w14:paraId="45003E3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288,762</w:t>
            </w:r>
          </w:p>
        </w:tc>
        <w:tc>
          <w:tcPr>
            <w:tcW w:w="1134" w:type="dxa"/>
            <w:shd w:val="clear" w:color="auto" w:fill="auto"/>
            <w:noWrap/>
            <w:vAlign w:val="center"/>
            <w:hideMark/>
          </w:tcPr>
          <w:p w14:paraId="355F601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w:t>
            </w:r>
          </w:p>
        </w:tc>
      </w:tr>
      <w:tr w:rsidR="007518E4" w:rsidRPr="003E7F03" w14:paraId="0D548C16" w14:textId="77777777" w:rsidTr="007518E4">
        <w:trPr>
          <w:trHeight w:val="20"/>
        </w:trPr>
        <w:tc>
          <w:tcPr>
            <w:tcW w:w="2410" w:type="dxa"/>
            <w:shd w:val="clear" w:color="auto" w:fill="auto"/>
            <w:noWrap/>
            <w:vAlign w:val="center"/>
            <w:hideMark/>
          </w:tcPr>
          <w:p w14:paraId="3C74AAD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 Import Duties</w:t>
            </w:r>
          </w:p>
        </w:tc>
        <w:tc>
          <w:tcPr>
            <w:tcW w:w="1026" w:type="dxa"/>
            <w:shd w:val="clear" w:color="auto" w:fill="auto"/>
            <w:noWrap/>
            <w:vAlign w:val="center"/>
            <w:hideMark/>
          </w:tcPr>
          <w:p w14:paraId="62CB399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2,030,322</w:t>
            </w:r>
          </w:p>
        </w:tc>
        <w:tc>
          <w:tcPr>
            <w:tcW w:w="1026" w:type="dxa"/>
            <w:shd w:val="clear" w:color="auto" w:fill="auto"/>
            <w:noWrap/>
            <w:vAlign w:val="center"/>
            <w:hideMark/>
          </w:tcPr>
          <w:p w14:paraId="296E6D1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1,825,780</w:t>
            </w:r>
          </w:p>
        </w:tc>
        <w:tc>
          <w:tcPr>
            <w:tcW w:w="1208" w:type="dxa"/>
            <w:shd w:val="clear" w:color="auto" w:fill="auto"/>
            <w:noWrap/>
            <w:vAlign w:val="center"/>
            <w:hideMark/>
          </w:tcPr>
          <w:p w14:paraId="0C5BED8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(204,542)</w:t>
            </w:r>
          </w:p>
        </w:tc>
        <w:tc>
          <w:tcPr>
            <w:tcW w:w="1134" w:type="dxa"/>
            <w:shd w:val="clear" w:color="auto" w:fill="auto"/>
            <w:noWrap/>
            <w:vAlign w:val="center"/>
            <w:hideMark/>
          </w:tcPr>
          <w:p w14:paraId="3DB3927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204,542</w:t>
            </w:r>
          </w:p>
        </w:tc>
        <w:tc>
          <w:tcPr>
            <w:tcW w:w="1134" w:type="dxa"/>
            <w:shd w:val="clear" w:color="auto" w:fill="auto"/>
            <w:noWrap/>
            <w:vAlign w:val="center"/>
            <w:hideMark/>
          </w:tcPr>
          <w:p w14:paraId="2D0754F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w:t>
            </w:r>
          </w:p>
        </w:tc>
      </w:tr>
      <w:tr w:rsidR="007518E4" w:rsidRPr="003E7F03" w14:paraId="0277318D" w14:textId="77777777" w:rsidTr="007518E4">
        <w:trPr>
          <w:trHeight w:val="20"/>
        </w:trPr>
        <w:tc>
          <w:tcPr>
            <w:tcW w:w="2410" w:type="dxa"/>
            <w:shd w:val="clear" w:color="auto" w:fill="auto"/>
            <w:noWrap/>
            <w:vAlign w:val="center"/>
            <w:hideMark/>
          </w:tcPr>
          <w:p w14:paraId="7F8EEC7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 Export Duties</w:t>
            </w:r>
          </w:p>
        </w:tc>
        <w:tc>
          <w:tcPr>
            <w:tcW w:w="1026" w:type="dxa"/>
            <w:shd w:val="clear" w:color="auto" w:fill="auto"/>
            <w:noWrap/>
            <w:vAlign w:val="center"/>
            <w:hideMark/>
          </w:tcPr>
          <w:p w14:paraId="2912DEE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20,007</w:t>
            </w:r>
          </w:p>
        </w:tc>
        <w:tc>
          <w:tcPr>
            <w:tcW w:w="1026" w:type="dxa"/>
            <w:shd w:val="clear" w:color="auto" w:fill="auto"/>
            <w:noWrap/>
            <w:vAlign w:val="center"/>
            <w:hideMark/>
          </w:tcPr>
          <w:p w14:paraId="53FE5B5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68,696</w:t>
            </w:r>
          </w:p>
        </w:tc>
        <w:tc>
          <w:tcPr>
            <w:tcW w:w="1208" w:type="dxa"/>
            <w:shd w:val="clear" w:color="auto" w:fill="auto"/>
            <w:noWrap/>
            <w:vAlign w:val="center"/>
            <w:hideMark/>
          </w:tcPr>
          <w:p w14:paraId="600342D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48,689</w:t>
            </w:r>
          </w:p>
        </w:tc>
        <w:tc>
          <w:tcPr>
            <w:tcW w:w="1134" w:type="dxa"/>
            <w:shd w:val="clear" w:color="auto" w:fill="auto"/>
            <w:noWrap/>
            <w:vAlign w:val="center"/>
            <w:hideMark/>
          </w:tcPr>
          <w:p w14:paraId="7828265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48,689</w:t>
            </w:r>
          </w:p>
        </w:tc>
        <w:tc>
          <w:tcPr>
            <w:tcW w:w="1134" w:type="dxa"/>
            <w:shd w:val="clear" w:color="auto" w:fill="auto"/>
            <w:noWrap/>
            <w:vAlign w:val="center"/>
            <w:hideMark/>
          </w:tcPr>
          <w:p w14:paraId="3752E71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243%</w:t>
            </w:r>
          </w:p>
        </w:tc>
      </w:tr>
      <w:tr w:rsidR="007518E4" w:rsidRPr="003E7F03" w14:paraId="5630F184" w14:textId="77777777" w:rsidTr="007518E4">
        <w:trPr>
          <w:trHeight w:val="20"/>
        </w:trPr>
        <w:tc>
          <w:tcPr>
            <w:tcW w:w="2410" w:type="dxa"/>
            <w:shd w:val="clear" w:color="auto" w:fill="auto"/>
            <w:noWrap/>
            <w:vAlign w:val="center"/>
            <w:hideMark/>
          </w:tcPr>
          <w:p w14:paraId="31B48E7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 Registration Fees</w:t>
            </w:r>
          </w:p>
        </w:tc>
        <w:tc>
          <w:tcPr>
            <w:tcW w:w="1026" w:type="dxa"/>
            <w:shd w:val="clear" w:color="auto" w:fill="auto"/>
            <w:noWrap/>
            <w:vAlign w:val="center"/>
            <w:hideMark/>
          </w:tcPr>
          <w:p w14:paraId="76C962E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76,900</w:t>
            </w:r>
          </w:p>
        </w:tc>
        <w:tc>
          <w:tcPr>
            <w:tcW w:w="1026" w:type="dxa"/>
            <w:shd w:val="clear" w:color="auto" w:fill="auto"/>
            <w:noWrap/>
            <w:vAlign w:val="center"/>
            <w:hideMark/>
          </w:tcPr>
          <w:p w14:paraId="26E5728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74,261</w:t>
            </w:r>
          </w:p>
        </w:tc>
        <w:tc>
          <w:tcPr>
            <w:tcW w:w="1208" w:type="dxa"/>
            <w:shd w:val="clear" w:color="auto" w:fill="auto"/>
            <w:noWrap/>
            <w:vAlign w:val="center"/>
            <w:hideMark/>
          </w:tcPr>
          <w:p w14:paraId="4B67305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(2,639)</w:t>
            </w:r>
          </w:p>
        </w:tc>
        <w:tc>
          <w:tcPr>
            <w:tcW w:w="1134" w:type="dxa"/>
            <w:shd w:val="clear" w:color="auto" w:fill="auto"/>
            <w:noWrap/>
            <w:vAlign w:val="center"/>
            <w:hideMark/>
          </w:tcPr>
          <w:p w14:paraId="50B6FD4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2,639</w:t>
            </w:r>
          </w:p>
        </w:tc>
        <w:tc>
          <w:tcPr>
            <w:tcW w:w="1134" w:type="dxa"/>
            <w:shd w:val="clear" w:color="auto" w:fill="auto"/>
            <w:noWrap/>
            <w:vAlign w:val="center"/>
            <w:hideMark/>
          </w:tcPr>
          <w:p w14:paraId="172088E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w:t>
            </w:r>
          </w:p>
        </w:tc>
      </w:tr>
      <w:tr w:rsidR="007518E4" w:rsidRPr="003E7F03" w14:paraId="71827D3E" w14:textId="77777777" w:rsidTr="007518E4">
        <w:trPr>
          <w:trHeight w:val="20"/>
        </w:trPr>
        <w:tc>
          <w:tcPr>
            <w:tcW w:w="2410" w:type="dxa"/>
            <w:shd w:val="clear" w:color="auto" w:fill="auto"/>
            <w:noWrap/>
            <w:vAlign w:val="center"/>
            <w:hideMark/>
          </w:tcPr>
          <w:p w14:paraId="2EAE288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 12. Other Fees</w:t>
            </w:r>
          </w:p>
        </w:tc>
        <w:tc>
          <w:tcPr>
            <w:tcW w:w="1026" w:type="dxa"/>
            <w:shd w:val="clear" w:color="auto" w:fill="auto"/>
            <w:noWrap/>
            <w:vAlign w:val="center"/>
            <w:hideMark/>
          </w:tcPr>
          <w:p w14:paraId="6A547E4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1,633,305</w:t>
            </w:r>
          </w:p>
        </w:tc>
        <w:tc>
          <w:tcPr>
            <w:tcW w:w="1026" w:type="dxa"/>
            <w:shd w:val="clear" w:color="auto" w:fill="auto"/>
            <w:noWrap/>
            <w:vAlign w:val="center"/>
            <w:hideMark/>
          </w:tcPr>
          <w:p w14:paraId="467D6A7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1,400,872</w:t>
            </w:r>
          </w:p>
        </w:tc>
        <w:tc>
          <w:tcPr>
            <w:tcW w:w="1208" w:type="dxa"/>
            <w:shd w:val="clear" w:color="auto" w:fill="auto"/>
            <w:noWrap/>
            <w:vAlign w:val="center"/>
            <w:hideMark/>
          </w:tcPr>
          <w:p w14:paraId="54696C8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(232,432)</w:t>
            </w:r>
          </w:p>
        </w:tc>
        <w:tc>
          <w:tcPr>
            <w:tcW w:w="1134" w:type="dxa"/>
            <w:shd w:val="clear" w:color="auto" w:fill="auto"/>
            <w:noWrap/>
            <w:vAlign w:val="center"/>
            <w:hideMark/>
          </w:tcPr>
          <w:p w14:paraId="6B75846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232,432</w:t>
            </w:r>
          </w:p>
        </w:tc>
        <w:tc>
          <w:tcPr>
            <w:tcW w:w="1134" w:type="dxa"/>
            <w:shd w:val="clear" w:color="auto" w:fill="auto"/>
            <w:noWrap/>
            <w:vAlign w:val="center"/>
            <w:hideMark/>
          </w:tcPr>
          <w:p w14:paraId="166666C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14%</w:t>
            </w:r>
          </w:p>
        </w:tc>
      </w:tr>
      <w:tr w:rsidR="007518E4" w:rsidRPr="003E7F03" w14:paraId="3E237411" w14:textId="77777777" w:rsidTr="007518E4">
        <w:trPr>
          <w:trHeight w:val="20"/>
        </w:trPr>
        <w:tc>
          <w:tcPr>
            <w:tcW w:w="2410" w:type="dxa"/>
            <w:shd w:val="clear" w:color="auto" w:fill="auto"/>
            <w:noWrap/>
            <w:vAlign w:val="center"/>
            <w:hideMark/>
          </w:tcPr>
          <w:p w14:paraId="360BAB4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 Natural Resources Taxes</w:t>
            </w:r>
          </w:p>
        </w:tc>
        <w:tc>
          <w:tcPr>
            <w:tcW w:w="1026" w:type="dxa"/>
            <w:shd w:val="clear" w:color="auto" w:fill="auto"/>
            <w:noWrap/>
            <w:vAlign w:val="center"/>
            <w:hideMark/>
          </w:tcPr>
          <w:p w14:paraId="78B5E70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703,372</w:t>
            </w:r>
          </w:p>
        </w:tc>
        <w:tc>
          <w:tcPr>
            <w:tcW w:w="1026" w:type="dxa"/>
            <w:shd w:val="clear" w:color="auto" w:fill="auto"/>
            <w:noWrap/>
            <w:vAlign w:val="center"/>
            <w:hideMark/>
          </w:tcPr>
          <w:p w14:paraId="756BFE0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507,112</w:t>
            </w:r>
          </w:p>
        </w:tc>
        <w:tc>
          <w:tcPr>
            <w:tcW w:w="1208" w:type="dxa"/>
            <w:shd w:val="clear" w:color="auto" w:fill="auto"/>
            <w:noWrap/>
            <w:vAlign w:val="center"/>
            <w:hideMark/>
          </w:tcPr>
          <w:p w14:paraId="4AFC7B4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(196,260)</w:t>
            </w:r>
          </w:p>
        </w:tc>
        <w:tc>
          <w:tcPr>
            <w:tcW w:w="1134" w:type="dxa"/>
            <w:shd w:val="clear" w:color="auto" w:fill="auto"/>
            <w:noWrap/>
            <w:vAlign w:val="center"/>
            <w:hideMark/>
          </w:tcPr>
          <w:p w14:paraId="53112F1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196,260</w:t>
            </w:r>
          </w:p>
        </w:tc>
        <w:tc>
          <w:tcPr>
            <w:tcW w:w="1134" w:type="dxa"/>
            <w:shd w:val="clear" w:color="auto" w:fill="auto"/>
            <w:noWrap/>
            <w:vAlign w:val="center"/>
            <w:hideMark/>
          </w:tcPr>
          <w:p w14:paraId="5547CA2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w:t>
            </w:r>
          </w:p>
        </w:tc>
      </w:tr>
      <w:tr w:rsidR="007518E4" w:rsidRPr="003E7F03" w14:paraId="041E3E5D" w14:textId="77777777" w:rsidTr="007518E4">
        <w:trPr>
          <w:trHeight w:val="20"/>
        </w:trPr>
        <w:tc>
          <w:tcPr>
            <w:tcW w:w="2410" w:type="dxa"/>
            <w:shd w:val="clear" w:color="auto" w:fill="auto"/>
            <w:noWrap/>
            <w:vAlign w:val="center"/>
            <w:hideMark/>
          </w:tcPr>
          <w:p w14:paraId="71287C9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14. Timber Royalties</w:t>
            </w:r>
          </w:p>
        </w:tc>
        <w:tc>
          <w:tcPr>
            <w:tcW w:w="1026" w:type="dxa"/>
            <w:shd w:val="clear" w:color="auto" w:fill="auto"/>
            <w:noWrap/>
            <w:vAlign w:val="center"/>
            <w:hideMark/>
          </w:tcPr>
          <w:p w14:paraId="3941044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026" w:type="dxa"/>
            <w:shd w:val="clear" w:color="auto" w:fill="auto"/>
            <w:noWrap/>
            <w:vAlign w:val="center"/>
            <w:hideMark/>
          </w:tcPr>
          <w:p w14:paraId="0E4DD3A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135,492</w:t>
            </w:r>
          </w:p>
        </w:tc>
        <w:tc>
          <w:tcPr>
            <w:tcW w:w="1208" w:type="dxa"/>
            <w:shd w:val="clear" w:color="auto" w:fill="auto"/>
            <w:noWrap/>
            <w:vAlign w:val="center"/>
            <w:hideMark/>
          </w:tcPr>
          <w:p w14:paraId="5ABDD94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135,492</w:t>
            </w:r>
          </w:p>
        </w:tc>
        <w:tc>
          <w:tcPr>
            <w:tcW w:w="1134" w:type="dxa"/>
            <w:shd w:val="clear" w:color="auto" w:fill="auto"/>
            <w:noWrap/>
            <w:vAlign w:val="center"/>
            <w:hideMark/>
          </w:tcPr>
          <w:p w14:paraId="40446AC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135,492</w:t>
            </w:r>
          </w:p>
        </w:tc>
        <w:tc>
          <w:tcPr>
            <w:tcW w:w="1134" w:type="dxa"/>
            <w:shd w:val="clear" w:color="auto" w:fill="auto"/>
            <w:noWrap/>
            <w:vAlign w:val="center"/>
            <w:hideMark/>
          </w:tcPr>
          <w:p w14:paraId="1BC232A9" w14:textId="77777777" w:rsidR="007518E4" w:rsidRPr="00591305" w:rsidRDefault="007518E4" w:rsidP="00E12685">
            <w:pPr>
              <w:spacing w:before="0"/>
              <w:ind w:left="0"/>
              <w:jc w:val="left"/>
              <w:rPr>
                <w:rFonts w:ascii="Times New Roman" w:hAnsi="Times New Roman"/>
                <w:sz w:val="16"/>
                <w:szCs w:val="16"/>
                <w:lang w:val="en-GB" w:eastAsia="en-GB"/>
              </w:rPr>
            </w:pPr>
          </w:p>
        </w:tc>
      </w:tr>
      <w:tr w:rsidR="007518E4" w:rsidRPr="003E7F03" w14:paraId="6F0496DB" w14:textId="77777777" w:rsidTr="007518E4">
        <w:trPr>
          <w:trHeight w:val="20"/>
        </w:trPr>
        <w:tc>
          <w:tcPr>
            <w:tcW w:w="2410" w:type="dxa"/>
            <w:shd w:val="clear" w:color="auto" w:fill="auto"/>
            <w:noWrap/>
            <w:vAlign w:val="center"/>
            <w:hideMark/>
          </w:tcPr>
          <w:p w14:paraId="174B156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15. Royalties</w:t>
            </w:r>
          </w:p>
        </w:tc>
        <w:tc>
          <w:tcPr>
            <w:tcW w:w="1026" w:type="dxa"/>
            <w:shd w:val="clear" w:color="auto" w:fill="auto"/>
            <w:noWrap/>
            <w:vAlign w:val="center"/>
            <w:hideMark/>
          </w:tcPr>
          <w:p w14:paraId="3681034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375,579</w:t>
            </w:r>
          </w:p>
        </w:tc>
        <w:tc>
          <w:tcPr>
            <w:tcW w:w="1026" w:type="dxa"/>
            <w:shd w:val="clear" w:color="auto" w:fill="auto"/>
            <w:noWrap/>
            <w:vAlign w:val="center"/>
            <w:hideMark/>
          </w:tcPr>
          <w:p w14:paraId="0E67CC75"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368,636</w:t>
            </w:r>
          </w:p>
        </w:tc>
        <w:tc>
          <w:tcPr>
            <w:tcW w:w="1208" w:type="dxa"/>
            <w:shd w:val="clear" w:color="auto" w:fill="auto"/>
            <w:noWrap/>
            <w:vAlign w:val="center"/>
            <w:hideMark/>
          </w:tcPr>
          <w:p w14:paraId="3F1B5C2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(6,944)</w:t>
            </w:r>
          </w:p>
        </w:tc>
        <w:tc>
          <w:tcPr>
            <w:tcW w:w="1134" w:type="dxa"/>
            <w:shd w:val="clear" w:color="auto" w:fill="auto"/>
            <w:noWrap/>
            <w:vAlign w:val="center"/>
            <w:hideMark/>
          </w:tcPr>
          <w:p w14:paraId="17AC029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6,944</w:t>
            </w:r>
          </w:p>
        </w:tc>
        <w:tc>
          <w:tcPr>
            <w:tcW w:w="1134" w:type="dxa"/>
            <w:shd w:val="clear" w:color="auto" w:fill="auto"/>
            <w:noWrap/>
            <w:vAlign w:val="center"/>
            <w:hideMark/>
          </w:tcPr>
          <w:p w14:paraId="3CED19D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w:t>
            </w:r>
          </w:p>
        </w:tc>
      </w:tr>
      <w:tr w:rsidR="007518E4" w:rsidRPr="003E7F03" w14:paraId="39076889" w14:textId="77777777" w:rsidTr="007518E4">
        <w:trPr>
          <w:trHeight w:val="20"/>
        </w:trPr>
        <w:tc>
          <w:tcPr>
            <w:tcW w:w="2410" w:type="dxa"/>
            <w:shd w:val="clear" w:color="auto" w:fill="auto"/>
            <w:noWrap/>
            <w:vAlign w:val="center"/>
            <w:hideMark/>
          </w:tcPr>
          <w:p w14:paraId="1E1C3C48"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Nontax Revenues</w:t>
            </w:r>
          </w:p>
        </w:tc>
        <w:tc>
          <w:tcPr>
            <w:tcW w:w="1026" w:type="dxa"/>
            <w:shd w:val="clear" w:color="auto" w:fill="auto"/>
            <w:noWrap/>
            <w:vAlign w:val="center"/>
            <w:hideMark/>
          </w:tcPr>
          <w:p w14:paraId="3C415F36"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2,795,644</w:t>
            </w:r>
          </w:p>
        </w:tc>
        <w:tc>
          <w:tcPr>
            <w:tcW w:w="1026" w:type="dxa"/>
            <w:shd w:val="clear" w:color="auto" w:fill="auto"/>
            <w:noWrap/>
            <w:vAlign w:val="center"/>
            <w:hideMark/>
          </w:tcPr>
          <w:p w14:paraId="32EE7847"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2,914,691</w:t>
            </w:r>
          </w:p>
        </w:tc>
        <w:tc>
          <w:tcPr>
            <w:tcW w:w="1208" w:type="dxa"/>
            <w:shd w:val="clear" w:color="auto" w:fill="auto"/>
            <w:noWrap/>
            <w:vAlign w:val="center"/>
            <w:hideMark/>
          </w:tcPr>
          <w:p w14:paraId="01891796"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119,048</w:t>
            </w:r>
          </w:p>
        </w:tc>
        <w:tc>
          <w:tcPr>
            <w:tcW w:w="1134" w:type="dxa"/>
            <w:shd w:val="clear" w:color="auto" w:fill="auto"/>
            <w:noWrap/>
            <w:vAlign w:val="center"/>
            <w:hideMark/>
          </w:tcPr>
          <w:p w14:paraId="035A762A"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827,454</w:t>
            </w:r>
          </w:p>
        </w:tc>
        <w:tc>
          <w:tcPr>
            <w:tcW w:w="1134" w:type="dxa"/>
            <w:shd w:val="clear" w:color="auto" w:fill="auto"/>
            <w:noWrap/>
            <w:vAlign w:val="center"/>
            <w:hideMark/>
          </w:tcPr>
          <w:p w14:paraId="4073E43A"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30%</w:t>
            </w:r>
          </w:p>
        </w:tc>
      </w:tr>
      <w:tr w:rsidR="007518E4" w:rsidRPr="003E7F03" w14:paraId="744A0DC4" w14:textId="77777777" w:rsidTr="007518E4">
        <w:trPr>
          <w:trHeight w:val="20"/>
        </w:trPr>
        <w:tc>
          <w:tcPr>
            <w:tcW w:w="2410" w:type="dxa"/>
            <w:shd w:val="clear" w:color="auto" w:fill="auto"/>
            <w:noWrap/>
            <w:vAlign w:val="center"/>
            <w:hideMark/>
          </w:tcPr>
          <w:p w14:paraId="6C4213B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 Leasing Fees</w:t>
            </w:r>
          </w:p>
        </w:tc>
        <w:tc>
          <w:tcPr>
            <w:tcW w:w="1026" w:type="dxa"/>
            <w:shd w:val="clear" w:color="auto" w:fill="auto"/>
            <w:noWrap/>
            <w:vAlign w:val="center"/>
            <w:hideMark/>
          </w:tcPr>
          <w:p w14:paraId="3DFBBD1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87,171</w:t>
            </w:r>
          </w:p>
        </w:tc>
        <w:tc>
          <w:tcPr>
            <w:tcW w:w="1026" w:type="dxa"/>
            <w:shd w:val="clear" w:color="auto" w:fill="auto"/>
            <w:noWrap/>
            <w:vAlign w:val="center"/>
            <w:hideMark/>
          </w:tcPr>
          <w:p w14:paraId="7D929C6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69,751</w:t>
            </w:r>
          </w:p>
        </w:tc>
        <w:tc>
          <w:tcPr>
            <w:tcW w:w="1208" w:type="dxa"/>
            <w:shd w:val="clear" w:color="auto" w:fill="auto"/>
            <w:noWrap/>
            <w:vAlign w:val="center"/>
            <w:hideMark/>
          </w:tcPr>
          <w:p w14:paraId="7C88302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(17,420)</w:t>
            </w:r>
          </w:p>
        </w:tc>
        <w:tc>
          <w:tcPr>
            <w:tcW w:w="1134" w:type="dxa"/>
            <w:shd w:val="clear" w:color="auto" w:fill="auto"/>
            <w:noWrap/>
            <w:vAlign w:val="center"/>
            <w:hideMark/>
          </w:tcPr>
          <w:p w14:paraId="0FAD373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17,420</w:t>
            </w:r>
          </w:p>
        </w:tc>
        <w:tc>
          <w:tcPr>
            <w:tcW w:w="1134" w:type="dxa"/>
            <w:shd w:val="clear" w:color="auto" w:fill="auto"/>
            <w:noWrap/>
            <w:vAlign w:val="center"/>
            <w:hideMark/>
          </w:tcPr>
          <w:p w14:paraId="032D19F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w:t>
            </w:r>
          </w:p>
        </w:tc>
      </w:tr>
      <w:tr w:rsidR="007518E4" w:rsidRPr="003E7F03" w14:paraId="29513127" w14:textId="77777777" w:rsidTr="007518E4">
        <w:trPr>
          <w:trHeight w:val="20"/>
        </w:trPr>
        <w:tc>
          <w:tcPr>
            <w:tcW w:w="2410" w:type="dxa"/>
            <w:shd w:val="clear" w:color="auto" w:fill="auto"/>
            <w:noWrap/>
            <w:vAlign w:val="center"/>
            <w:hideMark/>
          </w:tcPr>
          <w:p w14:paraId="57FF0DC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 Concessions</w:t>
            </w:r>
          </w:p>
        </w:tc>
        <w:tc>
          <w:tcPr>
            <w:tcW w:w="1026" w:type="dxa"/>
            <w:shd w:val="clear" w:color="auto" w:fill="auto"/>
            <w:noWrap/>
            <w:vAlign w:val="center"/>
            <w:hideMark/>
          </w:tcPr>
          <w:p w14:paraId="6EC008D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88,420</w:t>
            </w:r>
          </w:p>
        </w:tc>
        <w:tc>
          <w:tcPr>
            <w:tcW w:w="1026" w:type="dxa"/>
            <w:shd w:val="clear" w:color="auto" w:fill="auto"/>
            <w:noWrap/>
            <w:vAlign w:val="center"/>
            <w:hideMark/>
          </w:tcPr>
          <w:p w14:paraId="581F3A5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85,367</w:t>
            </w:r>
          </w:p>
        </w:tc>
        <w:tc>
          <w:tcPr>
            <w:tcW w:w="1208" w:type="dxa"/>
            <w:shd w:val="clear" w:color="auto" w:fill="auto"/>
            <w:noWrap/>
            <w:vAlign w:val="center"/>
            <w:hideMark/>
          </w:tcPr>
          <w:p w14:paraId="410E756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(3,052)</w:t>
            </w:r>
          </w:p>
        </w:tc>
        <w:tc>
          <w:tcPr>
            <w:tcW w:w="1134" w:type="dxa"/>
            <w:shd w:val="clear" w:color="auto" w:fill="auto"/>
            <w:noWrap/>
            <w:vAlign w:val="center"/>
            <w:hideMark/>
          </w:tcPr>
          <w:p w14:paraId="62BB8B3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3,052</w:t>
            </w:r>
          </w:p>
        </w:tc>
        <w:tc>
          <w:tcPr>
            <w:tcW w:w="1134" w:type="dxa"/>
            <w:shd w:val="clear" w:color="auto" w:fill="auto"/>
            <w:noWrap/>
            <w:vAlign w:val="center"/>
            <w:hideMark/>
          </w:tcPr>
          <w:p w14:paraId="4FD7EAA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w:t>
            </w:r>
          </w:p>
        </w:tc>
      </w:tr>
      <w:tr w:rsidR="007518E4" w:rsidRPr="003E7F03" w14:paraId="0F9E0316" w14:textId="77777777" w:rsidTr="007518E4">
        <w:trPr>
          <w:trHeight w:val="20"/>
        </w:trPr>
        <w:tc>
          <w:tcPr>
            <w:tcW w:w="2410" w:type="dxa"/>
            <w:shd w:val="clear" w:color="auto" w:fill="auto"/>
            <w:noWrap/>
            <w:vAlign w:val="center"/>
            <w:hideMark/>
          </w:tcPr>
          <w:p w14:paraId="2AD7790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 Fines</w:t>
            </w:r>
          </w:p>
        </w:tc>
        <w:tc>
          <w:tcPr>
            <w:tcW w:w="1026" w:type="dxa"/>
            <w:shd w:val="clear" w:color="auto" w:fill="auto"/>
            <w:noWrap/>
            <w:vAlign w:val="center"/>
            <w:hideMark/>
          </w:tcPr>
          <w:p w14:paraId="274A4BB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84,405</w:t>
            </w:r>
          </w:p>
        </w:tc>
        <w:tc>
          <w:tcPr>
            <w:tcW w:w="1026" w:type="dxa"/>
            <w:shd w:val="clear" w:color="auto" w:fill="auto"/>
            <w:noWrap/>
            <w:vAlign w:val="center"/>
            <w:hideMark/>
          </w:tcPr>
          <w:p w14:paraId="6848A83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188,301</w:t>
            </w:r>
          </w:p>
        </w:tc>
        <w:tc>
          <w:tcPr>
            <w:tcW w:w="1208" w:type="dxa"/>
            <w:shd w:val="clear" w:color="auto" w:fill="auto"/>
            <w:noWrap/>
            <w:vAlign w:val="center"/>
            <w:hideMark/>
          </w:tcPr>
          <w:p w14:paraId="4669366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103,897</w:t>
            </w:r>
          </w:p>
        </w:tc>
        <w:tc>
          <w:tcPr>
            <w:tcW w:w="1134" w:type="dxa"/>
            <w:shd w:val="clear" w:color="auto" w:fill="auto"/>
            <w:noWrap/>
            <w:vAlign w:val="center"/>
            <w:hideMark/>
          </w:tcPr>
          <w:p w14:paraId="4D597FC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103,897</w:t>
            </w:r>
          </w:p>
        </w:tc>
        <w:tc>
          <w:tcPr>
            <w:tcW w:w="1134" w:type="dxa"/>
            <w:shd w:val="clear" w:color="auto" w:fill="auto"/>
            <w:noWrap/>
            <w:vAlign w:val="center"/>
            <w:hideMark/>
          </w:tcPr>
          <w:p w14:paraId="7D89195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123%</w:t>
            </w:r>
          </w:p>
        </w:tc>
      </w:tr>
      <w:tr w:rsidR="007518E4" w:rsidRPr="003E7F03" w14:paraId="6BEA2215" w14:textId="77777777" w:rsidTr="007518E4">
        <w:trPr>
          <w:trHeight w:val="20"/>
        </w:trPr>
        <w:tc>
          <w:tcPr>
            <w:tcW w:w="2410" w:type="dxa"/>
            <w:shd w:val="clear" w:color="auto" w:fill="auto"/>
            <w:noWrap/>
            <w:vAlign w:val="center"/>
            <w:hideMark/>
          </w:tcPr>
          <w:p w14:paraId="3BE92CC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 Administration Fees</w:t>
            </w:r>
          </w:p>
        </w:tc>
        <w:tc>
          <w:tcPr>
            <w:tcW w:w="1026" w:type="dxa"/>
            <w:shd w:val="clear" w:color="auto" w:fill="auto"/>
            <w:noWrap/>
            <w:vAlign w:val="center"/>
            <w:hideMark/>
          </w:tcPr>
          <w:p w14:paraId="7B6864B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892,962</w:t>
            </w:r>
          </w:p>
        </w:tc>
        <w:tc>
          <w:tcPr>
            <w:tcW w:w="1026" w:type="dxa"/>
            <w:shd w:val="clear" w:color="auto" w:fill="auto"/>
            <w:noWrap/>
            <w:vAlign w:val="center"/>
            <w:hideMark/>
          </w:tcPr>
          <w:p w14:paraId="6EED0C8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854,420</w:t>
            </w:r>
          </w:p>
        </w:tc>
        <w:tc>
          <w:tcPr>
            <w:tcW w:w="1208" w:type="dxa"/>
            <w:shd w:val="clear" w:color="auto" w:fill="auto"/>
            <w:noWrap/>
            <w:vAlign w:val="center"/>
            <w:hideMark/>
          </w:tcPr>
          <w:p w14:paraId="1705C87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(38,542)</w:t>
            </w:r>
          </w:p>
        </w:tc>
        <w:tc>
          <w:tcPr>
            <w:tcW w:w="1134" w:type="dxa"/>
            <w:shd w:val="clear" w:color="auto" w:fill="auto"/>
            <w:noWrap/>
            <w:vAlign w:val="center"/>
            <w:hideMark/>
          </w:tcPr>
          <w:p w14:paraId="53E7829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38,542</w:t>
            </w:r>
          </w:p>
        </w:tc>
        <w:tc>
          <w:tcPr>
            <w:tcW w:w="1134" w:type="dxa"/>
            <w:shd w:val="clear" w:color="auto" w:fill="auto"/>
            <w:noWrap/>
            <w:vAlign w:val="center"/>
            <w:hideMark/>
          </w:tcPr>
          <w:p w14:paraId="73890DF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w:t>
            </w:r>
          </w:p>
        </w:tc>
      </w:tr>
      <w:tr w:rsidR="007518E4" w:rsidRPr="003E7F03" w14:paraId="2C0F5743" w14:textId="77777777" w:rsidTr="007518E4">
        <w:trPr>
          <w:trHeight w:val="20"/>
        </w:trPr>
        <w:tc>
          <w:tcPr>
            <w:tcW w:w="2410" w:type="dxa"/>
            <w:shd w:val="clear" w:color="auto" w:fill="auto"/>
            <w:noWrap/>
            <w:vAlign w:val="center"/>
            <w:hideMark/>
          </w:tcPr>
          <w:p w14:paraId="102A7FF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 Dividends</w:t>
            </w:r>
          </w:p>
        </w:tc>
        <w:tc>
          <w:tcPr>
            <w:tcW w:w="1026" w:type="dxa"/>
            <w:shd w:val="clear" w:color="auto" w:fill="auto"/>
            <w:noWrap/>
            <w:vAlign w:val="center"/>
            <w:hideMark/>
          </w:tcPr>
          <w:p w14:paraId="497C9FD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968,050</w:t>
            </w:r>
          </w:p>
        </w:tc>
        <w:tc>
          <w:tcPr>
            <w:tcW w:w="1026" w:type="dxa"/>
            <w:shd w:val="clear" w:color="auto" w:fill="auto"/>
            <w:noWrap/>
            <w:vAlign w:val="center"/>
            <w:hideMark/>
          </w:tcPr>
          <w:p w14:paraId="4D0DDFC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679,862</w:t>
            </w:r>
          </w:p>
        </w:tc>
        <w:tc>
          <w:tcPr>
            <w:tcW w:w="1208" w:type="dxa"/>
            <w:shd w:val="clear" w:color="auto" w:fill="auto"/>
            <w:noWrap/>
            <w:vAlign w:val="center"/>
            <w:hideMark/>
          </w:tcPr>
          <w:p w14:paraId="284E2D0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(288,188)</w:t>
            </w:r>
          </w:p>
        </w:tc>
        <w:tc>
          <w:tcPr>
            <w:tcW w:w="1134" w:type="dxa"/>
            <w:shd w:val="clear" w:color="auto" w:fill="auto"/>
            <w:noWrap/>
            <w:vAlign w:val="center"/>
            <w:hideMark/>
          </w:tcPr>
          <w:p w14:paraId="5A235D8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288,188</w:t>
            </w:r>
          </w:p>
        </w:tc>
        <w:tc>
          <w:tcPr>
            <w:tcW w:w="1134" w:type="dxa"/>
            <w:shd w:val="clear" w:color="auto" w:fill="auto"/>
            <w:noWrap/>
            <w:vAlign w:val="center"/>
            <w:hideMark/>
          </w:tcPr>
          <w:p w14:paraId="19C8166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w:t>
            </w:r>
          </w:p>
        </w:tc>
      </w:tr>
      <w:tr w:rsidR="007518E4" w:rsidRPr="003E7F03" w14:paraId="0B25B312" w14:textId="77777777" w:rsidTr="007518E4">
        <w:trPr>
          <w:trHeight w:val="20"/>
        </w:trPr>
        <w:tc>
          <w:tcPr>
            <w:tcW w:w="2410" w:type="dxa"/>
            <w:shd w:val="clear" w:color="auto" w:fill="auto"/>
            <w:noWrap/>
            <w:vAlign w:val="center"/>
            <w:hideMark/>
          </w:tcPr>
          <w:p w14:paraId="63937EE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 Interest</w:t>
            </w:r>
          </w:p>
        </w:tc>
        <w:tc>
          <w:tcPr>
            <w:tcW w:w="1026" w:type="dxa"/>
            <w:shd w:val="clear" w:color="auto" w:fill="auto"/>
            <w:noWrap/>
            <w:vAlign w:val="center"/>
            <w:hideMark/>
          </w:tcPr>
          <w:p w14:paraId="2C7759E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106,000</w:t>
            </w:r>
          </w:p>
        </w:tc>
        <w:tc>
          <w:tcPr>
            <w:tcW w:w="1026" w:type="dxa"/>
            <w:shd w:val="clear" w:color="auto" w:fill="auto"/>
            <w:noWrap/>
            <w:vAlign w:val="center"/>
            <w:hideMark/>
          </w:tcPr>
          <w:p w14:paraId="79C0B66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423,604</w:t>
            </w:r>
          </w:p>
        </w:tc>
        <w:tc>
          <w:tcPr>
            <w:tcW w:w="1208" w:type="dxa"/>
            <w:shd w:val="clear" w:color="auto" w:fill="auto"/>
            <w:noWrap/>
            <w:vAlign w:val="center"/>
            <w:hideMark/>
          </w:tcPr>
          <w:p w14:paraId="712366A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317,604</w:t>
            </w:r>
          </w:p>
        </w:tc>
        <w:tc>
          <w:tcPr>
            <w:tcW w:w="1134" w:type="dxa"/>
            <w:shd w:val="clear" w:color="auto" w:fill="auto"/>
            <w:noWrap/>
            <w:vAlign w:val="center"/>
            <w:hideMark/>
          </w:tcPr>
          <w:p w14:paraId="762747C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317,604</w:t>
            </w:r>
          </w:p>
        </w:tc>
        <w:tc>
          <w:tcPr>
            <w:tcW w:w="1134" w:type="dxa"/>
            <w:shd w:val="clear" w:color="auto" w:fill="auto"/>
            <w:noWrap/>
            <w:vAlign w:val="center"/>
            <w:hideMark/>
          </w:tcPr>
          <w:p w14:paraId="5BF96F0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300%</w:t>
            </w:r>
          </w:p>
        </w:tc>
      </w:tr>
      <w:tr w:rsidR="007518E4" w:rsidRPr="003E7F03" w14:paraId="3D6A8575" w14:textId="77777777" w:rsidTr="007518E4">
        <w:trPr>
          <w:trHeight w:val="20"/>
        </w:trPr>
        <w:tc>
          <w:tcPr>
            <w:tcW w:w="2410" w:type="dxa"/>
            <w:shd w:val="clear" w:color="auto" w:fill="auto"/>
            <w:noWrap/>
            <w:vAlign w:val="center"/>
            <w:hideMark/>
          </w:tcPr>
          <w:p w14:paraId="4053644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 Overflight Rights</w:t>
            </w:r>
          </w:p>
        </w:tc>
        <w:tc>
          <w:tcPr>
            <w:tcW w:w="1026" w:type="dxa"/>
            <w:shd w:val="clear" w:color="auto" w:fill="auto"/>
            <w:noWrap/>
            <w:vAlign w:val="center"/>
            <w:hideMark/>
          </w:tcPr>
          <w:p w14:paraId="5A39B34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535,056</w:t>
            </w:r>
          </w:p>
        </w:tc>
        <w:tc>
          <w:tcPr>
            <w:tcW w:w="1026" w:type="dxa"/>
            <w:shd w:val="clear" w:color="auto" w:fill="auto"/>
            <w:noWrap/>
            <w:vAlign w:val="center"/>
            <w:hideMark/>
          </w:tcPr>
          <w:p w14:paraId="729EB3C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586,068</w:t>
            </w:r>
          </w:p>
        </w:tc>
        <w:tc>
          <w:tcPr>
            <w:tcW w:w="1208" w:type="dxa"/>
            <w:shd w:val="clear" w:color="auto" w:fill="auto"/>
            <w:noWrap/>
            <w:vAlign w:val="center"/>
            <w:hideMark/>
          </w:tcPr>
          <w:p w14:paraId="4D64D4F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51,012</w:t>
            </w:r>
          </w:p>
        </w:tc>
        <w:tc>
          <w:tcPr>
            <w:tcW w:w="1134" w:type="dxa"/>
            <w:shd w:val="clear" w:color="auto" w:fill="auto"/>
            <w:noWrap/>
            <w:vAlign w:val="center"/>
            <w:hideMark/>
          </w:tcPr>
          <w:p w14:paraId="304A7CD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51,012</w:t>
            </w:r>
          </w:p>
        </w:tc>
        <w:tc>
          <w:tcPr>
            <w:tcW w:w="1134" w:type="dxa"/>
            <w:shd w:val="clear" w:color="auto" w:fill="auto"/>
            <w:noWrap/>
            <w:vAlign w:val="center"/>
            <w:hideMark/>
          </w:tcPr>
          <w:p w14:paraId="34A51D8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10%</w:t>
            </w:r>
          </w:p>
        </w:tc>
      </w:tr>
      <w:tr w:rsidR="007518E4" w:rsidRPr="003E7F03" w14:paraId="5771AA03" w14:textId="77777777" w:rsidTr="007518E4">
        <w:trPr>
          <w:trHeight w:val="20"/>
        </w:trPr>
        <w:tc>
          <w:tcPr>
            <w:tcW w:w="2410" w:type="dxa"/>
            <w:shd w:val="clear" w:color="auto" w:fill="auto"/>
            <w:noWrap/>
            <w:vAlign w:val="center"/>
            <w:hideMark/>
          </w:tcPr>
          <w:p w14:paraId="3A8EA2EF"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 Forest Preservation Funds</w:t>
            </w:r>
          </w:p>
        </w:tc>
        <w:tc>
          <w:tcPr>
            <w:tcW w:w="1026" w:type="dxa"/>
            <w:shd w:val="clear" w:color="auto" w:fill="auto"/>
            <w:noWrap/>
            <w:vAlign w:val="center"/>
            <w:hideMark/>
          </w:tcPr>
          <w:p w14:paraId="0D0D84F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13,800</w:t>
            </w:r>
          </w:p>
        </w:tc>
        <w:tc>
          <w:tcPr>
            <w:tcW w:w="1026" w:type="dxa"/>
            <w:shd w:val="clear" w:color="auto" w:fill="auto"/>
            <w:noWrap/>
            <w:vAlign w:val="center"/>
            <w:hideMark/>
          </w:tcPr>
          <w:p w14:paraId="5AB2BEE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6,800</w:t>
            </w:r>
          </w:p>
        </w:tc>
        <w:tc>
          <w:tcPr>
            <w:tcW w:w="1208" w:type="dxa"/>
            <w:shd w:val="clear" w:color="auto" w:fill="auto"/>
            <w:noWrap/>
            <w:vAlign w:val="center"/>
            <w:hideMark/>
          </w:tcPr>
          <w:p w14:paraId="1652DFEA"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(7,000)</w:t>
            </w:r>
          </w:p>
        </w:tc>
        <w:tc>
          <w:tcPr>
            <w:tcW w:w="1134" w:type="dxa"/>
            <w:shd w:val="clear" w:color="auto" w:fill="auto"/>
            <w:noWrap/>
            <w:vAlign w:val="center"/>
            <w:hideMark/>
          </w:tcPr>
          <w:p w14:paraId="0464E3B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7,000</w:t>
            </w:r>
          </w:p>
        </w:tc>
        <w:tc>
          <w:tcPr>
            <w:tcW w:w="1134" w:type="dxa"/>
            <w:shd w:val="clear" w:color="auto" w:fill="auto"/>
            <w:noWrap/>
            <w:vAlign w:val="center"/>
            <w:hideMark/>
          </w:tcPr>
          <w:p w14:paraId="2D8160F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w:t>
            </w:r>
          </w:p>
        </w:tc>
      </w:tr>
      <w:tr w:rsidR="007518E4" w:rsidRPr="003E7F03" w14:paraId="43C97B74" w14:textId="77777777" w:rsidTr="007518E4">
        <w:trPr>
          <w:trHeight w:val="20"/>
        </w:trPr>
        <w:tc>
          <w:tcPr>
            <w:tcW w:w="2410" w:type="dxa"/>
            <w:shd w:val="clear" w:color="auto" w:fill="auto"/>
            <w:noWrap/>
            <w:vAlign w:val="center"/>
            <w:hideMark/>
          </w:tcPr>
          <w:p w14:paraId="3E941D7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9. Other</w:t>
            </w:r>
          </w:p>
        </w:tc>
        <w:tc>
          <w:tcPr>
            <w:tcW w:w="1026" w:type="dxa"/>
            <w:shd w:val="clear" w:color="auto" w:fill="auto"/>
            <w:noWrap/>
            <w:vAlign w:val="center"/>
            <w:hideMark/>
          </w:tcPr>
          <w:p w14:paraId="533B390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19,780</w:t>
            </w:r>
          </w:p>
        </w:tc>
        <w:tc>
          <w:tcPr>
            <w:tcW w:w="1026" w:type="dxa"/>
            <w:shd w:val="clear" w:color="auto" w:fill="auto"/>
            <w:noWrap/>
            <w:vAlign w:val="center"/>
            <w:hideMark/>
          </w:tcPr>
          <w:p w14:paraId="22083A8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20,519</w:t>
            </w:r>
          </w:p>
        </w:tc>
        <w:tc>
          <w:tcPr>
            <w:tcW w:w="1208" w:type="dxa"/>
            <w:shd w:val="clear" w:color="auto" w:fill="auto"/>
            <w:noWrap/>
            <w:vAlign w:val="center"/>
            <w:hideMark/>
          </w:tcPr>
          <w:p w14:paraId="30BA3D9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739</w:t>
            </w:r>
          </w:p>
        </w:tc>
        <w:tc>
          <w:tcPr>
            <w:tcW w:w="1134" w:type="dxa"/>
            <w:shd w:val="clear" w:color="auto" w:fill="auto"/>
            <w:noWrap/>
            <w:vAlign w:val="center"/>
            <w:hideMark/>
          </w:tcPr>
          <w:p w14:paraId="73D97696"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739</w:t>
            </w:r>
          </w:p>
        </w:tc>
        <w:tc>
          <w:tcPr>
            <w:tcW w:w="1134" w:type="dxa"/>
            <w:shd w:val="clear" w:color="auto" w:fill="auto"/>
            <w:noWrap/>
            <w:vAlign w:val="center"/>
            <w:hideMark/>
          </w:tcPr>
          <w:p w14:paraId="78A74330"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4%</w:t>
            </w:r>
          </w:p>
        </w:tc>
      </w:tr>
      <w:tr w:rsidR="007518E4" w:rsidRPr="003E7F03" w14:paraId="10F0DC8D" w14:textId="77777777" w:rsidTr="007518E4">
        <w:trPr>
          <w:trHeight w:val="20"/>
        </w:trPr>
        <w:tc>
          <w:tcPr>
            <w:tcW w:w="2410" w:type="dxa"/>
            <w:shd w:val="clear" w:color="auto" w:fill="auto"/>
            <w:noWrap/>
            <w:vAlign w:val="center"/>
            <w:hideMark/>
          </w:tcPr>
          <w:p w14:paraId="2391E417"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 xml:space="preserve">Total Tax and </w:t>
            </w:r>
            <w:proofErr w:type="spellStart"/>
            <w:r w:rsidRPr="00591305">
              <w:rPr>
                <w:rFonts w:ascii="Times New Roman" w:hAnsi="Times New Roman"/>
                <w:bCs/>
                <w:sz w:val="16"/>
                <w:szCs w:val="16"/>
                <w:lang w:val="en-GB" w:eastAsia="en-GB"/>
              </w:rPr>
              <w:t>NonTax</w:t>
            </w:r>
            <w:proofErr w:type="spellEnd"/>
            <w:r w:rsidRPr="00591305">
              <w:rPr>
                <w:rFonts w:ascii="Times New Roman" w:hAnsi="Times New Roman"/>
                <w:bCs/>
                <w:sz w:val="16"/>
                <w:szCs w:val="16"/>
                <w:lang w:val="en-GB" w:eastAsia="en-GB"/>
              </w:rPr>
              <w:t xml:space="preserve"> Revenues</w:t>
            </w:r>
          </w:p>
        </w:tc>
        <w:tc>
          <w:tcPr>
            <w:tcW w:w="1026" w:type="dxa"/>
            <w:shd w:val="clear" w:color="auto" w:fill="auto"/>
            <w:noWrap/>
            <w:vAlign w:val="center"/>
            <w:hideMark/>
          </w:tcPr>
          <w:p w14:paraId="2EE7FCC1"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22,289,763</w:t>
            </w:r>
          </w:p>
        </w:tc>
        <w:tc>
          <w:tcPr>
            <w:tcW w:w="1026" w:type="dxa"/>
            <w:shd w:val="clear" w:color="auto" w:fill="auto"/>
            <w:noWrap/>
            <w:vAlign w:val="center"/>
            <w:hideMark/>
          </w:tcPr>
          <w:p w14:paraId="14D84D03"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19,396,040</w:t>
            </w:r>
          </w:p>
        </w:tc>
        <w:tc>
          <w:tcPr>
            <w:tcW w:w="1208" w:type="dxa"/>
            <w:shd w:val="clear" w:color="auto" w:fill="auto"/>
            <w:noWrap/>
            <w:vAlign w:val="center"/>
            <w:hideMark/>
          </w:tcPr>
          <w:p w14:paraId="490F17D9"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(2,893,723)</w:t>
            </w:r>
          </w:p>
        </w:tc>
        <w:tc>
          <w:tcPr>
            <w:tcW w:w="1134" w:type="dxa"/>
            <w:shd w:val="clear" w:color="auto" w:fill="auto"/>
            <w:noWrap/>
            <w:vAlign w:val="center"/>
            <w:hideMark/>
          </w:tcPr>
          <w:p w14:paraId="6312BCAB"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4,814,209</w:t>
            </w:r>
          </w:p>
        </w:tc>
        <w:tc>
          <w:tcPr>
            <w:tcW w:w="1134" w:type="dxa"/>
            <w:shd w:val="clear" w:color="auto" w:fill="auto"/>
            <w:noWrap/>
            <w:vAlign w:val="center"/>
            <w:hideMark/>
          </w:tcPr>
          <w:p w14:paraId="60DCC7FB"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22%</w:t>
            </w:r>
          </w:p>
        </w:tc>
      </w:tr>
      <w:tr w:rsidR="007518E4" w:rsidRPr="003E7F03" w14:paraId="42C13EED" w14:textId="77777777" w:rsidTr="007518E4">
        <w:trPr>
          <w:trHeight w:val="20"/>
        </w:trPr>
        <w:tc>
          <w:tcPr>
            <w:tcW w:w="2410" w:type="dxa"/>
            <w:shd w:val="clear" w:color="auto" w:fill="auto"/>
            <w:noWrap/>
            <w:vAlign w:val="center"/>
            <w:hideMark/>
          </w:tcPr>
          <w:p w14:paraId="0349C413"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Asset Sale</w:t>
            </w:r>
          </w:p>
        </w:tc>
        <w:tc>
          <w:tcPr>
            <w:tcW w:w="1026" w:type="dxa"/>
            <w:shd w:val="clear" w:color="auto" w:fill="auto"/>
            <w:noWrap/>
            <w:vAlign w:val="center"/>
            <w:hideMark/>
          </w:tcPr>
          <w:p w14:paraId="3FF3BEE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1,108,917</w:t>
            </w:r>
          </w:p>
        </w:tc>
        <w:tc>
          <w:tcPr>
            <w:tcW w:w="1026" w:type="dxa"/>
            <w:shd w:val="clear" w:color="auto" w:fill="auto"/>
            <w:noWrap/>
            <w:vAlign w:val="center"/>
            <w:hideMark/>
          </w:tcPr>
          <w:p w14:paraId="04EE9D8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223,910</w:t>
            </w:r>
          </w:p>
        </w:tc>
        <w:tc>
          <w:tcPr>
            <w:tcW w:w="1208" w:type="dxa"/>
            <w:shd w:val="clear" w:color="auto" w:fill="auto"/>
            <w:noWrap/>
            <w:vAlign w:val="center"/>
            <w:hideMark/>
          </w:tcPr>
          <w:p w14:paraId="511D073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(885,007)</w:t>
            </w:r>
          </w:p>
        </w:tc>
        <w:tc>
          <w:tcPr>
            <w:tcW w:w="1134" w:type="dxa"/>
            <w:shd w:val="clear" w:color="auto" w:fill="auto"/>
            <w:noWrap/>
            <w:vAlign w:val="center"/>
            <w:hideMark/>
          </w:tcPr>
          <w:p w14:paraId="61AAF9BC"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885,007</w:t>
            </w:r>
          </w:p>
        </w:tc>
        <w:tc>
          <w:tcPr>
            <w:tcW w:w="1134" w:type="dxa"/>
            <w:shd w:val="clear" w:color="auto" w:fill="auto"/>
            <w:noWrap/>
            <w:vAlign w:val="center"/>
            <w:hideMark/>
          </w:tcPr>
          <w:p w14:paraId="773B8DF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80%</w:t>
            </w:r>
          </w:p>
        </w:tc>
      </w:tr>
      <w:tr w:rsidR="007518E4" w:rsidRPr="003E7F03" w14:paraId="1DEBB467" w14:textId="77777777" w:rsidTr="007518E4">
        <w:trPr>
          <w:trHeight w:val="20"/>
        </w:trPr>
        <w:tc>
          <w:tcPr>
            <w:tcW w:w="2410" w:type="dxa"/>
            <w:shd w:val="clear" w:color="auto" w:fill="auto"/>
            <w:noWrap/>
            <w:vAlign w:val="center"/>
            <w:hideMark/>
          </w:tcPr>
          <w:p w14:paraId="0A97E4FD"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Capital Return</w:t>
            </w:r>
          </w:p>
        </w:tc>
        <w:tc>
          <w:tcPr>
            <w:tcW w:w="1026" w:type="dxa"/>
            <w:shd w:val="clear" w:color="auto" w:fill="auto"/>
            <w:noWrap/>
            <w:vAlign w:val="center"/>
            <w:hideMark/>
          </w:tcPr>
          <w:p w14:paraId="00387E0E"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234,100</w:t>
            </w:r>
          </w:p>
        </w:tc>
        <w:tc>
          <w:tcPr>
            <w:tcW w:w="1026" w:type="dxa"/>
            <w:shd w:val="clear" w:color="auto" w:fill="auto"/>
            <w:noWrap/>
            <w:vAlign w:val="center"/>
            <w:hideMark/>
          </w:tcPr>
          <w:p w14:paraId="12487EC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747,098</w:t>
            </w:r>
          </w:p>
        </w:tc>
        <w:tc>
          <w:tcPr>
            <w:tcW w:w="1208" w:type="dxa"/>
            <w:shd w:val="clear" w:color="auto" w:fill="auto"/>
            <w:noWrap/>
            <w:vAlign w:val="center"/>
            <w:hideMark/>
          </w:tcPr>
          <w:p w14:paraId="02349222"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512,998</w:t>
            </w:r>
          </w:p>
        </w:tc>
        <w:tc>
          <w:tcPr>
            <w:tcW w:w="1134" w:type="dxa"/>
            <w:shd w:val="clear" w:color="auto" w:fill="auto"/>
            <w:noWrap/>
            <w:vAlign w:val="center"/>
            <w:hideMark/>
          </w:tcPr>
          <w:p w14:paraId="35D6CB2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512,998</w:t>
            </w:r>
          </w:p>
        </w:tc>
        <w:tc>
          <w:tcPr>
            <w:tcW w:w="1134" w:type="dxa"/>
            <w:shd w:val="clear" w:color="auto" w:fill="auto"/>
            <w:noWrap/>
            <w:vAlign w:val="center"/>
            <w:hideMark/>
          </w:tcPr>
          <w:p w14:paraId="0C3D1217"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219%</w:t>
            </w:r>
          </w:p>
        </w:tc>
      </w:tr>
      <w:tr w:rsidR="007518E4" w:rsidRPr="003E7F03" w14:paraId="04528822" w14:textId="77777777" w:rsidTr="007518E4">
        <w:trPr>
          <w:trHeight w:val="20"/>
        </w:trPr>
        <w:tc>
          <w:tcPr>
            <w:tcW w:w="2410" w:type="dxa"/>
            <w:shd w:val="clear" w:color="auto" w:fill="auto"/>
            <w:noWrap/>
            <w:vAlign w:val="center"/>
            <w:hideMark/>
          </w:tcPr>
          <w:p w14:paraId="7674A829"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Pump Amortization</w:t>
            </w:r>
          </w:p>
        </w:tc>
        <w:tc>
          <w:tcPr>
            <w:tcW w:w="1026" w:type="dxa"/>
            <w:shd w:val="clear" w:color="auto" w:fill="auto"/>
            <w:noWrap/>
            <w:vAlign w:val="center"/>
            <w:hideMark/>
          </w:tcPr>
          <w:p w14:paraId="74641771"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026" w:type="dxa"/>
            <w:shd w:val="clear" w:color="auto" w:fill="auto"/>
            <w:noWrap/>
            <w:vAlign w:val="center"/>
            <w:hideMark/>
          </w:tcPr>
          <w:p w14:paraId="3EE42F48"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208" w:type="dxa"/>
            <w:shd w:val="clear" w:color="auto" w:fill="auto"/>
            <w:noWrap/>
            <w:vAlign w:val="center"/>
            <w:hideMark/>
          </w:tcPr>
          <w:p w14:paraId="52F69FEB"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134" w:type="dxa"/>
            <w:shd w:val="clear" w:color="auto" w:fill="auto"/>
            <w:noWrap/>
            <w:vAlign w:val="center"/>
            <w:hideMark/>
          </w:tcPr>
          <w:p w14:paraId="5A61CE24" w14:textId="77777777" w:rsidR="007518E4" w:rsidRPr="00591305" w:rsidRDefault="007518E4" w:rsidP="00E12685">
            <w:pPr>
              <w:spacing w:before="0"/>
              <w:ind w:left="0"/>
              <w:jc w:val="left"/>
              <w:rPr>
                <w:rFonts w:ascii="Times New Roman" w:hAnsi="Times New Roman"/>
                <w:sz w:val="16"/>
                <w:szCs w:val="16"/>
                <w:lang w:val="en-GB" w:eastAsia="en-GB"/>
              </w:rPr>
            </w:pPr>
            <w:r w:rsidRPr="00591305">
              <w:rPr>
                <w:rFonts w:ascii="Times New Roman" w:hAnsi="Times New Roman"/>
                <w:sz w:val="16"/>
                <w:szCs w:val="16"/>
                <w:lang w:val="en-GB" w:eastAsia="en-GB"/>
              </w:rPr>
              <w:t>-</w:t>
            </w:r>
          </w:p>
        </w:tc>
        <w:tc>
          <w:tcPr>
            <w:tcW w:w="1134" w:type="dxa"/>
            <w:shd w:val="clear" w:color="auto" w:fill="auto"/>
            <w:noWrap/>
            <w:vAlign w:val="center"/>
            <w:hideMark/>
          </w:tcPr>
          <w:p w14:paraId="752E17C3" w14:textId="77777777" w:rsidR="007518E4" w:rsidRPr="00591305" w:rsidRDefault="007518E4" w:rsidP="00E12685">
            <w:pPr>
              <w:spacing w:before="0"/>
              <w:ind w:left="0"/>
              <w:jc w:val="left"/>
              <w:rPr>
                <w:rFonts w:ascii="Times New Roman" w:hAnsi="Times New Roman"/>
                <w:sz w:val="16"/>
                <w:szCs w:val="16"/>
                <w:lang w:val="en-GB" w:eastAsia="en-GB"/>
              </w:rPr>
            </w:pPr>
          </w:p>
        </w:tc>
      </w:tr>
      <w:tr w:rsidR="007518E4" w:rsidRPr="003E7F03" w14:paraId="43F7D30E" w14:textId="77777777" w:rsidTr="007518E4">
        <w:trPr>
          <w:trHeight w:val="20"/>
        </w:trPr>
        <w:tc>
          <w:tcPr>
            <w:tcW w:w="2410" w:type="dxa"/>
            <w:tcBorders>
              <w:bottom w:val="single" w:sz="4" w:space="0" w:color="auto"/>
            </w:tcBorders>
            <w:shd w:val="clear" w:color="auto" w:fill="auto"/>
            <w:vAlign w:val="center"/>
            <w:hideMark/>
          </w:tcPr>
          <w:p w14:paraId="6D3D303A"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 xml:space="preserve">Total Revenue with Assets </w:t>
            </w:r>
            <w:proofErr w:type="spellStart"/>
            <w:r w:rsidRPr="00591305">
              <w:rPr>
                <w:rFonts w:ascii="Times New Roman" w:hAnsi="Times New Roman"/>
                <w:bCs/>
                <w:sz w:val="16"/>
                <w:szCs w:val="16"/>
                <w:lang w:val="en-GB" w:eastAsia="en-GB"/>
              </w:rPr>
              <w:t>sale+Capital</w:t>
            </w:r>
            <w:proofErr w:type="spellEnd"/>
            <w:r w:rsidRPr="00591305">
              <w:rPr>
                <w:rFonts w:ascii="Times New Roman" w:hAnsi="Times New Roman"/>
                <w:bCs/>
                <w:sz w:val="16"/>
                <w:szCs w:val="16"/>
                <w:lang w:val="en-GB" w:eastAsia="en-GB"/>
              </w:rPr>
              <w:t xml:space="preserve"> Return</w:t>
            </w:r>
          </w:p>
        </w:tc>
        <w:tc>
          <w:tcPr>
            <w:tcW w:w="1026" w:type="dxa"/>
            <w:tcBorders>
              <w:bottom w:val="single" w:sz="4" w:space="0" w:color="auto"/>
            </w:tcBorders>
            <w:shd w:val="clear" w:color="auto" w:fill="auto"/>
            <w:vAlign w:val="center"/>
            <w:hideMark/>
          </w:tcPr>
          <w:p w14:paraId="5F7023E5"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23,632,780</w:t>
            </w:r>
          </w:p>
        </w:tc>
        <w:tc>
          <w:tcPr>
            <w:tcW w:w="1026" w:type="dxa"/>
            <w:tcBorders>
              <w:bottom w:val="single" w:sz="4" w:space="0" w:color="auto"/>
            </w:tcBorders>
            <w:shd w:val="clear" w:color="auto" w:fill="auto"/>
            <w:vAlign w:val="center"/>
            <w:hideMark/>
          </w:tcPr>
          <w:p w14:paraId="6C1DE7B9"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20,367,047</w:t>
            </w:r>
          </w:p>
        </w:tc>
        <w:tc>
          <w:tcPr>
            <w:tcW w:w="1208" w:type="dxa"/>
            <w:tcBorders>
              <w:bottom w:val="single" w:sz="4" w:space="0" w:color="auto"/>
            </w:tcBorders>
            <w:shd w:val="clear" w:color="auto" w:fill="auto"/>
            <w:vAlign w:val="center"/>
            <w:hideMark/>
          </w:tcPr>
          <w:p w14:paraId="524F94C0"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(3,265,733)</w:t>
            </w:r>
          </w:p>
        </w:tc>
        <w:tc>
          <w:tcPr>
            <w:tcW w:w="1134" w:type="dxa"/>
            <w:tcBorders>
              <w:bottom w:val="single" w:sz="4" w:space="0" w:color="auto"/>
            </w:tcBorders>
            <w:shd w:val="clear" w:color="auto" w:fill="auto"/>
            <w:vAlign w:val="center"/>
            <w:hideMark/>
          </w:tcPr>
          <w:p w14:paraId="520A5CFF"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6,212,214</w:t>
            </w:r>
          </w:p>
        </w:tc>
        <w:tc>
          <w:tcPr>
            <w:tcW w:w="1134" w:type="dxa"/>
            <w:tcBorders>
              <w:bottom w:val="single" w:sz="4" w:space="0" w:color="auto"/>
            </w:tcBorders>
            <w:shd w:val="clear" w:color="auto" w:fill="auto"/>
            <w:vAlign w:val="center"/>
            <w:hideMark/>
          </w:tcPr>
          <w:p w14:paraId="729E74E8" w14:textId="77777777" w:rsidR="007518E4" w:rsidRPr="00591305" w:rsidRDefault="007518E4" w:rsidP="00E12685">
            <w:pPr>
              <w:spacing w:before="0"/>
              <w:ind w:left="0"/>
              <w:jc w:val="left"/>
              <w:rPr>
                <w:rFonts w:ascii="Times New Roman" w:hAnsi="Times New Roman"/>
                <w:bCs/>
                <w:sz w:val="16"/>
                <w:szCs w:val="16"/>
                <w:lang w:val="en-GB" w:eastAsia="en-GB"/>
              </w:rPr>
            </w:pPr>
            <w:r w:rsidRPr="00591305">
              <w:rPr>
                <w:rFonts w:ascii="Times New Roman" w:hAnsi="Times New Roman"/>
                <w:bCs/>
                <w:sz w:val="16"/>
                <w:szCs w:val="16"/>
                <w:lang w:val="en-GB" w:eastAsia="en-GB"/>
              </w:rPr>
              <w:t>26.3%</w:t>
            </w:r>
          </w:p>
        </w:tc>
      </w:tr>
      <w:tr w:rsidR="007518E4" w14:paraId="67FA355F" w14:textId="77777777" w:rsidTr="007518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9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893C9" w14:textId="77777777" w:rsidR="007518E4" w:rsidRPr="00DD5AF3" w:rsidRDefault="007518E4" w:rsidP="00E12685">
            <w:pPr>
              <w:spacing w:before="0"/>
              <w:ind w:left="0"/>
              <w:jc w:val="left"/>
              <w:rPr>
                <w:rFonts w:ascii="Times New Roman" w:hAnsi="Times New Roman"/>
                <w:bCs/>
                <w:sz w:val="16"/>
                <w:szCs w:val="16"/>
              </w:rPr>
            </w:pPr>
            <w:r w:rsidRPr="00DD5AF3">
              <w:rPr>
                <w:rFonts w:ascii="Times New Roman" w:hAnsi="Times New Roman"/>
                <w:bCs/>
                <w:sz w:val="16"/>
                <w:szCs w:val="16"/>
              </w:rPr>
              <w:t>86.2%</w:t>
            </w:r>
            <w:r>
              <w:rPr>
                <w:rFonts w:ascii="Times New Roman" w:hAnsi="Times New Roman"/>
                <w:bCs/>
                <w:sz w:val="16"/>
                <w:szCs w:val="16"/>
              </w:rPr>
              <w:t xml:space="preserve"> </w:t>
            </w:r>
            <w:r w:rsidRPr="00DD5AF3">
              <w:rPr>
                <w:rFonts w:ascii="Times New Roman" w:hAnsi="Times New Roman"/>
                <w:bCs/>
                <w:sz w:val="16"/>
                <w:szCs w:val="16"/>
              </w:rPr>
              <w:t>of budgeted revenue</w:t>
            </w:r>
          </w:p>
        </w:tc>
      </w:tr>
    </w:tbl>
    <w:p w14:paraId="04DE75ED" w14:textId="77777777" w:rsidR="000310F5" w:rsidRDefault="000310F5" w:rsidP="00E12685">
      <w:pPr>
        <w:spacing w:before="0"/>
        <w:ind w:left="0"/>
        <w:jc w:val="left"/>
        <w:rPr>
          <w:rFonts w:ascii="Times New Roman" w:hAnsi="Times New Roman"/>
          <w:b/>
          <w:spacing w:val="-1"/>
          <w:sz w:val="18"/>
          <w:szCs w:val="18"/>
        </w:rPr>
      </w:pPr>
    </w:p>
    <w:p w14:paraId="655EB49A" w14:textId="77777777" w:rsidR="000310F5" w:rsidRDefault="000310F5">
      <w:pPr>
        <w:spacing w:after="240" w:line="276" w:lineRule="auto"/>
        <w:rPr>
          <w:rFonts w:ascii="Times New Roman" w:hAnsi="Times New Roman"/>
          <w:b/>
          <w:spacing w:val="-1"/>
          <w:sz w:val="18"/>
          <w:szCs w:val="18"/>
        </w:rPr>
      </w:pPr>
      <w:r>
        <w:rPr>
          <w:rFonts w:ascii="Times New Roman" w:hAnsi="Times New Roman"/>
          <w:b/>
          <w:spacing w:val="-1"/>
          <w:sz w:val="18"/>
          <w:szCs w:val="18"/>
        </w:rPr>
        <w:br w:type="page"/>
      </w:r>
    </w:p>
    <w:p w14:paraId="7D4357ED" w14:textId="77777777" w:rsidR="007518E4" w:rsidRPr="0031172C" w:rsidRDefault="007518E4" w:rsidP="00E12685">
      <w:pPr>
        <w:spacing w:before="0"/>
        <w:ind w:left="0"/>
        <w:jc w:val="left"/>
        <w:rPr>
          <w:rFonts w:ascii="Times New Roman" w:hAnsi="Times New Roman"/>
          <w:b/>
          <w:spacing w:val="-1"/>
          <w:sz w:val="18"/>
          <w:szCs w:val="18"/>
        </w:rPr>
      </w:pPr>
    </w:p>
    <w:tbl>
      <w:tblPr>
        <w:tblW w:w="0" w:type="auto"/>
        <w:tblLayout w:type="fixed"/>
        <w:tblCellMar>
          <w:left w:w="70" w:type="dxa"/>
          <w:right w:w="70" w:type="dxa"/>
        </w:tblCellMar>
        <w:tblLook w:val="04A0" w:firstRow="1" w:lastRow="0" w:firstColumn="1" w:lastColumn="0" w:noHBand="0" w:noVBand="1"/>
      </w:tblPr>
      <w:tblGrid>
        <w:gridCol w:w="3360"/>
        <w:gridCol w:w="1162"/>
        <w:gridCol w:w="927"/>
        <w:gridCol w:w="771"/>
        <w:gridCol w:w="938"/>
        <w:gridCol w:w="1134"/>
      </w:tblGrid>
      <w:tr w:rsidR="009457F5" w:rsidRPr="009457F5" w14:paraId="279613BA" w14:textId="77777777" w:rsidTr="00F61CF0">
        <w:trPr>
          <w:trHeight w:val="20"/>
        </w:trPr>
        <w:tc>
          <w:tcPr>
            <w:tcW w:w="82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1317" w14:textId="77777777" w:rsidR="009457F5" w:rsidRPr="009457F5" w:rsidRDefault="000310F5" w:rsidP="009457F5">
            <w:pPr>
              <w:spacing w:before="0"/>
              <w:ind w:left="0"/>
              <w:jc w:val="left"/>
              <w:rPr>
                <w:rFonts w:ascii="Times New Roman" w:hAnsi="Times New Roman"/>
                <w:b/>
                <w:bCs/>
                <w:color w:val="000000"/>
                <w:sz w:val="16"/>
                <w:szCs w:val="16"/>
                <w:lang w:val="en-MY" w:eastAsia="fr-FR"/>
              </w:rPr>
            </w:pPr>
            <w:r>
              <w:rPr>
                <w:rFonts w:ascii="Times New Roman" w:hAnsi="Times New Roman"/>
                <w:b/>
                <w:bCs/>
                <w:color w:val="000000"/>
                <w:sz w:val="16"/>
                <w:szCs w:val="16"/>
                <w:lang w:val="en-GB" w:eastAsia="fr-FR"/>
              </w:rPr>
              <w:t>Table 10</w:t>
            </w:r>
            <w:r w:rsidR="009457F5" w:rsidRPr="009457F5">
              <w:rPr>
                <w:rFonts w:ascii="Times New Roman" w:hAnsi="Times New Roman"/>
                <w:b/>
                <w:bCs/>
                <w:color w:val="000000"/>
                <w:sz w:val="16"/>
                <w:szCs w:val="16"/>
                <w:lang w:val="en-GB" w:eastAsia="fr-FR"/>
              </w:rPr>
              <w:t xml:space="preserve"> Lao PDR: Government </w:t>
            </w:r>
            <w:proofErr w:type="gramStart"/>
            <w:r w:rsidR="009457F5" w:rsidRPr="009457F5">
              <w:rPr>
                <w:rFonts w:ascii="Times New Roman" w:hAnsi="Times New Roman"/>
                <w:b/>
                <w:bCs/>
                <w:color w:val="000000"/>
                <w:sz w:val="16"/>
                <w:szCs w:val="16"/>
                <w:lang w:val="en-GB" w:eastAsia="fr-FR"/>
              </w:rPr>
              <w:t>Revenue  2017</w:t>
            </w:r>
            <w:proofErr w:type="gramEnd"/>
            <w:r w:rsidR="009457F5" w:rsidRPr="009457F5">
              <w:rPr>
                <w:rFonts w:ascii="Times New Roman" w:hAnsi="Times New Roman"/>
                <w:b/>
                <w:bCs/>
                <w:color w:val="000000"/>
                <w:sz w:val="16"/>
                <w:szCs w:val="16"/>
                <w:lang w:val="en-GB" w:eastAsia="fr-FR"/>
              </w:rPr>
              <w:t xml:space="preserve"> million kip</w:t>
            </w:r>
          </w:p>
        </w:tc>
      </w:tr>
      <w:tr w:rsidR="009457F5" w:rsidRPr="009457F5" w14:paraId="68571ACD"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37F8D27" w14:textId="77777777" w:rsidR="009457F5" w:rsidRPr="009457F5" w:rsidRDefault="009457F5" w:rsidP="009457F5">
            <w:pPr>
              <w:spacing w:before="0"/>
              <w:ind w:left="0"/>
              <w:jc w:val="left"/>
              <w:rPr>
                <w:rFonts w:ascii="Times New Roman" w:hAnsi="Times New Roman"/>
                <w:color w:val="000000"/>
                <w:sz w:val="16"/>
                <w:szCs w:val="16"/>
                <w:lang w:val="en-MY" w:eastAsia="fr-FR"/>
              </w:rPr>
            </w:pPr>
            <w:r w:rsidRPr="009457F5">
              <w:rPr>
                <w:rFonts w:ascii="Times New Roman" w:hAnsi="Times New Roman"/>
                <w:color w:val="000000"/>
                <w:sz w:val="16"/>
                <w:szCs w:val="16"/>
                <w:lang w:val="en-GB" w:eastAsia="fr-FR"/>
              </w:rPr>
              <w:t>Revenue type and collecting agency</w:t>
            </w:r>
          </w:p>
        </w:tc>
        <w:tc>
          <w:tcPr>
            <w:tcW w:w="1162" w:type="dxa"/>
            <w:tcBorders>
              <w:top w:val="nil"/>
              <w:left w:val="nil"/>
              <w:bottom w:val="single" w:sz="4" w:space="0" w:color="auto"/>
              <w:right w:val="single" w:sz="4" w:space="0" w:color="auto"/>
            </w:tcBorders>
            <w:shd w:val="clear" w:color="auto" w:fill="auto"/>
            <w:vAlign w:val="center"/>
            <w:hideMark/>
          </w:tcPr>
          <w:p w14:paraId="0F56EF0E" w14:textId="77777777" w:rsidR="009457F5" w:rsidRPr="009457F5" w:rsidRDefault="009457F5" w:rsidP="009457F5">
            <w:pPr>
              <w:spacing w:before="0"/>
              <w:ind w:left="0"/>
              <w:jc w:val="center"/>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Total Plan 2017</w:t>
            </w:r>
          </w:p>
        </w:tc>
        <w:tc>
          <w:tcPr>
            <w:tcW w:w="927" w:type="dxa"/>
            <w:tcBorders>
              <w:top w:val="nil"/>
              <w:left w:val="nil"/>
              <w:bottom w:val="single" w:sz="4" w:space="0" w:color="auto"/>
              <w:right w:val="single" w:sz="4" w:space="0" w:color="auto"/>
            </w:tcBorders>
            <w:shd w:val="clear" w:color="auto" w:fill="auto"/>
            <w:vAlign w:val="center"/>
            <w:hideMark/>
          </w:tcPr>
          <w:p w14:paraId="151DB66B" w14:textId="77777777" w:rsidR="009457F5" w:rsidRPr="009457F5" w:rsidRDefault="009457F5" w:rsidP="009457F5">
            <w:pPr>
              <w:spacing w:before="0"/>
              <w:ind w:left="0"/>
              <w:jc w:val="center"/>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Actual 2017</w:t>
            </w:r>
          </w:p>
        </w:tc>
        <w:tc>
          <w:tcPr>
            <w:tcW w:w="771" w:type="dxa"/>
            <w:tcBorders>
              <w:top w:val="nil"/>
              <w:left w:val="nil"/>
              <w:bottom w:val="single" w:sz="4" w:space="0" w:color="auto"/>
              <w:right w:val="single" w:sz="4" w:space="0" w:color="auto"/>
            </w:tcBorders>
            <w:shd w:val="clear" w:color="auto" w:fill="auto"/>
            <w:vAlign w:val="center"/>
            <w:hideMark/>
          </w:tcPr>
          <w:p w14:paraId="2FEBE18B" w14:textId="77777777" w:rsidR="009457F5" w:rsidRPr="009457F5" w:rsidRDefault="009457F5" w:rsidP="009457F5">
            <w:pPr>
              <w:spacing w:before="0"/>
              <w:ind w:left="0"/>
              <w:jc w:val="center"/>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Deviation</w:t>
            </w:r>
          </w:p>
        </w:tc>
        <w:tc>
          <w:tcPr>
            <w:tcW w:w="938" w:type="dxa"/>
            <w:tcBorders>
              <w:top w:val="nil"/>
              <w:left w:val="nil"/>
              <w:bottom w:val="single" w:sz="4" w:space="0" w:color="auto"/>
              <w:right w:val="single" w:sz="4" w:space="0" w:color="auto"/>
            </w:tcBorders>
            <w:shd w:val="clear" w:color="auto" w:fill="auto"/>
            <w:vAlign w:val="center"/>
            <w:hideMark/>
          </w:tcPr>
          <w:p w14:paraId="07384D98" w14:textId="77777777" w:rsidR="009457F5" w:rsidRPr="009457F5" w:rsidRDefault="009457F5" w:rsidP="009457F5">
            <w:pPr>
              <w:spacing w:before="0"/>
              <w:ind w:left="0"/>
              <w:jc w:val="center"/>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Absolute Deviation</w:t>
            </w:r>
          </w:p>
        </w:tc>
        <w:tc>
          <w:tcPr>
            <w:tcW w:w="1134" w:type="dxa"/>
            <w:tcBorders>
              <w:top w:val="nil"/>
              <w:left w:val="nil"/>
              <w:bottom w:val="single" w:sz="4" w:space="0" w:color="auto"/>
              <w:right w:val="single" w:sz="4" w:space="0" w:color="auto"/>
            </w:tcBorders>
            <w:shd w:val="clear" w:color="auto" w:fill="auto"/>
            <w:vAlign w:val="center"/>
            <w:hideMark/>
          </w:tcPr>
          <w:p w14:paraId="16056742" w14:textId="77777777" w:rsidR="009457F5" w:rsidRPr="009457F5" w:rsidRDefault="009457F5" w:rsidP="009457F5">
            <w:pPr>
              <w:spacing w:before="0"/>
              <w:ind w:left="0"/>
              <w:jc w:val="center"/>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Absolute Deviation %</w:t>
            </w:r>
          </w:p>
        </w:tc>
      </w:tr>
      <w:tr w:rsidR="009457F5" w:rsidRPr="009457F5" w14:paraId="458A3773"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70AC23C7" w14:textId="77777777" w:rsidR="009457F5" w:rsidRPr="009457F5" w:rsidRDefault="009457F5" w:rsidP="009457F5">
            <w:pPr>
              <w:spacing w:before="0"/>
              <w:ind w:left="0"/>
              <w:jc w:val="lef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Tax Revenue</w:t>
            </w:r>
          </w:p>
        </w:tc>
        <w:tc>
          <w:tcPr>
            <w:tcW w:w="1162" w:type="dxa"/>
            <w:tcBorders>
              <w:top w:val="nil"/>
              <w:left w:val="nil"/>
              <w:bottom w:val="single" w:sz="4" w:space="0" w:color="auto"/>
              <w:right w:val="single" w:sz="4" w:space="0" w:color="auto"/>
            </w:tcBorders>
            <w:shd w:val="clear" w:color="auto" w:fill="auto"/>
            <w:noWrap/>
            <w:vAlign w:val="bottom"/>
            <w:hideMark/>
          </w:tcPr>
          <w:p w14:paraId="16E58C6C"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fr-FR" w:eastAsia="fr-FR"/>
              </w:rPr>
              <w:t>17,605,140</w:t>
            </w:r>
          </w:p>
        </w:tc>
        <w:tc>
          <w:tcPr>
            <w:tcW w:w="927" w:type="dxa"/>
            <w:tcBorders>
              <w:top w:val="nil"/>
              <w:left w:val="nil"/>
              <w:bottom w:val="single" w:sz="4" w:space="0" w:color="auto"/>
              <w:right w:val="single" w:sz="4" w:space="0" w:color="auto"/>
            </w:tcBorders>
            <w:shd w:val="clear" w:color="auto" w:fill="auto"/>
            <w:noWrap/>
            <w:vAlign w:val="bottom"/>
            <w:hideMark/>
          </w:tcPr>
          <w:p w14:paraId="7F48B9E9"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fr-FR" w:eastAsia="fr-FR"/>
              </w:rPr>
              <w:t>16,918,437</w:t>
            </w:r>
          </w:p>
        </w:tc>
        <w:tc>
          <w:tcPr>
            <w:tcW w:w="771" w:type="dxa"/>
            <w:tcBorders>
              <w:top w:val="nil"/>
              <w:left w:val="nil"/>
              <w:bottom w:val="single" w:sz="4" w:space="0" w:color="auto"/>
              <w:right w:val="single" w:sz="4" w:space="0" w:color="auto"/>
            </w:tcBorders>
            <w:shd w:val="clear" w:color="auto" w:fill="auto"/>
            <w:noWrap/>
            <w:vAlign w:val="center"/>
            <w:hideMark/>
          </w:tcPr>
          <w:p w14:paraId="24112611"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-686,702</w:t>
            </w:r>
          </w:p>
        </w:tc>
        <w:tc>
          <w:tcPr>
            <w:tcW w:w="938" w:type="dxa"/>
            <w:tcBorders>
              <w:top w:val="nil"/>
              <w:left w:val="nil"/>
              <w:bottom w:val="single" w:sz="4" w:space="0" w:color="auto"/>
              <w:right w:val="single" w:sz="4" w:space="0" w:color="auto"/>
            </w:tcBorders>
            <w:shd w:val="clear" w:color="auto" w:fill="auto"/>
            <w:noWrap/>
            <w:vAlign w:val="center"/>
            <w:hideMark/>
          </w:tcPr>
          <w:p w14:paraId="40EE2EEC"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2,679,823</w:t>
            </w:r>
          </w:p>
        </w:tc>
        <w:tc>
          <w:tcPr>
            <w:tcW w:w="1134" w:type="dxa"/>
            <w:tcBorders>
              <w:top w:val="nil"/>
              <w:left w:val="nil"/>
              <w:bottom w:val="single" w:sz="4" w:space="0" w:color="auto"/>
              <w:right w:val="single" w:sz="4" w:space="0" w:color="auto"/>
            </w:tcBorders>
            <w:shd w:val="clear" w:color="auto" w:fill="auto"/>
            <w:noWrap/>
            <w:vAlign w:val="center"/>
            <w:hideMark/>
          </w:tcPr>
          <w:p w14:paraId="0C8AD7EC"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15%</w:t>
            </w:r>
          </w:p>
        </w:tc>
      </w:tr>
      <w:tr w:rsidR="009457F5" w:rsidRPr="009457F5" w14:paraId="6E19CA4C"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27E11E3"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 Profit Tax</w:t>
            </w:r>
          </w:p>
        </w:tc>
        <w:tc>
          <w:tcPr>
            <w:tcW w:w="1162" w:type="dxa"/>
            <w:tcBorders>
              <w:top w:val="nil"/>
              <w:left w:val="nil"/>
              <w:bottom w:val="single" w:sz="4" w:space="0" w:color="auto"/>
              <w:right w:val="single" w:sz="4" w:space="0" w:color="auto"/>
            </w:tcBorders>
            <w:shd w:val="clear" w:color="auto" w:fill="auto"/>
            <w:noWrap/>
            <w:vAlign w:val="bottom"/>
            <w:hideMark/>
          </w:tcPr>
          <w:p w14:paraId="19812CE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2,000,893</w:t>
            </w:r>
          </w:p>
        </w:tc>
        <w:tc>
          <w:tcPr>
            <w:tcW w:w="927" w:type="dxa"/>
            <w:tcBorders>
              <w:top w:val="nil"/>
              <w:left w:val="nil"/>
              <w:bottom w:val="single" w:sz="4" w:space="0" w:color="auto"/>
              <w:right w:val="single" w:sz="4" w:space="0" w:color="auto"/>
            </w:tcBorders>
            <w:shd w:val="clear" w:color="auto" w:fill="auto"/>
            <w:noWrap/>
            <w:vAlign w:val="bottom"/>
            <w:hideMark/>
          </w:tcPr>
          <w:p w14:paraId="0BA3471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1,979,660</w:t>
            </w:r>
          </w:p>
        </w:tc>
        <w:tc>
          <w:tcPr>
            <w:tcW w:w="771" w:type="dxa"/>
            <w:tcBorders>
              <w:top w:val="nil"/>
              <w:left w:val="nil"/>
              <w:bottom w:val="single" w:sz="4" w:space="0" w:color="auto"/>
              <w:right w:val="single" w:sz="4" w:space="0" w:color="auto"/>
            </w:tcBorders>
            <w:shd w:val="clear" w:color="auto" w:fill="auto"/>
            <w:noWrap/>
            <w:vAlign w:val="center"/>
            <w:hideMark/>
          </w:tcPr>
          <w:p w14:paraId="11EA522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-21,233</w:t>
            </w:r>
          </w:p>
        </w:tc>
        <w:tc>
          <w:tcPr>
            <w:tcW w:w="938" w:type="dxa"/>
            <w:tcBorders>
              <w:top w:val="nil"/>
              <w:left w:val="nil"/>
              <w:bottom w:val="single" w:sz="4" w:space="0" w:color="auto"/>
              <w:right w:val="single" w:sz="4" w:space="0" w:color="auto"/>
            </w:tcBorders>
            <w:shd w:val="clear" w:color="auto" w:fill="auto"/>
            <w:noWrap/>
            <w:vAlign w:val="center"/>
            <w:hideMark/>
          </w:tcPr>
          <w:p w14:paraId="655DBEF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21,233</w:t>
            </w:r>
          </w:p>
        </w:tc>
        <w:tc>
          <w:tcPr>
            <w:tcW w:w="1134" w:type="dxa"/>
            <w:tcBorders>
              <w:top w:val="nil"/>
              <w:left w:val="nil"/>
              <w:bottom w:val="single" w:sz="4" w:space="0" w:color="auto"/>
              <w:right w:val="single" w:sz="4" w:space="0" w:color="auto"/>
            </w:tcBorders>
            <w:shd w:val="clear" w:color="auto" w:fill="auto"/>
            <w:noWrap/>
            <w:vAlign w:val="center"/>
            <w:hideMark/>
          </w:tcPr>
          <w:p w14:paraId="5873D0B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w:t>
            </w:r>
          </w:p>
        </w:tc>
      </w:tr>
      <w:tr w:rsidR="009457F5" w:rsidRPr="009457F5" w14:paraId="7646F877"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E72C80F"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  Income Tax</w:t>
            </w:r>
          </w:p>
        </w:tc>
        <w:tc>
          <w:tcPr>
            <w:tcW w:w="1162" w:type="dxa"/>
            <w:tcBorders>
              <w:top w:val="nil"/>
              <w:left w:val="nil"/>
              <w:bottom w:val="single" w:sz="4" w:space="0" w:color="auto"/>
              <w:right w:val="single" w:sz="4" w:space="0" w:color="auto"/>
            </w:tcBorders>
            <w:shd w:val="clear" w:color="auto" w:fill="auto"/>
            <w:noWrap/>
            <w:vAlign w:val="bottom"/>
            <w:hideMark/>
          </w:tcPr>
          <w:p w14:paraId="4471CA6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1,296,000</w:t>
            </w:r>
          </w:p>
        </w:tc>
        <w:tc>
          <w:tcPr>
            <w:tcW w:w="927" w:type="dxa"/>
            <w:tcBorders>
              <w:top w:val="nil"/>
              <w:left w:val="nil"/>
              <w:bottom w:val="single" w:sz="4" w:space="0" w:color="auto"/>
              <w:right w:val="single" w:sz="4" w:space="0" w:color="auto"/>
            </w:tcBorders>
            <w:shd w:val="clear" w:color="auto" w:fill="auto"/>
            <w:noWrap/>
            <w:vAlign w:val="bottom"/>
            <w:hideMark/>
          </w:tcPr>
          <w:p w14:paraId="5C6FB5D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1,602,583</w:t>
            </w:r>
          </w:p>
        </w:tc>
        <w:tc>
          <w:tcPr>
            <w:tcW w:w="771" w:type="dxa"/>
            <w:tcBorders>
              <w:top w:val="nil"/>
              <w:left w:val="nil"/>
              <w:bottom w:val="single" w:sz="4" w:space="0" w:color="auto"/>
              <w:right w:val="single" w:sz="4" w:space="0" w:color="auto"/>
            </w:tcBorders>
            <w:shd w:val="clear" w:color="auto" w:fill="auto"/>
            <w:noWrap/>
            <w:vAlign w:val="center"/>
            <w:hideMark/>
          </w:tcPr>
          <w:p w14:paraId="44A0488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306,583</w:t>
            </w:r>
          </w:p>
        </w:tc>
        <w:tc>
          <w:tcPr>
            <w:tcW w:w="938" w:type="dxa"/>
            <w:tcBorders>
              <w:top w:val="nil"/>
              <w:left w:val="nil"/>
              <w:bottom w:val="single" w:sz="4" w:space="0" w:color="auto"/>
              <w:right w:val="single" w:sz="4" w:space="0" w:color="auto"/>
            </w:tcBorders>
            <w:shd w:val="clear" w:color="auto" w:fill="auto"/>
            <w:noWrap/>
            <w:vAlign w:val="center"/>
            <w:hideMark/>
          </w:tcPr>
          <w:p w14:paraId="540A74A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306,583</w:t>
            </w:r>
          </w:p>
        </w:tc>
        <w:tc>
          <w:tcPr>
            <w:tcW w:w="1134" w:type="dxa"/>
            <w:tcBorders>
              <w:top w:val="nil"/>
              <w:left w:val="nil"/>
              <w:bottom w:val="single" w:sz="4" w:space="0" w:color="auto"/>
              <w:right w:val="single" w:sz="4" w:space="0" w:color="auto"/>
            </w:tcBorders>
            <w:shd w:val="clear" w:color="auto" w:fill="auto"/>
            <w:noWrap/>
            <w:vAlign w:val="center"/>
            <w:hideMark/>
          </w:tcPr>
          <w:p w14:paraId="302AD555"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24%</w:t>
            </w:r>
          </w:p>
        </w:tc>
      </w:tr>
      <w:tr w:rsidR="009457F5" w:rsidRPr="009457F5" w14:paraId="36D108BB"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BB6DE3A"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 Land Tax</w:t>
            </w:r>
          </w:p>
        </w:tc>
        <w:tc>
          <w:tcPr>
            <w:tcW w:w="1162" w:type="dxa"/>
            <w:tcBorders>
              <w:top w:val="nil"/>
              <w:left w:val="nil"/>
              <w:bottom w:val="single" w:sz="4" w:space="0" w:color="auto"/>
              <w:right w:val="single" w:sz="4" w:space="0" w:color="auto"/>
            </w:tcBorders>
            <w:shd w:val="clear" w:color="auto" w:fill="auto"/>
            <w:noWrap/>
            <w:vAlign w:val="bottom"/>
            <w:hideMark/>
          </w:tcPr>
          <w:p w14:paraId="5178074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145,000</w:t>
            </w:r>
          </w:p>
        </w:tc>
        <w:tc>
          <w:tcPr>
            <w:tcW w:w="927" w:type="dxa"/>
            <w:tcBorders>
              <w:top w:val="nil"/>
              <w:left w:val="nil"/>
              <w:bottom w:val="single" w:sz="4" w:space="0" w:color="auto"/>
              <w:right w:val="single" w:sz="4" w:space="0" w:color="auto"/>
            </w:tcBorders>
            <w:shd w:val="clear" w:color="auto" w:fill="auto"/>
            <w:noWrap/>
            <w:vAlign w:val="bottom"/>
            <w:hideMark/>
          </w:tcPr>
          <w:p w14:paraId="04BAF43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113,149</w:t>
            </w:r>
          </w:p>
        </w:tc>
        <w:tc>
          <w:tcPr>
            <w:tcW w:w="771" w:type="dxa"/>
            <w:tcBorders>
              <w:top w:val="nil"/>
              <w:left w:val="nil"/>
              <w:bottom w:val="single" w:sz="4" w:space="0" w:color="auto"/>
              <w:right w:val="single" w:sz="4" w:space="0" w:color="auto"/>
            </w:tcBorders>
            <w:shd w:val="clear" w:color="auto" w:fill="auto"/>
            <w:noWrap/>
            <w:vAlign w:val="center"/>
            <w:hideMark/>
          </w:tcPr>
          <w:p w14:paraId="1337FD9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-31,851</w:t>
            </w:r>
          </w:p>
        </w:tc>
        <w:tc>
          <w:tcPr>
            <w:tcW w:w="938" w:type="dxa"/>
            <w:tcBorders>
              <w:top w:val="nil"/>
              <w:left w:val="nil"/>
              <w:bottom w:val="single" w:sz="4" w:space="0" w:color="auto"/>
              <w:right w:val="single" w:sz="4" w:space="0" w:color="auto"/>
            </w:tcBorders>
            <w:shd w:val="clear" w:color="auto" w:fill="auto"/>
            <w:noWrap/>
            <w:vAlign w:val="center"/>
            <w:hideMark/>
          </w:tcPr>
          <w:p w14:paraId="66090769"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31,851</w:t>
            </w:r>
          </w:p>
        </w:tc>
        <w:tc>
          <w:tcPr>
            <w:tcW w:w="1134" w:type="dxa"/>
            <w:tcBorders>
              <w:top w:val="nil"/>
              <w:left w:val="nil"/>
              <w:bottom w:val="single" w:sz="4" w:space="0" w:color="auto"/>
              <w:right w:val="single" w:sz="4" w:space="0" w:color="auto"/>
            </w:tcBorders>
            <w:shd w:val="clear" w:color="auto" w:fill="auto"/>
            <w:noWrap/>
            <w:vAlign w:val="center"/>
            <w:hideMark/>
          </w:tcPr>
          <w:p w14:paraId="036E3AC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22%</w:t>
            </w:r>
          </w:p>
        </w:tc>
      </w:tr>
      <w:tr w:rsidR="009457F5" w:rsidRPr="009457F5" w14:paraId="3A92ED5D"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C48C920"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 Business Licences</w:t>
            </w:r>
          </w:p>
        </w:tc>
        <w:tc>
          <w:tcPr>
            <w:tcW w:w="1162" w:type="dxa"/>
            <w:tcBorders>
              <w:top w:val="nil"/>
              <w:left w:val="nil"/>
              <w:bottom w:val="single" w:sz="4" w:space="0" w:color="auto"/>
              <w:right w:val="single" w:sz="4" w:space="0" w:color="auto"/>
            </w:tcBorders>
            <w:shd w:val="clear" w:color="auto" w:fill="auto"/>
            <w:noWrap/>
            <w:vAlign w:val="bottom"/>
            <w:hideMark/>
          </w:tcPr>
          <w:p w14:paraId="5F58864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w:t>
            </w:r>
          </w:p>
        </w:tc>
        <w:tc>
          <w:tcPr>
            <w:tcW w:w="927" w:type="dxa"/>
            <w:tcBorders>
              <w:top w:val="nil"/>
              <w:left w:val="nil"/>
              <w:bottom w:val="single" w:sz="4" w:space="0" w:color="auto"/>
              <w:right w:val="single" w:sz="4" w:space="0" w:color="auto"/>
            </w:tcBorders>
            <w:shd w:val="clear" w:color="auto" w:fill="auto"/>
            <w:noWrap/>
            <w:vAlign w:val="bottom"/>
            <w:hideMark/>
          </w:tcPr>
          <w:p w14:paraId="6224075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w:t>
            </w:r>
          </w:p>
        </w:tc>
        <w:tc>
          <w:tcPr>
            <w:tcW w:w="771" w:type="dxa"/>
            <w:tcBorders>
              <w:top w:val="nil"/>
              <w:left w:val="nil"/>
              <w:bottom w:val="single" w:sz="4" w:space="0" w:color="auto"/>
              <w:right w:val="single" w:sz="4" w:space="0" w:color="auto"/>
            </w:tcBorders>
            <w:shd w:val="clear" w:color="auto" w:fill="auto"/>
            <w:noWrap/>
            <w:vAlign w:val="center"/>
            <w:hideMark/>
          </w:tcPr>
          <w:p w14:paraId="1B3B761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0</w:t>
            </w:r>
          </w:p>
        </w:tc>
        <w:tc>
          <w:tcPr>
            <w:tcW w:w="938" w:type="dxa"/>
            <w:tcBorders>
              <w:top w:val="nil"/>
              <w:left w:val="nil"/>
              <w:bottom w:val="single" w:sz="4" w:space="0" w:color="auto"/>
              <w:right w:val="single" w:sz="4" w:space="0" w:color="auto"/>
            </w:tcBorders>
            <w:shd w:val="clear" w:color="auto" w:fill="auto"/>
            <w:noWrap/>
            <w:vAlign w:val="center"/>
            <w:hideMark/>
          </w:tcPr>
          <w:p w14:paraId="532F35F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3703A0" w14:textId="77777777" w:rsidR="009457F5" w:rsidRPr="009457F5" w:rsidRDefault="009457F5" w:rsidP="000310F5">
            <w:pPr>
              <w:spacing w:before="0"/>
              <w:ind w:left="0"/>
              <w:jc w:val="right"/>
              <w:rPr>
                <w:rFonts w:ascii="Times New Roman" w:hAnsi="Times New Roman"/>
                <w:color w:val="000000"/>
                <w:sz w:val="16"/>
                <w:szCs w:val="16"/>
                <w:lang w:val="fr-FR" w:eastAsia="fr-FR"/>
              </w:rPr>
            </w:pPr>
          </w:p>
        </w:tc>
      </w:tr>
      <w:tr w:rsidR="009457F5" w:rsidRPr="009457F5" w14:paraId="6AF54A48"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1A8D344"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 Minimum Tax</w:t>
            </w:r>
          </w:p>
        </w:tc>
        <w:tc>
          <w:tcPr>
            <w:tcW w:w="1162" w:type="dxa"/>
            <w:tcBorders>
              <w:top w:val="nil"/>
              <w:left w:val="nil"/>
              <w:bottom w:val="single" w:sz="4" w:space="0" w:color="auto"/>
              <w:right w:val="single" w:sz="4" w:space="0" w:color="auto"/>
            </w:tcBorders>
            <w:shd w:val="clear" w:color="auto" w:fill="auto"/>
            <w:noWrap/>
            <w:vAlign w:val="bottom"/>
            <w:hideMark/>
          </w:tcPr>
          <w:p w14:paraId="34BDA04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w:t>
            </w:r>
          </w:p>
        </w:tc>
        <w:tc>
          <w:tcPr>
            <w:tcW w:w="927" w:type="dxa"/>
            <w:tcBorders>
              <w:top w:val="nil"/>
              <w:left w:val="nil"/>
              <w:bottom w:val="single" w:sz="4" w:space="0" w:color="auto"/>
              <w:right w:val="single" w:sz="4" w:space="0" w:color="auto"/>
            </w:tcBorders>
            <w:shd w:val="clear" w:color="auto" w:fill="auto"/>
            <w:noWrap/>
            <w:vAlign w:val="bottom"/>
            <w:hideMark/>
          </w:tcPr>
          <w:p w14:paraId="69BBD0E9"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w:t>
            </w:r>
          </w:p>
        </w:tc>
        <w:tc>
          <w:tcPr>
            <w:tcW w:w="771" w:type="dxa"/>
            <w:tcBorders>
              <w:top w:val="nil"/>
              <w:left w:val="nil"/>
              <w:bottom w:val="single" w:sz="4" w:space="0" w:color="auto"/>
              <w:right w:val="single" w:sz="4" w:space="0" w:color="auto"/>
            </w:tcBorders>
            <w:shd w:val="clear" w:color="auto" w:fill="auto"/>
            <w:noWrap/>
            <w:vAlign w:val="center"/>
            <w:hideMark/>
          </w:tcPr>
          <w:p w14:paraId="654A6F28"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0</w:t>
            </w:r>
          </w:p>
        </w:tc>
        <w:tc>
          <w:tcPr>
            <w:tcW w:w="938" w:type="dxa"/>
            <w:tcBorders>
              <w:top w:val="nil"/>
              <w:left w:val="nil"/>
              <w:bottom w:val="single" w:sz="4" w:space="0" w:color="auto"/>
              <w:right w:val="single" w:sz="4" w:space="0" w:color="auto"/>
            </w:tcBorders>
            <w:shd w:val="clear" w:color="auto" w:fill="auto"/>
            <w:noWrap/>
            <w:vAlign w:val="center"/>
            <w:hideMark/>
          </w:tcPr>
          <w:p w14:paraId="73973CA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FFAF50" w14:textId="77777777" w:rsidR="009457F5" w:rsidRPr="009457F5" w:rsidRDefault="009457F5" w:rsidP="000310F5">
            <w:pPr>
              <w:spacing w:before="0"/>
              <w:ind w:left="0"/>
              <w:jc w:val="right"/>
              <w:rPr>
                <w:rFonts w:ascii="Times New Roman" w:hAnsi="Times New Roman"/>
                <w:color w:val="000000"/>
                <w:sz w:val="16"/>
                <w:szCs w:val="16"/>
                <w:lang w:val="fr-FR" w:eastAsia="fr-FR"/>
              </w:rPr>
            </w:pPr>
          </w:p>
        </w:tc>
      </w:tr>
      <w:tr w:rsidR="009457F5" w:rsidRPr="009457F5" w14:paraId="126918CF"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F2F8B2A"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6. Turnover Tax</w:t>
            </w:r>
          </w:p>
        </w:tc>
        <w:tc>
          <w:tcPr>
            <w:tcW w:w="1162" w:type="dxa"/>
            <w:tcBorders>
              <w:top w:val="nil"/>
              <w:left w:val="nil"/>
              <w:bottom w:val="single" w:sz="4" w:space="0" w:color="auto"/>
              <w:right w:val="single" w:sz="4" w:space="0" w:color="auto"/>
            </w:tcBorders>
            <w:shd w:val="clear" w:color="auto" w:fill="auto"/>
            <w:noWrap/>
            <w:vAlign w:val="bottom"/>
            <w:hideMark/>
          </w:tcPr>
          <w:p w14:paraId="3DFAB06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w:t>
            </w:r>
          </w:p>
        </w:tc>
        <w:tc>
          <w:tcPr>
            <w:tcW w:w="927" w:type="dxa"/>
            <w:tcBorders>
              <w:top w:val="nil"/>
              <w:left w:val="nil"/>
              <w:bottom w:val="single" w:sz="4" w:space="0" w:color="auto"/>
              <w:right w:val="single" w:sz="4" w:space="0" w:color="auto"/>
            </w:tcBorders>
            <w:shd w:val="clear" w:color="auto" w:fill="auto"/>
            <w:noWrap/>
            <w:vAlign w:val="bottom"/>
            <w:hideMark/>
          </w:tcPr>
          <w:p w14:paraId="554D8F8B"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w:t>
            </w:r>
          </w:p>
        </w:tc>
        <w:tc>
          <w:tcPr>
            <w:tcW w:w="771" w:type="dxa"/>
            <w:tcBorders>
              <w:top w:val="nil"/>
              <w:left w:val="nil"/>
              <w:bottom w:val="single" w:sz="4" w:space="0" w:color="auto"/>
              <w:right w:val="single" w:sz="4" w:space="0" w:color="auto"/>
            </w:tcBorders>
            <w:shd w:val="clear" w:color="auto" w:fill="auto"/>
            <w:noWrap/>
            <w:vAlign w:val="center"/>
            <w:hideMark/>
          </w:tcPr>
          <w:p w14:paraId="1B88AF9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0</w:t>
            </w:r>
          </w:p>
        </w:tc>
        <w:tc>
          <w:tcPr>
            <w:tcW w:w="938" w:type="dxa"/>
            <w:tcBorders>
              <w:top w:val="nil"/>
              <w:left w:val="nil"/>
              <w:bottom w:val="single" w:sz="4" w:space="0" w:color="auto"/>
              <w:right w:val="single" w:sz="4" w:space="0" w:color="auto"/>
            </w:tcBorders>
            <w:shd w:val="clear" w:color="auto" w:fill="auto"/>
            <w:noWrap/>
            <w:vAlign w:val="center"/>
            <w:hideMark/>
          </w:tcPr>
          <w:p w14:paraId="65C45957"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A44EA0" w14:textId="77777777" w:rsidR="009457F5" w:rsidRPr="009457F5" w:rsidRDefault="009457F5" w:rsidP="000310F5">
            <w:pPr>
              <w:spacing w:before="0"/>
              <w:ind w:left="0"/>
              <w:jc w:val="right"/>
              <w:rPr>
                <w:rFonts w:ascii="Times New Roman" w:hAnsi="Times New Roman"/>
                <w:color w:val="000000"/>
                <w:sz w:val="16"/>
                <w:szCs w:val="16"/>
                <w:lang w:val="fr-FR" w:eastAsia="fr-FR"/>
              </w:rPr>
            </w:pPr>
          </w:p>
        </w:tc>
      </w:tr>
      <w:tr w:rsidR="009457F5" w:rsidRPr="009457F5" w14:paraId="39503839"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4E97804"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 VAT</w:t>
            </w:r>
          </w:p>
        </w:tc>
        <w:tc>
          <w:tcPr>
            <w:tcW w:w="1162" w:type="dxa"/>
            <w:tcBorders>
              <w:top w:val="nil"/>
              <w:left w:val="nil"/>
              <w:bottom w:val="single" w:sz="4" w:space="0" w:color="auto"/>
              <w:right w:val="single" w:sz="4" w:space="0" w:color="auto"/>
            </w:tcBorders>
            <w:shd w:val="clear" w:color="auto" w:fill="auto"/>
            <w:noWrap/>
            <w:vAlign w:val="bottom"/>
            <w:hideMark/>
          </w:tcPr>
          <w:p w14:paraId="6BAE21D8"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5,696,796</w:t>
            </w:r>
          </w:p>
        </w:tc>
        <w:tc>
          <w:tcPr>
            <w:tcW w:w="927" w:type="dxa"/>
            <w:tcBorders>
              <w:top w:val="nil"/>
              <w:left w:val="nil"/>
              <w:bottom w:val="single" w:sz="4" w:space="0" w:color="auto"/>
              <w:right w:val="single" w:sz="4" w:space="0" w:color="auto"/>
            </w:tcBorders>
            <w:shd w:val="clear" w:color="auto" w:fill="auto"/>
            <w:noWrap/>
            <w:vAlign w:val="bottom"/>
            <w:hideMark/>
          </w:tcPr>
          <w:p w14:paraId="125546F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4,934,302</w:t>
            </w:r>
          </w:p>
        </w:tc>
        <w:tc>
          <w:tcPr>
            <w:tcW w:w="771" w:type="dxa"/>
            <w:tcBorders>
              <w:top w:val="nil"/>
              <w:left w:val="nil"/>
              <w:bottom w:val="single" w:sz="4" w:space="0" w:color="auto"/>
              <w:right w:val="single" w:sz="4" w:space="0" w:color="auto"/>
            </w:tcBorders>
            <w:shd w:val="clear" w:color="auto" w:fill="auto"/>
            <w:noWrap/>
            <w:vAlign w:val="center"/>
            <w:hideMark/>
          </w:tcPr>
          <w:p w14:paraId="6C914AE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-762,494</w:t>
            </w:r>
          </w:p>
        </w:tc>
        <w:tc>
          <w:tcPr>
            <w:tcW w:w="938" w:type="dxa"/>
            <w:tcBorders>
              <w:top w:val="nil"/>
              <w:left w:val="nil"/>
              <w:bottom w:val="single" w:sz="4" w:space="0" w:color="auto"/>
              <w:right w:val="single" w:sz="4" w:space="0" w:color="auto"/>
            </w:tcBorders>
            <w:shd w:val="clear" w:color="auto" w:fill="auto"/>
            <w:noWrap/>
            <w:vAlign w:val="center"/>
            <w:hideMark/>
          </w:tcPr>
          <w:p w14:paraId="1CF438F9"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762,494</w:t>
            </w:r>
          </w:p>
        </w:tc>
        <w:tc>
          <w:tcPr>
            <w:tcW w:w="1134" w:type="dxa"/>
            <w:tcBorders>
              <w:top w:val="nil"/>
              <w:left w:val="nil"/>
              <w:bottom w:val="single" w:sz="4" w:space="0" w:color="auto"/>
              <w:right w:val="single" w:sz="4" w:space="0" w:color="auto"/>
            </w:tcBorders>
            <w:shd w:val="clear" w:color="auto" w:fill="auto"/>
            <w:noWrap/>
            <w:vAlign w:val="center"/>
            <w:hideMark/>
          </w:tcPr>
          <w:p w14:paraId="603A5809"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13%</w:t>
            </w:r>
          </w:p>
        </w:tc>
      </w:tr>
      <w:tr w:rsidR="009457F5" w:rsidRPr="009457F5" w14:paraId="2488903F"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589AC36"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8. Excise Taxes</w:t>
            </w:r>
          </w:p>
        </w:tc>
        <w:tc>
          <w:tcPr>
            <w:tcW w:w="1162" w:type="dxa"/>
            <w:tcBorders>
              <w:top w:val="nil"/>
              <w:left w:val="nil"/>
              <w:bottom w:val="single" w:sz="4" w:space="0" w:color="auto"/>
              <w:right w:val="single" w:sz="4" w:space="0" w:color="auto"/>
            </w:tcBorders>
            <w:shd w:val="clear" w:color="auto" w:fill="auto"/>
            <w:noWrap/>
            <w:vAlign w:val="bottom"/>
            <w:hideMark/>
          </w:tcPr>
          <w:p w14:paraId="1DA074B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4,457,700</w:t>
            </w:r>
          </w:p>
        </w:tc>
        <w:tc>
          <w:tcPr>
            <w:tcW w:w="927" w:type="dxa"/>
            <w:tcBorders>
              <w:top w:val="nil"/>
              <w:left w:val="nil"/>
              <w:bottom w:val="single" w:sz="4" w:space="0" w:color="auto"/>
              <w:right w:val="single" w:sz="4" w:space="0" w:color="auto"/>
            </w:tcBorders>
            <w:shd w:val="clear" w:color="auto" w:fill="auto"/>
            <w:noWrap/>
            <w:vAlign w:val="bottom"/>
            <w:hideMark/>
          </w:tcPr>
          <w:p w14:paraId="2FAAC6A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4,233,963</w:t>
            </w:r>
          </w:p>
        </w:tc>
        <w:tc>
          <w:tcPr>
            <w:tcW w:w="771" w:type="dxa"/>
            <w:tcBorders>
              <w:top w:val="nil"/>
              <w:left w:val="nil"/>
              <w:bottom w:val="single" w:sz="4" w:space="0" w:color="auto"/>
              <w:right w:val="single" w:sz="4" w:space="0" w:color="auto"/>
            </w:tcBorders>
            <w:shd w:val="clear" w:color="auto" w:fill="auto"/>
            <w:noWrap/>
            <w:vAlign w:val="center"/>
            <w:hideMark/>
          </w:tcPr>
          <w:p w14:paraId="4592FE2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-223,737</w:t>
            </w:r>
          </w:p>
        </w:tc>
        <w:tc>
          <w:tcPr>
            <w:tcW w:w="938" w:type="dxa"/>
            <w:tcBorders>
              <w:top w:val="nil"/>
              <w:left w:val="nil"/>
              <w:bottom w:val="single" w:sz="4" w:space="0" w:color="auto"/>
              <w:right w:val="single" w:sz="4" w:space="0" w:color="auto"/>
            </w:tcBorders>
            <w:shd w:val="clear" w:color="auto" w:fill="auto"/>
            <w:noWrap/>
            <w:vAlign w:val="center"/>
            <w:hideMark/>
          </w:tcPr>
          <w:p w14:paraId="332C2A8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223,737</w:t>
            </w:r>
          </w:p>
        </w:tc>
        <w:tc>
          <w:tcPr>
            <w:tcW w:w="1134" w:type="dxa"/>
            <w:tcBorders>
              <w:top w:val="nil"/>
              <w:left w:val="nil"/>
              <w:bottom w:val="single" w:sz="4" w:space="0" w:color="auto"/>
              <w:right w:val="single" w:sz="4" w:space="0" w:color="auto"/>
            </w:tcBorders>
            <w:shd w:val="clear" w:color="auto" w:fill="auto"/>
            <w:noWrap/>
            <w:vAlign w:val="center"/>
            <w:hideMark/>
          </w:tcPr>
          <w:p w14:paraId="4069590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w:t>
            </w:r>
          </w:p>
        </w:tc>
      </w:tr>
      <w:tr w:rsidR="009457F5" w:rsidRPr="009457F5" w14:paraId="65AA7E13"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61297A8"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9. Import Duties</w:t>
            </w:r>
          </w:p>
        </w:tc>
        <w:tc>
          <w:tcPr>
            <w:tcW w:w="1162" w:type="dxa"/>
            <w:tcBorders>
              <w:top w:val="nil"/>
              <w:left w:val="nil"/>
              <w:bottom w:val="single" w:sz="4" w:space="0" w:color="auto"/>
              <w:right w:val="single" w:sz="4" w:space="0" w:color="auto"/>
            </w:tcBorders>
            <w:shd w:val="clear" w:color="auto" w:fill="auto"/>
            <w:noWrap/>
            <w:vAlign w:val="bottom"/>
            <w:hideMark/>
          </w:tcPr>
          <w:p w14:paraId="3250C88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1,358,831</w:t>
            </w:r>
          </w:p>
        </w:tc>
        <w:tc>
          <w:tcPr>
            <w:tcW w:w="927" w:type="dxa"/>
            <w:tcBorders>
              <w:top w:val="nil"/>
              <w:left w:val="nil"/>
              <w:bottom w:val="single" w:sz="4" w:space="0" w:color="auto"/>
              <w:right w:val="single" w:sz="4" w:space="0" w:color="auto"/>
            </w:tcBorders>
            <w:shd w:val="clear" w:color="auto" w:fill="auto"/>
            <w:noWrap/>
            <w:vAlign w:val="bottom"/>
            <w:hideMark/>
          </w:tcPr>
          <w:p w14:paraId="602A6565"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970,574</w:t>
            </w:r>
          </w:p>
        </w:tc>
        <w:tc>
          <w:tcPr>
            <w:tcW w:w="771" w:type="dxa"/>
            <w:tcBorders>
              <w:top w:val="nil"/>
              <w:left w:val="nil"/>
              <w:bottom w:val="single" w:sz="4" w:space="0" w:color="auto"/>
              <w:right w:val="single" w:sz="4" w:space="0" w:color="auto"/>
            </w:tcBorders>
            <w:shd w:val="clear" w:color="auto" w:fill="auto"/>
            <w:noWrap/>
            <w:vAlign w:val="center"/>
            <w:hideMark/>
          </w:tcPr>
          <w:p w14:paraId="5580B8EB"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-388,257</w:t>
            </w:r>
          </w:p>
        </w:tc>
        <w:tc>
          <w:tcPr>
            <w:tcW w:w="938" w:type="dxa"/>
            <w:tcBorders>
              <w:top w:val="nil"/>
              <w:left w:val="nil"/>
              <w:bottom w:val="single" w:sz="4" w:space="0" w:color="auto"/>
              <w:right w:val="single" w:sz="4" w:space="0" w:color="auto"/>
            </w:tcBorders>
            <w:shd w:val="clear" w:color="auto" w:fill="auto"/>
            <w:noWrap/>
            <w:vAlign w:val="center"/>
            <w:hideMark/>
          </w:tcPr>
          <w:p w14:paraId="4642F86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388,257</w:t>
            </w:r>
          </w:p>
        </w:tc>
        <w:tc>
          <w:tcPr>
            <w:tcW w:w="1134" w:type="dxa"/>
            <w:tcBorders>
              <w:top w:val="nil"/>
              <w:left w:val="nil"/>
              <w:bottom w:val="single" w:sz="4" w:space="0" w:color="auto"/>
              <w:right w:val="single" w:sz="4" w:space="0" w:color="auto"/>
            </w:tcBorders>
            <w:shd w:val="clear" w:color="auto" w:fill="auto"/>
            <w:noWrap/>
            <w:vAlign w:val="center"/>
            <w:hideMark/>
          </w:tcPr>
          <w:p w14:paraId="1241140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29%</w:t>
            </w:r>
          </w:p>
        </w:tc>
      </w:tr>
      <w:tr w:rsidR="009457F5" w:rsidRPr="009457F5" w14:paraId="1DABB8C2"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8B392D1"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10. Export Duties</w:t>
            </w:r>
          </w:p>
        </w:tc>
        <w:tc>
          <w:tcPr>
            <w:tcW w:w="1162" w:type="dxa"/>
            <w:tcBorders>
              <w:top w:val="nil"/>
              <w:left w:val="nil"/>
              <w:bottom w:val="single" w:sz="4" w:space="0" w:color="auto"/>
              <w:right w:val="single" w:sz="4" w:space="0" w:color="auto"/>
            </w:tcBorders>
            <w:shd w:val="clear" w:color="auto" w:fill="auto"/>
            <w:noWrap/>
            <w:vAlign w:val="bottom"/>
            <w:hideMark/>
          </w:tcPr>
          <w:p w14:paraId="7C1435B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45,000</w:t>
            </w:r>
          </w:p>
        </w:tc>
        <w:tc>
          <w:tcPr>
            <w:tcW w:w="927" w:type="dxa"/>
            <w:tcBorders>
              <w:top w:val="nil"/>
              <w:left w:val="nil"/>
              <w:bottom w:val="single" w:sz="4" w:space="0" w:color="auto"/>
              <w:right w:val="single" w:sz="4" w:space="0" w:color="auto"/>
            </w:tcBorders>
            <w:shd w:val="clear" w:color="auto" w:fill="auto"/>
            <w:noWrap/>
            <w:vAlign w:val="bottom"/>
            <w:hideMark/>
          </w:tcPr>
          <w:p w14:paraId="2E5C9201"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28,989</w:t>
            </w:r>
          </w:p>
        </w:tc>
        <w:tc>
          <w:tcPr>
            <w:tcW w:w="771" w:type="dxa"/>
            <w:tcBorders>
              <w:top w:val="nil"/>
              <w:left w:val="nil"/>
              <w:bottom w:val="single" w:sz="4" w:space="0" w:color="auto"/>
              <w:right w:val="single" w:sz="4" w:space="0" w:color="auto"/>
            </w:tcBorders>
            <w:shd w:val="clear" w:color="auto" w:fill="auto"/>
            <w:noWrap/>
            <w:vAlign w:val="center"/>
            <w:hideMark/>
          </w:tcPr>
          <w:p w14:paraId="305A0DF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-16,011</w:t>
            </w:r>
          </w:p>
        </w:tc>
        <w:tc>
          <w:tcPr>
            <w:tcW w:w="938" w:type="dxa"/>
            <w:tcBorders>
              <w:top w:val="nil"/>
              <w:left w:val="nil"/>
              <w:bottom w:val="single" w:sz="4" w:space="0" w:color="auto"/>
              <w:right w:val="single" w:sz="4" w:space="0" w:color="auto"/>
            </w:tcBorders>
            <w:shd w:val="clear" w:color="auto" w:fill="auto"/>
            <w:noWrap/>
            <w:vAlign w:val="center"/>
            <w:hideMark/>
          </w:tcPr>
          <w:p w14:paraId="09D5F81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16,011</w:t>
            </w:r>
          </w:p>
        </w:tc>
        <w:tc>
          <w:tcPr>
            <w:tcW w:w="1134" w:type="dxa"/>
            <w:tcBorders>
              <w:top w:val="nil"/>
              <w:left w:val="nil"/>
              <w:bottom w:val="single" w:sz="4" w:space="0" w:color="auto"/>
              <w:right w:val="single" w:sz="4" w:space="0" w:color="auto"/>
            </w:tcBorders>
            <w:shd w:val="clear" w:color="auto" w:fill="auto"/>
            <w:noWrap/>
            <w:vAlign w:val="center"/>
            <w:hideMark/>
          </w:tcPr>
          <w:p w14:paraId="709BA23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36%</w:t>
            </w:r>
          </w:p>
        </w:tc>
      </w:tr>
      <w:tr w:rsidR="009457F5" w:rsidRPr="009457F5" w14:paraId="0251B8EF"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FDB9FC0"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11. Registration Fees</w:t>
            </w:r>
          </w:p>
        </w:tc>
        <w:tc>
          <w:tcPr>
            <w:tcW w:w="1162" w:type="dxa"/>
            <w:tcBorders>
              <w:top w:val="nil"/>
              <w:left w:val="nil"/>
              <w:bottom w:val="single" w:sz="4" w:space="0" w:color="auto"/>
              <w:right w:val="single" w:sz="4" w:space="0" w:color="auto"/>
            </w:tcBorders>
            <w:shd w:val="clear" w:color="auto" w:fill="auto"/>
            <w:noWrap/>
            <w:vAlign w:val="bottom"/>
            <w:hideMark/>
          </w:tcPr>
          <w:p w14:paraId="078C683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70,000</w:t>
            </w:r>
          </w:p>
        </w:tc>
        <w:tc>
          <w:tcPr>
            <w:tcW w:w="927" w:type="dxa"/>
            <w:tcBorders>
              <w:top w:val="nil"/>
              <w:left w:val="nil"/>
              <w:bottom w:val="single" w:sz="4" w:space="0" w:color="auto"/>
              <w:right w:val="single" w:sz="4" w:space="0" w:color="auto"/>
            </w:tcBorders>
            <w:shd w:val="clear" w:color="auto" w:fill="auto"/>
            <w:noWrap/>
            <w:vAlign w:val="bottom"/>
            <w:hideMark/>
          </w:tcPr>
          <w:p w14:paraId="3086A2D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74,463</w:t>
            </w:r>
          </w:p>
        </w:tc>
        <w:tc>
          <w:tcPr>
            <w:tcW w:w="771" w:type="dxa"/>
            <w:tcBorders>
              <w:top w:val="nil"/>
              <w:left w:val="nil"/>
              <w:bottom w:val="single" w:sz="4" w:space="0" w:color="auto"/>
              <w:right w:val="single" w:sz="4" w:space="0" w:color="auto"/>
            </w:tcBorders>
            <w:shd w:val="clear" w:color="auto" w:fill="auto"/>
            <w:noWrap/>
            <w:vAlign w:val="center"/>
            <w:hideMark/>
          </w:tcPr>
          <w:p w14:paraId="3821763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4,463</w:t>
            </w:r>
          </w:p>
        </w:tc>
        <w:tc>
          <w:tcPr>
            <w:tcW w:w="938" w:type="dxa"/>
            <w:tcBorders>
              <w:top w:val="nil"/>
              <w:left w:val="nil"/>
              <w:bottom w:val="single" w:sz="4" w:space="0" w:color="auto"/>
              <w:right w:val="single" w:sz="4" w:space="0" w:color="auto"/>
            </w:tcBorders>
            <w:shd w:val="clear" w:color="auto" w:fill="auto"/>
            <w:noWrap/>
            <w:vAlign w:val="center"/>
            <w:hideMark/>
          </w:tcPr>
          <w:p w14:paraId="76C19FC1"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4,463</w:t>
            </w:r>
          </w:p>
        </w:tc>
        <w:tc>
          <w:tcPr>
            <w:tcW w:w="1134" w:type="dxa"/>
            <w:tcBorders>
              <w:top w:val="nil"/>
              <w:left w:val="nil"/>
              <w:bottom w:val="single" w:sz="4" w:space="0" w:color="auto"/>
              <w:right w:val="single" w:sz="4" w:space="0" w:color="auto"/>
            </w:tcBorders>
            <w:shd w:val="clear" w:color="auto" w:fill="auto"/>
            <w:noWrap/>
            <w:vAlign w:val="center"/>
            <w:hideMark/>
          </w:tcPr>
          <w:p w14:paraId="7D1AA5A5"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6%</w:t>
            </w:r>
          </w:p>
        </w:tc>
      </w:tr>
      <w:tr w:rsidR="009457F5" w:rsidRPr="009457F5" w14:paraId="1F2EF2BB"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4306465"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 12. Other Fees</w:t>
            </w:r>
          </w:p>
        </w:tc>
        <w:tc>
          <w:tcPr>
            <w:tcW w:w="1162" w:type="dxa"/>
            <w:tcBorders>
              <w:top w:val="nil"/>
              <w:left w:val="nil"/>
              <w:bottom w:val="single" w:sz="4" w:space="0" w:color="auto"/>
              <w:right w:val="single" w:sz="4" w:space="0" w:color="auto"/>
            </w:tcBorders>
            <w:shd w:val="clear" w:color="auto" w:fill="auto"/>
            <w:noWrap/>
            <w:vAlign w:val="bottom"/>
            <w:hideMark/>
          </w:tcPr>
          <w:p w14:paraId="1F8839A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1,033,000</w:t>
            </w:r>
          </w:p>
        </w:tc>
        <w:tc>
          <w:tcPr>
            <w:tcW w:w="927" w:type="dxa"/>
            <w:tcBorders>
              <w:top w:val="nil"/>
              <w:left w:val="nil"/>
              <w:bottom w:val="single" w:sz="4" w:space="0" w:color="auto"/>
              <w:right w:val="single" w:sz="4" w:space="0" w:color="auto"/>
            </w:tcBorders>
            <w:shd w:val="clear" w:color="auto" w:fill="auto"/>
            <w:noWrap/>
            <w:vAlign w:val="bottom"/>
            <w:hideMark/>
          </w:tcPr>
          <w:p w14:paraId="4819A18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1,664,715</w:t>
            </w:r>
          </w:p>
        </w:tc>
        <w:tc>
          <w:tcPr>
            <w:tcW w:w="771" w:type="dxa"/>
            <w:tcBorders>
              <w:top w:val="nil"/>
              <w:left w:val="nil"/>
              <w:bottom w:val="single" w:sz="4" w:space="0" w:color="auto"/>
              <w:right w:val="single" w:sz="4" w:space="0" w:color="auto"/>
            </w:tcBorders>
            <w:shd w:val="clear" w:color="auto" w:fill="auto"/>
            <w:noWrap/>
            <w:vAlign w:val="center"/>
            <w:hideMark/>
          </w:tcPr>
          <w:p w14:paraId="1A567F4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631,715</w:t>
            </w:r>
          </w:p>
        </w:tc>
        <w:tc>
          <w:tcPr>
            <w:tcW w:w="938" w:type="dxa"/>
            <w:tcBorders>
              <w:top w:val="nil"/>
              <w:left w:val="nil"/>
              <w:bottom w:val="single" w:sz="4" w:space="0" w:color="auto"/>
              <w:right w:val="single" w:sz="4" w:space="0" w:color="auto"/>
            </w:tcBorders>
            <w:shd w:val="clear" w:color="auto" w:fill="auto"/>
            <w:noWrap/>
            <w:vAlign w:val="center"/>
            <w:hideMark/>
          </w:tcPr>
          <w:p w14:paraId="035E7CD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631,715</w:t>
            </w:r>
          </w:p>
        </w:tc>
        <w:tc>
          <w:tcPr>
            <w:tcW w:w="1134" w:type="dxa"/>
            <w:tcBorders>
              <w:top w:val="nil"/>
              <w:left w:val="nil"/>
              <w:bottom w:val="single" w:sz="4" w:space="0" w:color="auto"/>
              <w:right w:val="single" w:sz="4" w:space="0" w:color="auto"/>
            </w:tcBorders>
            <w:shd w:val="clear" w:color="auto" w:fill="auto"/>
            <w:noWrap/>
            <w:vAlign w:val="center"/>
            <w:hideMark/>
          </w:tcPr>
          <w:p w14:paraId="5AE85C6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61%</w:t>
            </w:r>
          </w:p>
        </w:tc>
      </w:tr>
      <w:tr w:rsidR="009457F5" w:rsidRPr="009457F5" w14:paraId="09106D03"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722B2B1"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'13. Natural Resources Taxes</w:t>
            </w:r>
          </w:p>
        </w:tc>
        <w:tc>
          <w:tcPr>
            <w:tcW w:w="1162" w:type="dxa"/>
            <w:tcBorders>
              <w:top w:val="nil"/>
              <w:left w:val="nil"/>
              <w:bottom w:val="single" w:sz="4" w:space="0" w:color="auto"/>
              <w:right w:val="single" w:sz="4" w:space="0" w:color="auto"/>
            </w:tcBorders>
            <w:shd w:val="clear" w:color="auto" w:fill="auto"/>
            <w:noWrap/>
            <w:vAlign w:val="bottom"/>
            <w:hideMark/>
          </w:tcPr>
          <w:p w14:paraId="392E2A6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644,959</w:t>
            </w:r>
          </w:p>
        </w:tc>
        <w:tc>
          <w:tcPr>
            <w:tcW w:w="927" w:type="dxa"/>
            <w:tcBorders>
              <w:top w:val="nil"/>
              <w:left w:val="nil"/>
              <w:bottom w:val="single" w:sz="4" w:space="0" w:color="auto"/>
              <w:right w:val="single" w:sz="4" w:space="0" w:color="auto"/>
            </w:tcBorders>
            <w:shd w:val="clear" w:color="auto" w:fill="auto"/>
            <w:noWrap/>
            <w:vAlign w:val="bottom"/>
            <w:hideMark/>
          </w:tcPr>
          <w:p w14:paraId="3B1EC10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609,709</w:t>
            </w:r>
          </w:p>
        </w:tc>
        <w:tc>
          <w:tcPr>
            <w:tcW w:w="771" w:type="dxa"/>
            <w:tcBorders>
              <w:top w:val="nil"/>
              <w:left w:val="nil"/>
              <w:bottom w:val="single" w:sz="4" w:space="0" w:color="auto"/>
              <w:right w:val="single" w:sz="4" w:space="0" w:color="auto"/>
            </w:tcBorders>
            <w:shd w:val="clear" w:color="auto" w:fill="auto"/>
            <w:noWrap/>
            <w:vAlign w:val="center"/>
            <w:hideMark/>
          </w:tcPr>
          <w:p w14:paraId="25DF5E0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-35,249</w:t>
            </w:r>
          </w:p>
        </w:tc>
        <w:tc>
          <w:tcPr>
            <w:tcW w:w="938" w:type="dxa"/>
            <w:tcBorders>
              <w:top w:val="nil"/>
              <w:left w:val="nil"/>
              <w:bottom w:val="single" w:sz="4" w:space="0" w:color="auto"/>
              <w:right w:val="single" w:sz="4" w:space="0" w:color="auto"/>
            </w:tcBorders>
            <w:shd w:val="clear" w:color="auto" w:fill="auto"/>
            <w:noWrap/>
            <w:vAlign w:val="center"/>
            <w:hideMark/>
          </w:tcPr>
          <w:p w14:paraId="052695B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35,249</w:t>
            </w:r>
          </w:p>
        </w:tc>
        <w:tc>
          <w:tcPr>
            <w:tcW w:w="1134" w:type="dxa"/>
            <w:tcBorders>
              <w:top w:val="nil"/>
              <w:left w:val="nil"/>
              <w:bottom w:val="single" w:sz="4" w:space="0" w:color="auto"/>
              <w:right w:val="single" w:sz="4" w:space="0" w:color="auto"/>
            </w:tcBorders>
            <w:shd w:val="clear" w:color="auto" w:fill="auto"/>
            <w:noWrap/>
            <w:vAlign w:val="center"/>
            <w:hideMark/>
          </w:tcPr>
          <w:p w14:paraId="3449AA2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w:t>
            </w:r>
          </w:p>
        </w:tc>
      </w:tr>
      <w:tr w:rsidR="009457F5" w:rsidRPr="009457F5" w14:paraId="2BD6FFE2"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632C855"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14. Timber Royalties</w:t>
            </w:r>
          </w:p>
        </w:tc>
        <w:tc>
          <w:tcPr>
            <w:tcW w:w="1162" w:type="dxa"/>
            <w:tcBorders>
              <w:top w:val="nil"/>
              <w:left w:val="nil"/>
              <w:bottom w:val="single" w:sz="4" w:space="0" w:color="auto"/>
              <w:right w:val="single" w:sz="4" w:space="0" w:color="auto"/>
            </w:tcBorders>
            <w:shd w:val="clear" w:color="auto" w:fill="auto"/>
            <w:noWrap/>
            <w:vAlign w:val="bottom"/>
            <w:hideMark/>
          </w:tcPr>
          <w:p w14:paraId="753C4037"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539,880</w:t>
            </w:r>
          </w:p>
        </w:tc>
        <w:tc>
          <w:tcPr>
            <w:tcW w:w="927" w:type="dxa"/>
            <w:tcBorders>
              <w:top w:val="nil"/>
              <w:left w:val="nil"/>
              <w:bottom w:val="single" w:sz="4" w:space="0" w:color="auto"/>
              <w:right w:val="single" w:sz="4" w:space="0" w:color="auto"/>
            </w:tcBorders>
            <w:shd w:val="clear" w:color="auto" w:fill="auto"/>
            <w:noWrap/>
            <w:vAlign w:val="bottom"/>
            <w:hideMark/>
          </w:tcPr>
          <w:p w14:paraId="237867E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335,451</w:t>
            </w:r>
          </w:p>
        </w:tc>
        <w:tc>
          <w:tcPr>
            <w:tcW w:w="771" w:type="dxa"/>
            <w:tcBorders>
              <w:top w:val="nil"/>
              <w:left w:val="nil"/>
              <w:bottom w:val="single" w:sz="4" w:space="0" w:color="auto"/>
              <w:right w:val="single" w:sz="4" w:space="0" w:color="auto"/>
            </w:tcBorders>
            <w:shd w:val="clear" w:color="auto" w:fill="auto"/>
            <w:noWrap/>
            <w:vAlign w:val="center"/>
            <w:hideMark/>
          </w:tcPr>
          <w:p w14:paraId="5D37E94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-204,429</w:t>
            </w:r>
          </w:p>
        </w:tc>
        <w:tc>
          <w:tcPr>
            <w:tcW w:w="938" w:type="dxa"/>
            <w:tcBorders>
              <w:top w:val="nil"/>
              <w:left w:val="nil"/>
              <w:bottom w:val="single" w:sz="4" w:space="0" w:color="auto"/>
              <w:right w:val="single" w:sz="4" w:space="0" w:color="auto"/>
            </w:tcBorders>
            <w:shd w:val="clear" w:color="auto" w:fill="auto"/>
            <w:noWrap/>
            <w:vAlign w:val="center"/>
            <w:hideMark/>
          </w:tcPr>
          <w:p w14:paraId="44FE38F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204,429</w:t>
            </w:r>
          </w:p>
        </w:tc>
        <w:tc>
          <w:tcPr>
            <w:tcW w:w="1134" w:type="dxa"/>
            <w:tcBorders>
              <w:top w:val="nil"/>
              <w:left w:val="nil"/>
              <w:bottom w:val="single" w:sz="4" w:space="0" w:color="auto"/>
              <w:right w:val="single" w:sz="4" w:space="0" w:color="auto"/>
            </w:tcBorders>
            <w:shd w:val="clear" w:color="auto" w:fill="auto"/>
            <w:noWrap/>
            <w:vAlign w:val="center"/>
            <w:hideMark/>
          </w:tcPr>
          <w:p w14:paraId="67DD321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38%</w:t>
            </w:r>
          </w:p>
        </w:tc>
      </w:tr>
      <w:tr w:rsidR="009457F5" w:rsidRPr="009457F5" w14:paraId="7B353A71"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72235A0A"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15. Royalties</w:t>
            </w:r>
          </w:p>
        </w:tc>
        <w:tc>
          <w:tcPr>
            <w:tcW w:w="1162" w:type="dxa"/>
            <w:tcBorders>
              <w:top w:val="nil"/>
              <w:left w:val="nil"/>
              <w:bottom w:val="single" w:sz="4" w:space="0" w:color="auto"/>
              <w:right w:val="single" w:sz="4" w:space="0" w:color="auto"/>
            </w:tcBorders>
            <w:shd w:val="clear" w:color="auto" w:fill="auto"/>
            <w:noWrap/>
            <w:vAlign w:val="bottom"/>
            <w:hideMark/>
          </w:tcPr>
          <w:p w14:paraId="514222C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317,081</w:t>
            </w:r>
          </w:p>
        </w:tc>
        <w:tc>
          <w:tcPr>
            <w:tcW w:w="927" w:type="dxa"/>
            <w:tcBorders>
              <w:top w:val="nil"/>
              <w:left w:val="nil"/>
              <w:bottom w:val="single" w:sz="4" w:space="0" w:color="auto"/>
              <w:right w:val="single" w:sz="4" w:space="0" w:color="auto"/>
            </w:tcBorders>
            <w:shd w:val="clear" w:color="auto" w:fill="auto"/>
            <w:noWrap/>
            <w:vAlign w:val="bottom"/>
            <w:hideMark/>
          </w:tcPr>
          <w:p w14:paraId="713CEA8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370,880</w:t>
            </w:r>
          </w:p>
        </w:tc>
        <w:tc>
          <w:tcPr>
            <w:tcW w:w="771" w:type="dxa"/>
            <w:tcBorders>
              <w:top w:val="nil"/>
              <w:left w:val="nil"/>
              <w:bottom w:val="single" w:sz="4" w:space="0" w:color="auto"/>
              <w:right w:val="single" w:sz="4" w:space="0" w:color="auto"/>
            </w:tcBorders>
            <w:shd w:val="clear" w:color="auto" w:fill="auto"/>
            <w:noWrap/>
            <w:vAlign w:val="center"/>
            <w:hideMark/>
          </w:tcPr>
          <w:p w14:paraId="48FF479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53,799</w:t>
            </w:r>
          </w:p>
        </w:tc>
        <w:tc>
          <w:tcPr>
            <w:tcW w:w="938" w:type="dxa"/>
            <w:tcBorders>
              <w:top w:val="nil"/>
              <w:left w:val="nil"/>
              <w:bottom w:val="single" w:sz="4" w:space="0" w:color="auto"/>
              <w:right w:val="single" w:sz="4" w:space="0" w:color="auto"/>
            </w:tcBorders>
            <w:shd w:val="clear" w:color="auto" w:fill="auto"/>
            <w:noWrap/>
            <w:vAlign w:val="center"/>
            <w:hideMark/>
          </w:tcPr>
          <w:p w14:paraId="046B3FF5"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53,799</w:t>
            </w:r>
          </w:p>
        </w:tc>
        <w:tc>
          <w:tcPr>
            <w:tcW w:w="1134" w:type="dxa"/>
            <w:tcBorders>
              <w:top w:val="nil"/>
              <w:left w:val="nil"/>
              <w:bottom w:val="single" w:sz="4" w:space="0" w:color="auto"/>
              <w:right w:val="single" w:sz="4" w:space="0" w:color="auto"/>
            </w:tcBorders>
            <w:shd w:val="clear" w:color="auto" w:fill="auto"/>
            <w:noWrap/>
            <w:vAlign w:val="center"/>
            <w:hideMark/>
          </w:tcPr>
          <w:p w14:paraId="21815F6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17%</w:t>
            </w:r>
          </w:p>
        </w:tc>
      </w:tr>
      <w:tr w:rsidR="009457F5" w:rsidRPr="009457F5" w14:paraId="2D39D076"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4100D51" w14:textId="77777777" w:rsidR="009457F5" w:rsidRPr="009457F5" w:rsidRDefault="009457F5" w:rsidP="009457F5">
            <w:pPr>
              <w:spacing w:before="0"/>
              <w:ind w:left="0"/>
              <w:jc w:val="lef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Nontax Revenues</w:t>
            </w:r>
          </w:p>
        </w:tc>
        <w:tc>
          <w:tcPr>
            <w:tcW w:w="1162" w:type="dxa"/>
            <w:tcBorders>
              <w:top w:val="nil"/>
              <w:left w:val="nil"/>
              <w:bottom w:val="single" w:sz="4" w:space="0" w:color="auto"/>
              <w:right w:val="single" w:sz="4" w:space="0" w:color="auto"/>
            </w:tcBorders>
            <w:shd w:val="clear" w:color="auto" w:fill="auto"/>
            <w:noWrap/>
            <w:vAlign w:val="bottom"/>
            <w:hideMark/>
          </w:tcPr>
          <w:p w14:paraId="36DBB777"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fr-FR" w:eastAsia="fr-FR"/>
              </w:rPr>
              <w:t>3,615,695</w:t>
            </w:r>
          </w:p>
        </w:tc>
        <w:tc>
          <w:tcPr>
            <w:tcW w:w="927" w:type="dxa"/>
            <w:tcBorders>
              <w:top w:val="nil"/>
              <w:left w:val="nil"/>
              <w:bottom w:val="single" w:sz="4" w:space="0" w:color="auto"/>
              <w:right w:val="single" w:sz="4" w:space="0" w:color="auto"/>
            </w:tcBorders>
            <w:shd w:val="clear" w:color="auto" w:fill="auto"/>
            <w:noWrap/>
            <w:vAlign w:val="bottom"/>
            <w:hideMark/>
          </w:tcPr>
          <w:p w14:paraId="261A1E4F"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fr-FR" w:eastAsia="fr-FR"/>
              </w:rPr>
              <w:t>3,560,692</w:t>
            </w:r>
          </w:p>
        </w:tc>
        <w:tc>
          <w:tcPr>
            <w:tcW w:w="771" w:type="dxa"/>
            <w:tcBorders>
              <w:top w:val="nil"/>
              <w:left w:val="nil"/>
              <w:bottom w:val="single" w:sz="4" w:space="0" w:color="auto"/>
              <w:right w:val="single" w:sz="4" w:space="0" w:color="auto"/>
            </w:tcBorders>
            <w:shd w:val="clear" w:color="auto" w:fill="auto"/>
            <w:noWrap/>
            <w:vAlign w:val="center"/>
            <w:hideMark/>
          </w:tcPr>
          <w:p w14:paraId="53097A84"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-55,003</w:t>
            </w:r>
          </w:p>
        </w:tc>
        <w:tc>
          <w:tcPr>
            <w:tcW w:w="938" w:type="dxa"/>
            <w:tcBorders>
              <w:top w:val="nil"/>
              <w:left w:val="nil"/>
              <w:bottom w:val="single" w:sz="4" w:space="0" w:color="auto"/>
              <w:right w:val="single" w:sz="4" w:space="0" w:color="auto"/>
            </w:tcBorders>
            <w:shd w:val="clear" w:color="auto" w:fill="auto"/>
            <w:noWrap/>
            <w:vAlign w:val="center"/>
            <w:hideMark/>
          </w:tcPr>
          <w:p w14:paraId="2DADEE2D"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1,441,877</w:t>
            </w:r>
          </w:p>
        </w:tc>
        <w:tc>
          <w:tcPr>
            <w:tcW w:w="1134" w:type="dxa"/>
            <w:tcBorders>
              <w:top w:val="nil"/>
              <w:left w:val="nil"/>
              <w:bottom w:val="single" w:sz="4" w:space="0" w:color="auto"/>
              <w:right w:val="single" w:sz="4" w:space="0" w:color="auto"/>
            </w:tcBorders>
            <w:shd w:val="clear" w:color="auto" w:fill="auto"/>
            <w:noWrap/>
            <w:vAlign w:val="center"/>
            <w:hideMark/>
          </w:tcPr>
          <w:p w14:paraId="0496EE1F"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40%</w:t>
            </w:r>
          </w:p>
        </w:tc>
      </w:tr>
      <w:tr w:rsidR="009457F5" w:rsidRPr="009457F5" w14:paraId="24EFD2ED"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DFF175C"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 Leasing Fees</w:t>
            </w:r>
          </w:p>
        </w:tc>
        <w:tc>
          <w:tcPr>
            <w:tcW w:w="1162" w:type="dxa"/>
            <w:tcBorders>
              <w:top w:val="nil"/>
              <w:left w:val="nil"/>
              <w:bottom w:val="single" w:sz="4" w:space="0" w:color="auto"/>
              <w:right w:val="single" w:sz="4" w:space="0" w:color="auto"/>
            </w:tcBorders>
            <w:shd w:val="clear" w:color="auto" w:fill="auto"/>
            <w:noWrap/>
            <w:vAlign w:val="bottom"/>
            <w:hideMark/>
          </w:tcPr>
          <w:p w14:paraId="5E2FEBC1"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64,944</w:t>
            </w:r>
          </w:p>
        </w:tc>
        <w:tc>
          <w:tcPr>
            <w:tcW w:w="927" w:type="dxa"/>
            <w:tcBorders>
              <w:top w:val="nil"/>
              <w:left w:val="nil"/>
              <w:bottom w:val="single" w:sz="4" w:space="0" w:color="auto"/>
              <w:right w:val="single" w:sz="4" w:space="0" w:color="auto"/>
            </w:tcBorders>
            <w:shd w:val="clear" w:color="auto" w:fill="auto"/>
            <w:noWrap/>
            <w:vAlign w:val="bottom"/>
            <w:hideMark/>
          </w:tcPr>
          <w:p w14:paraId="6F7421F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69,965</w:t>
            </w:r>
          </w:p>
        </w:tc>
        <w:tc>
          <w:tcPr>
            <w:tcW w:w="771" w:type="dxa"/>
            <w:tcBorders>
              <w:top w:val="nil"/>
              <w:left w:val="nil"/>
              <w:bottom w:val="single" w:sz="4" w:space="0" w:color="auto"/>
              <w:right w:val="single" w:sz="4" w:space="0" w:color="auto"/>
            </w:tcBorders>
            <w:shd w:val="clear" w:color="auto" w:fill="auto"/>
            <w:noWrap/>
            <w:vAlign w:val="center"/>
            <w:hideMark/>
          </w:tcPr>
          <w:p w14:paraId="55477B7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5,021</w:t>
            </w:r>
          </w:p>
        </w:tc>
        <w:tc>
          <w:tcPr>
            <w:tcW w:w="938" w:type="dxa"/>
            <w:tcBorders>
              <w:top w:val="nil"/>
              <w:left w:val="nil"/>
              <w:bottom w:val="single" w:sz="4" w:space="0" w:color="auto"/>
              <w:right w:val="single" w:sz="4" w:space="0" w:color="auto"/>
            </w:tcBorders>
            <w:shd w:val="clear" w:color="auto" w:fill="auto"/>
            <w:noWrap/>
            <w:vAlign w:val="center"/>
            <w:hideMark/>
          </w:tcPr>
          <w:p w14:paraId="325928F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5,021</w:t>
            </w:r>
          </w:p>
        </w:tc>
        <w:tc>
          <w:tcPr>
            <w:tcW w:w="1134" w:type="dxa"/>
            <w:tcBorders>
              <w:top w:val="nil"/>
              <w:left w:val="nil"/>
              <w:bottom w:val="single" w:sz="4" w:space="0" w:color="auto"/>
              <w:right w:val="single" w:sz="4" w:space="0" w:color="auto"/>
            </w:tcBorders>
            <w:shd w:val="clear" w:color="auto" w:fill="auto"/>
            <w:noWrap/>
            <w:vAlign w:val="center"/>
            <w:hideMark/>
          </w:tcPr>
          <w:p w14:paraId="2185CC0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8%</w:t>
            </w:r>
          </w:p>
        </w:tc>
      </w:tr>
      <w:tr w:rsidR="009457F5" w:rsidRPr="009457F5" w14:paraId="2673EAE1"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F7B870C"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 Concessions</w:t>
            </w:r>
          </w:p>
        </w:tc>
        <w:tc>
          <w:tcPr>
            <w:tcW w:w="1162" w:type="dxa"/>
            <w:tcBorders>
              <w:top w:val="nil"/>
              <w:left w:val="nil"/>
              <w:bottom w:val="single" w:sz="4" w:space="0" w:color="auto"/>
              <w:right w:val="single" w:sz="4" w:space="0" w:color="auto"/>
            </w:tcBorders>
            <w:shd w:val="clear" w:color="auto" w:fill="auto"/>
            <w:noWrap/>
            <w:vAlign w:val="bottom"/>
            <w:hideMark/>
          </w:tcPr>
          <w:p w14:paraId="60F88CA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92,621</w:t>
            </w:r>
          </w:p>
        </w:tc>
        <w:tc>
          <w:tcPr>
            <w:tcW w:w="927" w:type="dxa"/>
            <w:tcBorders>
              <w:top w:val="nil"/>
              <w:left w:val="nil"/>
              <w:bottom w:val="single" w:sz="4" w:space="0" w:color="auto"/>
              <w:right w:val="single" w:sz="4" w:space="0" w:color="auto"/>
            </w:tcBorders>
            <w:shd w:val="clear" w:color="auto" w:fill="auto"/>
            <w:noWrap/>
            <w:vAlign w:val="bottom"/>
            <w:hideMark/>
          </w:tcPr>
          <w:p w14:paraId="3A38025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61,248</w:t>
            </w:r>
          </w:p>
        </w:tc>
        <w:tc>
          <w:tcPr>
            <w:tcW w:w="771" w:type="dxa"/>
            <w:tcBorders>
              <w:top w:val="nil"/>
              <w:left w:val="nil"/>
              <w:bottom w:val="single" w:sz="4" w:space="0" w:color="auto"/>
              <w:right w:val="single" w:sz="4" w:space="0" w:color="auto"/>
            </w:tcBorders>
            <w:shd w:val="clear" w:color="auto" w:fill="auto"/>
            <w:noWrap/>
            <w:vAlign w:val="center"/>
            <w:hideMark/>
          </w:tcPr>
          <w:p w14:paraId="11BD7A47"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-31,373</w:t>
            </w:r>
          </w:p>
        </w:tc>
        <w:tc>
          <w:tcPr>
            <w:tcW w:w="938" w:type="dxa"/>
            <w:tcBorders>
              <w:top w:val="nil"/>
              <w:left w:val="nil"/>
              <w:bottom w:val="single" w:sz="4" w:space="0" w:color="auto"/>
              <w:right w:val="single" w:sz="4" w:space="0" w:color="auto"/>
            </w:tcBorders>
            <w:shd w:val="clear" w:color="auto" w:fill="auto"/>
            <w:noWrap/>
            <w:vAlign w:val="center"/>
            <w:hideMark/>
          </w:tcPr>
          <w:p w14:paraId="2D08A6A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31,373</w:t>
            </w:r>
          </w:p>
        </w:tc>
        <w:tc>
          <w:tcPr>
            <w:tcW w:w="1134" w:type="dxa"/>
            <w:tcBorders>
              <w:top w:val="nil"/>
              <w:left w:val="nil"/>
              <w:bottom w:val="single" w:sz="4" w:space="0" w:color="auto"/>
              <w:right w:val="single" w:sz="4" w:space="0" w:color="auto"/>
            </w:tcBorders>
            <w:shd w:val="clear" w:color="auto" w:fill="auto"/>
            <w:noWrap/>
            <w:vAlign w:val="center"/>
            <w:hideMark/>
          </w:tcPr>
          <w:p w14:paraId="3FEDF24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34%</w:t>
            </w:r>
          </w:p>
        </w:tc>
      </w:tr>
      <w:tr w:rsidR="009457F5" w:rsidRPr="009457F5" w14:paraId="7F83FEB9"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8067ADA"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 Fines</w:t>
            </w:r>
          </w:p>
        </w:tc>
        <w:tc>
          <w:tcPr>
            <w:tcW w:w="1162" w:type="dxa"/>
            <w:tcBorders>
              <w:top w:val="nil"/>
              <w:left w:val="nil"/>
              <w:bottom w:val="single" w:sz="4" w:space="0" w:color="auto"/>
              <w:right w:val="single" w:sz="4" w:space="0" w:color="auto"/>
            </w:tcBorders>
            <w:shd w:val="clear" w:color="auto" w:fill="auto"/>
            <w:noWrap/>
            <w:vAlign w:val="bottom"/>
            <w:hideMark/>
          </w:tcPr>
          <w:p w14:paraId="3BA3D11E"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66,874</w:t>
            </w:r>
          </w:p>
        </w:tc>
        <w:tc>
          <w:tcPr>
            <w:tcW w:w="927" w:type="dxa"/>
            <w:tcBorders>
              <w:top w:val="nil"/>
              <w:left w:val="nil"/>
              <w:bottom w:val="single" w:sz="4" w:space="0" w:color="auto"/>
              <w:right w:val="single" w:sz="4" w:space="0" w:color="auto"/>
            </w:tcBorders>
            <w:shd w:val="clear" w:color="auto" w:fill="auto"/>
            <w:noWrap/>
            <w:vAlign w:val="bottom"/>
            <w:hideMark/>
          </w:tcPr>
          <w:p w14:paraId="169A3029"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83,302</w:t>
            </w:r>
          </w:p>
        </w:tc>
        <w:tc>
          <w:tcPr>
            <w:tcW w:w="771" w:type="dxa"/>
            <w:tcBorders>
              <w:top w:val="nil"/>
              <w:left w:val="nil"/>
              <w:bottom w:val="single" w:sz="4" w:space="0" w:color="auto"/>
              <w:right w:val="single" w:sz="4" w:space="0" w:color="auto"/>
            </w:tcBorders>
            <w:shd w:val="clear" w:color="auto" w:fill="auto"/>
            <w:noWrap/>
            <w:vAlign w:val="center"/>
            <w:hideMark/>
          </w:tcPr>
          <w:p w14:paraId="34365A9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16,428</w:t>
            </w:r>
          </w:p>
        </w:tc>
        <w:tc>
          <w:tcPr>
            <w:tcW w:w="938" w:type="dxa"/>
            <w:tcBorders>
              <w:top w:val="nil"/>
              <w:left w:val="nil"/>
              <w:bottom w:val="single" w:sz="4" w:space="0" w:color="auto"/>
              <w:right w:val="single" w:sz="4" w:space="0" w:color="auto"/>
            </w:tcBorders>
            <w:shd w:val="clear" w:color="auto" w:fill="auto"/>
            <w:noWrap/>
            <w:vAlign w:val="center"/>
            <w:hideMark/>
          </w:tcPr>
          <w:p w14:paraId="243DB6C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16,428</w:t>
            </w:r>
          </w:p>
        </w:tc>
        <w:tc>
          <w:tcPr>
            <w:tcW w:w="1134" w:type="dxa"/>
            <w:tcBorders>
              <w:top w:val="nil"/>
              <w:left w:val="nil"/>
              <w:bottom w:val="single" w:sz="4" w:space="0" w:color="auto"/>
              <w:right w:val="single" w:sz="4" w:space="0" w:color="auto"/>
            </w:tcBorders>
            <w:shd w:val="clear" w:color="auto" w:fill="auto"/>
            <w:noWrap/>
            <w:vAlign w:val="center"/>
            <w:hideMark/>
          </w:tcPr>
          <w:p w14:paraId="6E9905E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25%</w:t>
            </w:r>
          </w:p>
        </w:tc>
      </w:tr>
      <w:tr w:rsidR="009457F5" w:rsidRPr="009457F5" w14:paraId="1682F01E"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5D00C00"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 Administration Fees</w:t>
            </w:r>
          </w:p>
        </w:tc>
        <w:tc>
          <w:tcPr>
            <w:tcW w:w="1162" w:type="dxa"/>
            <w:tcBorders>
              <w:top w:val="nil"/>
              <w:left w:val="nil"/>
              <w:bottom w:val="single" w:sz="4" w:space="0" w:color="auto"/>
              <w:right w:val="single" w:sz="4" w:space="0" w:color="auto"/>
            </w:tcBorders>
            <w:shd w:val="clear" w:color="auto" w:fill="auto"/>
            <w:noWrap/>
            <w:vAlign w:val="bottom"/>
            <w:hideMark/>
          </w:tcPr>
          <w:p w14:paraId="19691B2B"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1,596,000</w:t>
            </w:r>
          </w:p>
        </w:tc>
        <w:tc>
          <w:tcPr>
            <w:tcW w:w="927" w:type="dxa"/>
            <w:tcBorders>
              <w:top w:val="nil"/>
              <w:left w:val="nil"/>
              <w:bottom w:val="single" w:sz="4" w:space="0" w:color="auto"/>
              <w:right w:val="single" w:sz="4" w:space="0" w:color="auto"/>
            </w:tcBorders>
            <w:shd w:val="clear" w:color="auto" w:fill="auto"/>
            <w:noWrap/>
            <w:vAlign w:val="bottom"/>
            <w:hideMark/>
          </w:tcPr>
          <w:p w14:paraId="7043F8D1"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881,451</w:t>
            </w:r>
          </w:p>
        </w:tc>
        <w:tc>
          <w:tcPr>
            <w:tcW w:w="771" w:type="dxa"/>
            <w:tcBorders>
              <w:top w:val="nil"/>
              <w:left w:val="nil"/>
              <w:bottom w:val="single" w:sz="4" w:space="0" w:color="auto"/>
              <w:right w:val="single" w:sz="4" w:space="0" w:color="auto"/>
            </w:tcBorders>
            <w:shd w:val="clear" w:color="auto" w:fill="auto"/>
            <w:noWrap/>
            <w:vAlign w:val="center"/>
            <w:hideMark/>
          </w:tcPr>
          <w:p w14:paraId="7AAD4C9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-714,549</w:t>
            </w:r>
          </w:p>
        </w:tc>
        <w:tc>
          <w:tcPr>
            <w:tcW w:w="938" w:type="dxa"/>
            <w:tcBorders>
              <w:top w:val="nil"/>
              <w:left w:val="nil"/>
              <w:bottom w:val="single" w:sz="4" w:space="0" w:color="auto"/>
              <w:right w:val="single" w:sz="4" w:space="0" w:color="auto"/>
            </w:tcBorders>
            <w:shd w:val="clear" w:color="auto" w:fill="auto"/>
            <w:noWrap/>
            <w:vAlign w:val="center"/>
            <w:hideMark/>
          </w:tcPr>
          <w:p w14:paraId="6560B8B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714,549</w:t>
            </w:r>
          </w:p>
        </w:tc>
        <w:tc>
          <w:tcPr>
            <w:tcW w:w="1134" w:type="dxa"/>
            <w:tcBorders>
              <w:top w:val="nil"/>
              <w:left w:val="nil"/>
              <w:bottom w:val="single" w:sz="4" w:space="0" w:color="auto"/>
              <w:right w:val="single" w:sz="4" w:space="0" w:color="auto"/>
            </w:tcBorders>
            <w:shd w:val="clear" w:color="auto" w:fill="auto"/>
            <w:noWrap/>
            <w:vAlign w:val="center"/>
            <w:hideMark/>
          </w:tcPr>
          <w:p w14:paraId="4A9A24C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45%</w:t>
            </w:r>
          </w:p>
        </w:tc>
      </w:tr>
      <w:tr w:rsidR="009457F5" w:rsidRPr="009457F5" w14:paraId="4B4ADB3A"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8427D59"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 Dividends</w:t>
            </w:r>
          </w:p>
        </w:tc>
        <w:tc>
          <w:tcPr>
            <w:tcW w:w="1162" w:type="dxa"/>
            <w:tcBorders>
              <w:top w:val="nil"/>
              <w:left w:val="nil"/>
              <w:bottom w:val="single" w:sz="4" w:space="0" w:color="auto"/>
              <w:right w:val="single" w:sz="4" w:space="0" w:color="auto"/>
            </w:tcBorders>
            <w:shd w:val="clear" w:color="auto" w:fill="auto"/>
            <w:noWrap/>
            <w:vAlign w:val="bottom"/>
            <w:hideMark/>
          </w:tcPr>
          <w:p w14:paraId="69CF9FF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442,043</w:t>
            </w:r>
          </w:p>
        </w:tc>
        <w:tc>
          <w:tcPr>
            <w:tcW w:w="927" w:type="dxa"/>
            <w:tcBorders>
              <w:top w:val="nil"/>
              <w:left w:val="nil"/>
              <w:bottom w:val="single" w:sz="4" w:space="0" w:color="auto"/>
              <w:right w:val="single" w:sz="4" w:space="0" w:color="auto"/>
            </w:tcBorders>
            <w:shd w:val="clear" w:color="auto" w:fill="auto"/>
            <w:noWrap/>
            <w:vAlign w:val="bottom"/>
            <w:hideMark/>
          </w:tcPr>
          <w:p w14:paraId="5D3992E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861,737</w:t>
            </w:r>
          </w:p>
        </w:tc>
        <w:tc>
          <w:tcPr>
            <w:tcW w:w="771" w:type="dxa"/>
            <w:tcBorders>
              <w:top w:val="nil"/>
              <w:left w:val="nil"/>
              <w:bottom w:val="single" w:sz="4" w:space="0" w:color="auto"/>
              <w:right w:val="single" w:sz="4" w:space="0" w:color="auto"/>
            </w:tcBorders>
            <w:shd w:val="clear" w:color="auto" w:fill="auto"/>
            <w:noWrap/>
            <w:vAlign w:val="center"/>
            <w:hideMark/>
          </w:tcPr>
          <w:p w14:paraId="04C4F07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419,694</w:t>
            </w:r>
          </w:p>
        </w:tc>
        <w:tc>
          <w:tcPr>
            <w:tcW w:w="938" w:type="dxa"/>
            <w:tcBorders>
              <w:top w:val="nil"/>
              <w:left w:val="nil"/>
              <w:bottom w:val="single" w:sz="4" w:space="0" w:color="auto"/>
              <w:right w:val="single" w:sz="4" w:space="0" w:color="auto"/>
            </w:tcBorders>
            <w:shd w:val="clear" w:color="auto" w:fill="auto"/>
            <w:noWrap/>
            <w:vAlign w:val="center"/>
            <w:hideMark/>
          </w:tcPr>
          <w:p w14:paraId="124A1BE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419,694</w:t>
            </w:r>
          </w:p>
        </w:tc>
        <w:tc>
          <w:tcPr>
            <w:tcW w:w="1134" w:type="dxa"/>
            <w:tcBorders>
              <w:top w:val="nil"/>
              <w:left w:val="nil"/>
              <w:bottom w:val="single" w:sz="4" w:space="0" w:color="auto"/>
              <w:right w:val="single" w:sz="4" w:space="0" w:color="auto"/>
            </w:tcBorders>
            <w:shd w:val="clear" w:color="auto" w:fill="auto"/>
            <w:noWrap/>
            <w:vAlign w:val="center"/>
            <w:hideMark/>
          </w:tcPr>
          <w:p w14:paraId="401D9E3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95%</w:t>
            </w:r>
          </w:p>
        </w:tc>
      </w:tr>
      <w:tr w:rsidR="009457F5" w:rsidRPr="009457F5" w14:paraId="1B158280"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1C90B9A"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6. Interest</w:t>
            </w:r>
          </w:p>
        </w:tc>
        <w:tc>
          <w:tcPr>
            <w:tcW w:w="1162" w:type="dxa"/>
            <w:tcBorders>
              <w:top w:val="nil"/>
              <w:left w:val="nil"/>
              <w:bottom w:val="single" w:sz="4" w:space="0" w:color="auto"/>
              <w:right w:val="single" w:sz="4" w:space="0" w:color="auto"/>
            </w:tcBorders>
            <w:shd w:val="clear" w:color="auto" w:fill="auto"/>
            <w:noWrap/>
            <w:vAlign w:val="bottom"/>
            <w:hideMark/>
          </w:tcPr>
          <w:p w14:paraId="68CECA0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754,743</w:t>
            </w:r>
          </w:p>
        </w:tc>
        <w:tc>
          <w:tcPr>
            <w:tcW w:w="927" w:type="dxa"/>
            <w:tcBorders>
              <w:top w:val="nil"/>
              <w:left w:val="nil"/>
              <w:bottom w:val="single" w:sz="4" w:space="0" w:color="auto"/>
              <w:right w:val="single" w:sz="4" w:space="0" w:color="auto"/>
            </w:tcBorders>
            <w:shd w:val="clear" w:color="auto" w:fill="auto"/>
            <w:noWrap/>
            <w:vAlign w:val="bottom"/>
            <w:hideMark/>
          </w:tcPr>
          <w:p w14:paraId="6028E8B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810,883</w:t>
            </w:r>
          </w:p>
        </w:tc>
        <w:tc>
          <w:tcPr>
            <w:tcW w:w="771" w:type="dxa"/>
            <w:tcBorders>
              <w:top w:val="nil"/>
              <w:left w:val="nil"/>
              <w:bottom w:val="single" w:sz="4" w:space="0" w:color="auto"/>
              <w:right w:val="single" w:sz="4" w:space="0" w:color="auto"/>
            </w:tcBorders>
            <w:shd w:val="clear" w:color="auto" w:fill="auto"/>
            <w:noWrap/>
            <w:vAlign w:val="center"/>
            <w:hideMark/>
          </w:tcPr>
          <w:p w14:paraId="1C73EE6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56,140</w:t>
            </w:r>
          </w:p>
        </w:tc>
        <w:tc>
          <w:tcPr>
            <w:tcW w:w="938" w:type="dxa"/>
            <w:tcBorders>
              <w:top w:val="nil"/>
              <w:left w:val="nil"/>
              <w:bottom w:val="single" w:sz="4" w:space="0" w:color="auto"/>
              <w:right w:val="single" w:sz="4" w:space="0" w:color="auto"/>
            </w:tcBorders>
            <w:shd w:val="clear" w:color="auto" w:fill="auto"/>
            <w:noWrap/>
            <w:vAlign w:val="center"/>
            <w:hideMark/>
          </w:tcPr>
          <w:p w14:paraId="268E857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56,140</w:t>
            </w:r>
          </w:p>
        </w:tc>
        <w:tc>
          <w:tcPr>
            <w:tcW w:w="1134" w:type="dxa"/>
            <w:tcBorders>
              <w:top w:val="nil"/>
              <w:left w:val="nil"/>
              <w:bottom w:val="single" w:sz="4" w:space="0" w:color="auto"/>
              <w:right w:val="single" w:sz="4" w:space="0" w:color="auto"/>
            </w:tcBorders>
            <w:shd w:val="clear" w:color="auto" w:fill="auto"/>
            <w:noWrap/>
            <w:vAlign w:val="center"/>
            <w:hideMark/>
          </w:tcPr>
          <w:p w14:paraId="44A22295"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w:t>
            </w:r>
          </w:p>
        </w:tc>
      </w:tr>
      <w:tr w:rsidR="009457F5" w:rsidRPr="009457F5" w14:paraId="60BE614B"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33C3035"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 Overflight Rights</w:t>
            </w:r>
          </w:p>
        </w:tc>
        <w:tc>
          <w:tcPr>
            <w:tcW w:w="1162" w:type="dxa"/>
            <w:tcBorders>
              <w:top w:val="nil"/>
              <w:left w:val="nil"/>
              <w:bottom w:val="single" w:sz="4" w:space="0" w:color="auto"/>
              <w:right w:val="single" w:sz="4" w:space="0" w:color="auto"/>
            </w:tcBorders>
            <w:shd w:val="clear" w:color="auto" w:fill="auto"/>
            <w:noWrap/>
            <w:vAlign w:val="bottom"/>
            <w:hideMark/>
          </w:tcPr>
          <w:p w14:paraId="5712349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583,200</w:t>
            </w:r>
          </w:p>
        </w:tc>
        <w:tc>
          <w:tcPr>
            <w:tcW w:w="927" w:type="dxa"/>
            <w:tcBorders>
              <w:top w:val="nil"/>
              <w:left w:val="nil"/>
              <w:bottom w:val="single" w:sz="4" w:space="0" w:color="auto"/>
              <w:right w:val="single" w:sz="4" w:space="0" w:color="auto"/>
            </w:tcBorders>
            <w:shd w:val="clear" w:color="auto" w:fill="auto"/>
            <w:noWrap/>
            <w:vAlign w:val="bottom"/>
            <w:hideMark/>
          </w:tcPr>
          <w:p w14:paraId="7077C4A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656,950</w:t>
            </w:r>
          </w:p>
        </w:tc>
        <w:tc>
          <w:tcPr>
            <w:tcW w:w="771" w:type="dxa"/>
            <w:tcBorders>
              <w:top w:val="nil"/>
              <w:left w:val="nil"/>
              <w:bottom w:val="single" w:sz="4" w:space="0" w:color="auto"/>
              <w:right w:val="single" w:sz="4" w:space="0" w:color="auto"/>
            </w:tcBorders>
            <w:shd w:val="clear" w:color="auto" w:fill="auto"/>
            <w:noWrap/>
            <w:vAlign w:val="center"/>
            <w:hideMark/>
          </w:tcPr>
          <w:p w14:paraId="3DBFAE3B"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73,750</w:t>
            </w:r>
          </w:p>
        </w:tc>
        <w:tc>
          <w:tcPr>
            <w:tcW w:w="938" w:type="dxa"/>
            <w:tcBorders>
              <w:top w:val="nil"/>
              <w:left w:val="nil"/>
              <w:bottom w:val="single" w:sz="4" w:space="0" w:color="auto"/>
              <w:right w:val="single" w:sz="4" w:space="0" w:color="auto"/>
            </w:tcBorders>
            <w:shd w:val="clear" w:color="auto" w:fill="auto"/>
            <w:noWrap/>
            <w:vAlign w:val="center"/>
            <w:hideMark/>
          </w:tcPr>
          <w:p w14:paraId="7D8BE193"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73,750</w:t>
            </w:r>
          </w:p>
        </w:tc>
        <w:tc>
          <w:tcPr>
            <w:tcW w:w="1134" w:type="dxa"/>
            <w:tcBorders>
              <w:top w:val="nil"/>
              <w:left w:val="nil"/>
              <w:bottom w:val="single" w:sz="4" w:space="0" w:color="auto"/>
              <w:right w:val="single" w:sz="4" w:space="0" w:color="auto"/>
            </w:tcBorders>
            <w:shd w:val="clear" w:color="auto" w:fill="auto"/>
            <w:noWrap/>
            <w:vAlign w:val="center"/>
            <w:hideMark/>
          </w:tcPr>
          <w:p w14:paraId="7A59C3E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13%</w:t>
            </w:r>
          </w:p>
        </w:tc>
      </w:tr>
      <w:tr w:rsidR="009457F5" w:rsidRPr="009457F5" w14:paraId="67B9660C"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2A76061"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8. Forest Preservation Funds</w:t>
            </w:r>
          </w:p>
        </w:tc>
        <w:tc>
          <w:tcPr>
            <w:tcW w:w="1162" w:type="dxa"/>
            <w:tcBorders>
              <w:top w:val="nil"/>
              <w:left w:val="nil"/>
              <w:bottom w:val="single" w:sz="4" w:space="0" w:color="auto"/>
              <w:right w:val="single" w:sz="4" w:space="0" w:color="auto"/>
            </w:tcBorders>
            <w:shd w:val="clear" w:color="auto" w:fill="auto"/>
            <w:noWrap/>
            <w:vAlign w:val="bottom"/>
            <w:hideMark/>
          </w:tcPr>
          <w:p w14:paraId="6A290C7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6,800</w:t>
            </w:r>
          </w:p>
        </w:tc>
        <w:tc>
          <w:tcPr>
            <w:tcW w:w="927" w:type="dxa"/>
            <w:tcBorders>
              <w:top w:val="nil"/>
              <w:left w:val="nil"/>
              <w:bottom w:val="single" w:sz="4" w:space="0" w:color="auto"/>
              <w:right w:val="single" w:sz="4" w:space="0" w:color="auto"/>
            </w:tcBorders>
            <w:shd w:val="clear" w:color="auto" w:fill="auto"/>
            <w:noWrap/>
            <w:vAlign w:val="bottom"/>
            <w:hideMark/>
          </w:tcPr>
          <w:p w14:paraId="43CFA638"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4,282</w:t>
            </w:r>
          </w:p>
        </w:tc>
        <w:tc>
          <w:tcPr>
            <w:tcW w:w="771" w:type="dxa"/>
            <w:tcBorders>
              <w:top w:val="nil"/>
              <w:left w:val="nil"/>
              <w:bottom w:val="single" w:sz="4" w:space="0" w:color="auto"/>
              <w:right w:val="single" w:sz="4" w:space="0" w:color="auto"/>
            </w:tcBorders>
            <w:shd w:val="clear" w:color="auto" w:fill="auto"/>
            <w:noWrap/>
            <w:vAlign w:val="center"/>
            <w:hideMark/>
          </w:tcPr>
          <w:p w14:paraId="1028884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-2,518</w:t>
            </w:r>
          </w:p>
        </w:tc>
        <w:tc>
          <w:tcPr>
            <w:tcW w:w="938" w:type="dxa"/>
            <w:tcBorders>
              <w:top w:val="nil"/>
              <w:left w:val="nil"/>
              <w:bottom w:val="single" w:sz="4" w:space="0" w:color="auto"/>
              <w:right w:val="single" w:sz="4" w:space="0" w:color="auto"/>
            </w:tcBorders>
            <w:shd w:val="clear" w:color="auto" w:fill="auto"/>
            <w:noWrap/>
            <w:vAlign w:val="center"/>
            <w:hideMark/>
          </w:tcPr>
          <w:p w14:paraId="7E013F78"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2,518</w:t>
            </w:r>
          </w:p>
        </w:tc>
        <w:tc>
          <w:tcPr>
            <w:tcW w:w="1134" w:type="dxa"/>
            <w:tcBorders>
              <w:top w:val="nil"/>
              <w:left w:val="nil"/>
              <w:bottom w:val="single" w:sz="4" w:space="0" w:color="auto"/>
              <w:right w:val="single" w:sz="4" w:space="0" w:color="auto"/>
            </w:tcBorders>
            <w:shd w:val="clear" w:color="auto" w:fill="auto"/>
            <w:noWrap/>
            <w:vAlign w:val="center"/>
            <w:hideMark/>
          </w:tcPr>
          <w:p w14:paraId="10ECCE77"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37%</w:t>
            </w:r>
          </w:p>
        </w:tc>
      </w:tr>
      <w:tr w:rsidR="009457F5" w:rsidRPr="009457F5" w14:paraId="1225699D"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E8CCAC0"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9. Other</w:t>
            </w:r>
          </w:p>
        </w:tc>
        <w:tc>
          <w:tcPr>
            <w:tcW w:w="1162" w:type="dxa"/>
            <w:tcBorders>
              <w:top w:val="nil"/>
              <w:left w:val="nil"/>
              <w:bottom w:val="single" w:sz="4" w:space="0" w:color="auto"/>
              <w:right w:val="single" w:sz="4" w:space="0" w:color="auto"/>
            </w:tcBorders>
            <w:shd w:val="clear" w:color="auto" w:fill="auto"/>
            <w:noWrap/>
            <w:vAlign w:val="bottom"/>
            <w:hideMark/>
          </w:tcPr>
          <w:p w14:paraId="0A4B1347"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8,470</w:t>
            </w:r>
          </w:p>
        </w:tc>
        <w:tc>
          <w:tcPr>
            <w:tcW w:w="927" w:type="dxa"/>
            <w:tcBorders>
              <w:top w:val="nil"/>
              <w:left w:val="nil"/>
              <w:bottom w:val="single" w:sz="4" w:space="0" w:color="auto"/>
              <w:right w:val="single" w:sz="4" w:space="0" w:color="auto"/>
            </w:tcBorders>
            <w:shd w:val="clear" w:color="auto" w:fill="auto"/>
            <w:noWrap/>
            <w:vAlign w:val="bottom"/>
            <w:hideMark/>
          </w:tcPr>
          <w:p w14:paraId="7D2F3101"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130,875</w:t>
            </w:r>
          </w:p>
        </w:tc>
        <w:tc>
          <w:tcPr>
            <w:tcW w:w="771" w:type="dxa"/>
            <w:tcBorders>
              <w:top w:val="nil"/>
              <w:left w:val="nil"/>
              <w:bottom w:val="single" w:sz="4" w:space="0" w:color="auto"/>
              <w:right w:val="single" w:sz="4" w:space="0" w:color="auto"/>
            </w:tcBorders>
            <w:shd w:val="clear" w:color="auto" w:fill="auto"/>
            <w:noWrap/>
            <w:vAlign w:val="center"/>
            <w:hideMark/>
          </w:tcPr>
          <w:p w14:paraId="1677E5A2"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122,405</w:t>
            </w:r>
          </w:p>
        </w:tc>
        <w:tc>
          <w:tcPr>
            <w:tcW w:w="938" w:type="dxa"/>
            <w:tcBorders>
              <w:top w:val="nil"/>
              <w:left w:val="nil"/>
              <w:bottom w:val="single" w:sz="4" w:space="0" w:color="auto"/>
              <w:right w:val="single" w:sz="4" w:space="0" w:color="auto"/>
            </w:tcBorders>
            <w:shd w:val="clear" w:color="auto" w:fill="auto"/>
            <w:noWrap/>
            <w:vAlign w:val="center"/>
            <w:hideMark/>
          </w:tcPr>
          <w:p w14:paraId="10B12B7B"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122,405</w:t>
            </w:r>
          </w:p>
        </w:tc>
        <w:tc>
          <w:tcPr>
            <w:tcW w:w="1134" w:type="dxa"/>
            <w:tcBorders>
              <w:top w:val="nil"/>
              <w:left w:val="nil"/>
              <w:bottom w:val="single" w:sz="4" w:space="0" w:color="auto"/>
              <w:right w:val="single" w:sz="4" w:space="0" w:color="auto"/>
            </w:tcBorders>
            <w:shd w:val="clear" w:color="auto" w:fill="auto"/>
            <w:noWrap/>
            <w:vAlign w:val="center"/>
            <w:hideMark/>
          </w:tcPr>
          <w:p w14:paraId="77DDC6E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1445%</w:t>
            </w:r>
          </w:p>
        </w:tc>
      </w:tr>
      <w:tr w:rsidR="009457F5" w:rsidRPr="009457F5" w14:paraId="58C2B5CC"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5154B9" w14:textId="77777777" w:rsidR="009457F5" w:rsidRPr="009457F5" w:rsidRDefault="009457F5" w:rsidP="009457F5">
            <w:pPr>
              <w:spacing w:before="0"/>
              <w:ind w:left="0"/>
              <w:jc w:val="lef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 xml:space="preserve">Total Tax and </w:t>
            </w:r>
            <w:proofErr w:type="spellStart"/>
            <w:r w:rsidRPr="009457F5">
              <w:rPr>
                <w:rFonts w:ascii="Times New Roman" w:hAnsi="Times New Roman"/>
                <w:b/>
                <w:bCs/>
                <w:color w:val="000000"/>
                <w:sz w:val="16"/>
                <w:szCs w:val="16"/>
                <w:lang w:val="en-GB" w:eastAsia="fr-FR"/>
              </w:rPr>
              <w:t>NonTax</w:t>
            </w:r>
            <w:proofErr w:type="spellEnd"/>
            <w:r w:rsidRPr="009457F5">
              <w:rPr>
                <w:rFonts w:ascii="Times New Roman" w:hAnsi="Times New Roman"/>
                <w:b/>
                <w:bCs/>
                <w:color w:val="000000"/>
                <w:sz w:val="16"/>
                <w:szCs w:val="16"/>
                <w:lang w:val="en-GB" w:eastAsia="fr-FR"/>
              </w:rPr>
              <w:t xml:space="preserve"> Revenues</w:t>
            </w:r>
          </w:p>
        </w:tc>
        <w:tc>
          <w:tcPr>
            <w:tcW w:w="1162" w:type="dxa"/>
            <w:tcBorders>
              <w:top w:val="nil"/>
              <w:left w:val="nil"/>
              <w:bottom w:val="single" w:sz="4" w:space="0" w:color="auto"/>
              <w:right w:val="single" w:sz="4" w:space="0" w:color="auto"/>
            </w:tcBorders>
            <w:shd w:val="clear" w:color="auto" w:fill="auto"/>
            <w:noWrap/>
            <w:vAlign w:val="center"/>
            <w:hideMark/>
          </w:tcPr>
          <w:p w14:paraId="0B2C08E3"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21,220,834</w:t>
            </w:r>
          </w:p>
        </w:tc>
        <w:tc>
          <w:tcPr>
            <w:tcW w:w="927" w:type="dxa"/>
            <w:tcBorders>
              <w:top w:val="nil"/>
              <w:left w:val="nil"/>
              <w:bottom w:val="single" w:sz="4" w:space="0" w:color="auto"/>
              <w:right w:val="single" w:sz="4" w:space="0" w:color="auto"/>
            </w:tcBorders>
            <w:shd w:val="clear" w:color="auto" w:fill="auto"/>
            <w:noWrap/>
            <w:vAlign w:val="center"/>
            <w:hideMark/>
          </w:tcPr>
          <w:p w14:paraId="335DB17A"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20,479,129</w:t>
            </w:r>
          </w:p>
        </w:tc>
        <w:tc>
          <w:tcPr>
            <w:tcW w:w="771" w:type="dxa"/>
            <w:tcBorders>
              <w:top w:val="nil"/>
              <w:left w:val="nil"/>
              <w:bottom w:val="single" w:sz="4" w:space="0" w:color="auto"/>
              <w:right w:val="single" w:sz="4" w:space="0" w:color="auto"/>
            </w:tcBorders>
            <w:shd w:val="clear" w:color="auto" w:fill="auto"/>
            <w:noWrap/>
            <w:vAlign w:val="center"/>
            <w:hideMark/>
          </w:tcPr>
          <w:p w14:paraId="2C6E53F6"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-741,705</w:t>
            </w:r>
          </w:p>
        </w:tc>
        <w:tc>
          <w:tcPr>
            <w:tcW w:w="938" w:type="dxa"/>
            <w:tcBorders>
              <w:top w:val="nil"/>
              <w:left w:val="nil"/>
              <w:bottom w:val="single" w:sz="4" w:space="0" w:color="auto"/>
              <w:right w:val="single" w:sz="4" w:space="0" w:color="auto"/>
            </w:tcBorders>
            <w:shd w:val="clear" w:color="auto" w:fill="auto"/>
            <w:noWrap/>
            <w:vAlign w:val="center"/>
            <w:hideMark/>
          </w:tcPr>
          <w:p w14:paraId="1F97D884"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4,121,700</w:t>
            </w:r>
          </w:p>
        </w:tc>
        <w:tc>
          <w:tcPr>
            <w:tcW w:w="1134" w:type="dxa"/>
            <w:tcBorders>
              <w:top w:val="nil"/>
              <w:left w:val="nil"/>
              <w:bottom w:val="single" w:sz="4" w:space="0" w:color="auto"/>
              <w:right w:val="single" w:sz="4" w:space="0" w:color="auto"/>
            </w:tcBorders>
            <w:shd w:val="clear" w:color="auto" w:fill="auto"/>
            <w:noWrap/>
            <w:vAlign w:val="center"/>
            <w:hideMark/>
          </w:tcPr>
          <w:p w14:paraId="1F59F2C2"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19%</w:t>
            </w:r>
          </w:p>
        </w:tc>
      </w:tr>
      <w:tr w:rsidR="009457F5" w:rsidRPr="009457F5" w14:paraId="22FB986D"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C52B3A"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Asset Sale</w:t>
            </w:r>
          </w:p>
        </w:tc>
        <w:tc>
          <w:tcPr>
            <w:tcW w:w="1162" w:type="dxa"/>
            <w:tcBorders>
              <w:top w:val="nil"/>
              <w:left w:val="nil"/>
              <w:bottom w:val="single" w:sz="4" w:space="0" w:color="auto"/>
              <w:right w:val="single" w:sz="4" w:space="0" w:color="auto"/>
            </w:tcBorders>
            <w:shd w:val="clear" w:color="auto" w:fill="auto"/>
            <w:noWrap/>
            <w:vAlign w:val="center"/>
            <w:hideMark/>
          </w:tcPr>
          <w:p w14:paraId="67181AE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114,617</w:t>
            </w:r>
          </w:p>
        </w:tc>
        <w:tc>
          <w:tcPr>
            <w:tcW w:w="927" w:type="dxa"/>
            <w:tcBorders>
              <w:top w:val="nil"/>
              <w:left w:val="nil"/>
              <w:bottom w:val="single" w:sz="4" w:space="0" w:color="auto"/>
              <w:right w:val="single" w:sz="4" w:space="0" w:color="auto"/>
            </w:tcBorders>
            <w:shd w:val="clear" w:color="auto" w:fill="auto"/>
            <w:noWrap/>
            <w:vAlign w:val="center"/>
            <w:hideMark/>
          </w:tcPr>
          <w:p w14:paraId="22CDBB2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77,435</w:t>
            </w:r>
          </w:p>
        </w:tc>
        <w:tc>
          <w:tcPr>
            <w:tcW w:w="771" w:type="dxa"/>
            <w:tcBorders>
              <w:top w:val="nil"/>
              <w:left w:val="nil"/>
              <w:bottom w:val="single" w:sz="4" w:space="0" w:color="auto"/>
              <w:right w:val="single" w:sz="4" w:space="0" w:color="auto"/>
            </w:tcBorders>
            <w:shd w:val="clear" w:color="auto" w:fill="auto"/>
            <w:noWrap/>
            <w:vAlign w:val="center"/>
            <w:hideMark/>
          </w:tcPr>
          <w:p w14:paraId="4992BFA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-37,182</w:t>
            </w:r>
          </w:p>
        </w:tc>
        <w:tc>
          <w:tcPr>
            <w:tcW w:w="938" w:type="dxa"/>
            <w:tcBorders>
              <w:top w:val="nil"/>
              <w:left w:val="nil"/>
              <w:bottom w:val="single" w:sz="4" w:space="0" w:color="auto"/>
              <w:right w:val="single" w:sz="4" w:space="0" w:color="auto"/>
            </w:tcBorders>
            <w:shd w:val="clear" w:color="auto" w:fill="auto"/>
            <w:noWrap/>
            <w:vAlign w:val="center"/>
            <w:hideMark/>
          </w:tcPr>
          <w:p w14:paraId="1DD06C9A"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37,182</w:t>
            </w:r>
          </w:p>
        </w:tc>
        <w:tc>
          <w:tcPr>
            <w:tcW w:w="1134" w:type="dxa"/>
            <w:tcBorders>
              <w:top w:val="nil"/>
              <w:left w:val="nil"/>
              <w:bottom w:val="single" w:sz="4" w:space="0" w:color="auto"/>
              <w:right w:val="single" w:sz="4" w:space="0" w:color="auto"/>
            </w:tcBorders>
            <w:shd w:val="clear" w:color="auto" w:fill="auto"/>
            <w:noWrap/>
            <w:vAlign w:val="center"/>
            <w:hideMark/>
          </w:tcPr>
          <w:p w14:paraId="5FE3031F"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32%</w:t>
            </w:r>
          </w:p>
        </w:tc>
      </w:tr>
      <w:tr w:rsidR="009457F5" w:rsidRPr="009457F5" w14:paraId="29CE5407"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913511C"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Capital Return</w:t>
            </w:r>
          </w:p>
        </w:tc>
        <w:tc>
          <w:tcPr>
            <w:tcW w:w="1162" w:type="dxa"/>
            <w:tcBorders>
              <w:top w:val="nil"/>
              <w:left w:val="nil"/>
              <w:bottom w:val="single" w:sz="4" w:space="0" w:color="auto"/>
              <w:right w:val="single" w:sz="4" w:space="0" w:color="auto"/>
            </w:tcBorders>
            <w:shd w:val="clear" w:color="auto" w:fill="auto"/>
            <w:noWrap/>
            <w:vAlign w:val="center"/>
            <w:hideMark/>
          </w:tcPr>
          <w:p w14:paraId="651B6BE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127,549</w:t>
            </w:r>
          </w:p>
        </w:tc>
        <w:tc>
          <w:tcPr>
            <w:tcW w:w="927" w:type="dxa"/>
            <w:tcBorders>
              <w:top w:val="nil"/>
              <w:left w:val="nil"/>
              <w:bottom w:val="single" w:sz="4" w:space="0" w:color="auto"/>
              <w:right w:val="single" w:sz="4" w:space="0" w:color="auto"/>
            </w:tcBorders>
            <w:shd w:val="clear" w:color="auto" w:fill="auto"/>
            <w:noWrap/>
            <w:vAlign w:val="center"/>
            <w:hideMark/>
          </w:tcPr>
          <w:p w14:paraId="68073064"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109,394</w:t>
            </w:r>
          </w:p>
        </w:tc>
        <w:tc>
          <w:tcPr>
            <w:tcW w:w="771" w:type="dxa"/>
            <w:tcBorders>
              <w:top w:val="nil"/>
              <w:left w:val="nil"/>
              <w:bottom w:val="single" w:sz="4" w:space="0" w:color="auto"/>
              <w:right w:val="single" w:sz="4" w:space="0" w:color="auto"/>
            </w:tcBorders>
            <w:shd w:val="clear" w:color="auto" w:fill="auto"/>
            <w:noWrap/>
            <w:vAlign w:val="center"/>
            <w:hideMark/>
          </w:tcPr>
          <w:p w14:paraId="76D8645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-18,155</w:t>
            </w:r>
          </w:p>
        </w:tc>
        <w:tc>
          <w:tcPr>
            <w:tcW w:w="938" w:type="dxa"/>
            <w:tcBorders>
              <w:top w:val="nil"/>
              <w:left w:val="nil"/>
              <w:bottom w:val="single" w:sz="4" w:space="0" w:color="auto"/>
              <w:right w:val="single" w:sz="4" w:space="0" w:color="auto"/>
            </w:tcBorders>
            <w:shd w:val="clear" w:color="auto" w:fill="auto"/>
            <w:noWrap/>
            <w:vAlign w:val="center"/>
            <w:hideMark/>
          </w:tcPr>
          <w:p w14:paraId="668F1D2C"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fr-FR" w:eastAsia="fr-FR"/>
              </w:rPr>
              <w:t>18,155</w:t>
            </w:r>
          </w:p>
        </w:tc>
        <w:tc>
          <w:tcPr>
            <w:tcW w:w="1134" w:type="dxa"/>
            <w:tcBorders>
              <w:top w:val="nil"/>
              <w:left w:val="nil"/>
              <w:bottom w:val="single" w:sz="4" w:space="0" w:color="auto"/>
              <w:right w:val="single" w:sz="4" w:space="0" w:color="auto"/>
            </w:tcBorders>
            <w:shd w:val="clear" w:color="auto" w:fill="auto"/>
            <w:noWrap/>
            <w:vAlign w:val="center"/>
            <w:hideMark/>
          </w:tcPr>
          <w:p w14:paraId="1B5F15A6"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14%</w:t>
            </w:r>
          </w:p>
        </w:tc>
      </w:tr>
      <w:tr w:rsidR="009457F5" w:rsidRPr="009457F5" w14:paraId="29A661C6"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B7A5866"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Pump Amortization</w:t>
            </w:r>
          </w:p>
        </w:tc>
        <w:tc>
          <w:tcPr>
            <w:tcW w:w="1162" w:type="dxa"/>
            <w:tcBorders>
              <w:top w:val="nil"/>
              <w:left w:val="nil"/>
              <w:bottom w:val="single" w:sz="4" w:space="0" w:color="auto"/>
              <w:right w:val="single" w:sz="4" w:space="0" w:color="auto"/>
            </w:tcBorders>
            <w:shd w:val="clear" w:color="auto" w:fill="auto"/>
            <w:noWrap/>
            <w:vAlign w:val="center"/>
            <w:hideMark/>
          </w:tcPr>
          <w:p w14:paraId="4F9E2250"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w:t>
            </w:r>
          </w:p>
        </w:tc>
        <w:tc>
          <w:tcPr>
            <w:tcW w:w="927" w:type="dxa"/>
            <w:tcBorders>
              <w:top w:val="nil"/>
              <w:left w:val="nil"/>
              <w:bottom w:val="single" w:sz="4" w:space="0" w:color="auto"/>
              <w:right w:val="single" w:sz="4" w:space="0" w:color="auto"/>
            </w:tcBorders>
            <w:shd w:val="clear" w:color="auto" w:fill="auto"/>
            <w:noWrap/>
            <w:vAlign w:val="center"/>
            <w:hideMark/>
          </w:tcPr>
          <w:p w14:paraId="00972837"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w:t>
            </w:r>
          </w:p>
        </w:tc>
        <w:tc>
          <w:tcPr>
            <w:tcW w:w="771" w:type="dxa"/>
            <w:tcBorders>
              <w:top w:val="nil"/>
              <w:left w:val="nil"/>
              <w:bottom w:val="single" w:sz="4" w:space="0" w:color="auto"/>
              <w:right w:val="single" w:sz="4" w:space="0" w:color="auto"/>
            </w:tcBorders>
            <w:shd w:val="clear" w:color="auto" w:fill="auto"/>
            <w:noWrap/>
            <w:vAlign w:val="center"/>
            <w:hideMark/>
          </w:tcPr>
          <w:p w14:paraId="41EE6E98"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w:t>
            </w:r>
          </w:p>
        </w:tc>
        <w:tc>
          <w:tcPr>
            <w:tcW w:w="938" w:type="dxa"/>
            <w:tcBorders>
              <w:top w:val="nil"/>
              <w:left w:val="nil"/>
              <w:bottom w:val="single" w:sz="4" w:space="0" w:color="auto"/>
              <w:right w:val="single" w:sz="4" w:space="0" w:color="auto"/>
            </w:tcBorders>
            <w:shd w:val="clear" w:color="auto" w:fill="auto"/>
            <w:noWrap/>
            <w:vAlign w:val="center"/>
            <w:hideMark/>
          </w:tcPr>
          <w:p w14:paraId="731581ED" w14:textId="77777777" w:rsidR="009457F5" w:rsidRPr="009457F5" w:rsidRDefault="009457F5" w:rsidP="000310F5">
            <w:pPr>
              <w:spacing w:before="0"/>
              <w:ind w:left="0"/>
              <w:jc w:val="right"/>
              <w:rPr>
                <w:rFonts w:ascii="Times New Roman" w:hAnsi="Times New Roman"/>
                <w:color w:val="000000"/>
                <w:sz w:val="16"/>
                <w:szCs w:val="16"/>
                <w:lang w:val="fr-FR" w:eastAsia="fr-FR"/>
              </w:rPr>
            </w:pPr>
            <w:r w:rsidRPr="009457F5">
              <w:rPr>
                <w:rFonts w:ascii="Times New Roman" w:hAnsi="Times New Roman"/>
                <w:color w:val="000000"/>
                <w:sz w:val="16"/>
                <w:szCs w:val="16"/>
                <w:lang w:val="en-GB"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B265C0F" w14:textId="77777777" w:rsidR="009457F5" w:rsidRPr="009457F5" w:rsidRDefault="009457F5" w:rsidP="000310F5">
            <w:pPr>
              <w:spacing w:before="0"/>
              <w:ind w:left="0"/>
              <w:jc w:val="right"/>
              <w:rPr>
                <w:rFonts w:ascii="Calibri" w:hAnsi="Calibri" w:cs="Calibri"/>
                <w:color w:val="000000"/>
                <w:lang w:val="fr-FR" w:eastAsia="fr-FR"/>
              </w:rPr>
            </w:pPr>
          </w:p>
        </w:tc>
      </w:tr>
      <w:tr w:rsidR="009457F5" w:rsidRPr="009457F5" w14:paraId="0EE2703B" w14:textId="77777777" w:rsidTr="00F61CF0">
        <w:trPr>
          <w:trHeight w:val="2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F01B6DA" w14:textId="77777777" w:rsidR="009457F5" w:rsidRPr="009457F5" w:rsidRDefault="009457F5" w:rsidP="009457F5">
            <w:pPr>
              <w:spacing w:before="0"/>
              <w:ind w:left="0"/>
              <w:jc w:val="left"/>
              <w:rPr>
                <w:rFonts w:ascii="Times New Roman" w:hAnsi="Times New Roman"/>
                <w:b/>
                <w:bCs/>
                <w:color w:val="000000"/>
                <w:sz w:val="16"/>
                <w:szCs w:val="16"/>
                <w:lang w:val="en-MY" w:eastAsia="fr-FR"/>
              </w:rPr>
            </w:pPr>
            <w:r w:rsidRPr="009457F5">
              <w:rPr>
                <w:rFonts w:ascii="Times New Roman" w:hAnsi="Times New Roman"/>
                <w:b/>
                <w:bCs/>
                <w:color w:val="000000"/>
                <w:sz w:val="16"/>
                <w:szCs w:val="16"/>
                <w:lang w:val="en-GB" w:eastAsia="fr-FR"/>
              </w:rPr>
              <w:t xml:space="preserve">Total Revenue with Assets </w:t>
            </w:r>
            <w:proofErr w:type="spellStart"/>
            <w:r w:rsidRPr="009457F5">
              <w:rPr>
                <w:rFonts w:ascii="Times New Roman" w:hAnsi="Times New Roman"/>
                <w:b/>
                <w:bCs/>
                <w:color w:val="000000"/>
                <w:sz w:val="16"/>
                <w:szCs w:val="16"/>
                <w:lang w:val="en-GB" w:eastAsia="fr-FR"/>
              </w:rPr>
              <w:t>sale+Capital</w:t>
            </w:r>
            <w:proofErr w:type="spellEnd"/>
            <w:r w:rsidRPr="009457F5">
              <w:rPr>
                <w:rFonts w:ascii="Times New Roman" w:hAnsi="Times New Roman"/>
                <w:b/>
                <w:bCs/>
                <w:color w:val="000000"/>
                <w:sz w:val="16"/>
                <w:szCs w:val="16"/>
                <w:lang w:val="en-GB" w:eastAsia="fr-FR"/>
              </w:rPr>
              <w:t xml:space="preserve"> Return</w:t>
            </w:r>
          </w:p>
        </w:tc>
        <w:tc>
          <w:tcPr>
            <w:tcW w:w="1162" w:type="dxa"/>
            <w:tcBorders>
              <w:top w:val="nil"/>
              <w:left w:val="nil"/>
              <w:bottom w:val="single" w:sz="4" w:space="0" w:color="auto"/>
              <w:right w:val="single" w:sz="4" w:space="0" w:color="auto"/>
            </w:tcBorders>
            <w:shd w:val="clear" w:color="auto" w:fill="auto"/>
            <w:vAlign w:val="center"/>
            <w:hideMark/>
          </w:tcPr>
          <w:p w14:paraId="2FD0C5CD"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fr-FR" w:eastAsia="fr-FR"/>
              </w:rPr>
              <w:t>21,463,000</w:t>
            </w:r>
          </w:p>
        </w:tc>
        <w:tc>
          <w:tcPr>
            <w:tcW w:w="927" w:type="dxa"/>
            <w:tcBorders>
              <w:top w:val="nil"/>
              <w:left w:val="nil"/>
              <w:bottom w:val="single" w:sz="4" w:space="0" w:color="auto"/>
              <w:right w:val="single" w:sz="4" w:space="0" w:color="auto"/>
            </w:tcBorders>
            <w:shd w:val="clear" w:color="auto" w:fill="auto"/>
            <w:vAlign w:val="center"/>
            <w:hideMark/>
          </w:tcPr>
          <w:p w14:paraId="77412602"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20,665,958</w:t>
            </w:r>
          </w:p>
        </w:tc>
        <w:tc>
          <w:tcPr>
            <w:tcW w:w="771" w:type="dxa"/>
            <w:tcBorders>
              <w:top w:val="nil"/>
              <w:left w:val="nil"/>
              <w:bottom w:val="single" w:sz="4" w:space="0" w:color="auto"/>
              <w:right w:val="single" w:sz="4" w:space="0" w:color="auto"/>
            </w:tcBorders>
            <w:shd w:val="clear" w:color="auto" w:fill="auto"/>
            <w:vAlign w:val="center"/>
            <w:hideMark/>
          </w:tcPr>
          <w:p w14:paraId="195C0115"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-797,042</w:t>
            </w:r>
          </w:p>
        </w:tc>
        <w:tc>
          <w:tcPr>
            <w:tcW w:w="938" w:type="dxa"/>
            <w:tcBorders>
              <w:top w:val="nil"/>
              <w:left w:val="nil"/>
              <w:bottom w:val="single" w:sz="4" w:space="0" w:color="auto"/>
              <w:right w:val="single" w:sz="4" w:space="0" w:color="auto"/>
            </w:tcBorders>
            <w:shd w:val="clear" w:color="auto" w:fill="auto"/>
            <w:vAlign w:val="center"/>
            <w:hideMark/>
          </w:tcPr>
          <w:p w14:paraId="79A23AE6"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4,177,037</w:t>
            </w:r>
          </w:p>
        </w:tc>
        <w:tc>
          <w:tcPr>
            <w:tcW w:w="1134" w:type="dxa"/>
            <w:tcBorders>
              <w:top w:val="nil"/>
              <w:left w:val="nil"/>
              <w:bottom w:val="single" w:sz="4" w:space="0" w:color="auto"/>
              <w:right w:val="single" w:sz="4" w:space="0" w:color="auto"/>
            </w:tcBorders>
            <w:shd w:val="clear" w:color="auto" w:fill="auto"/>
            <w:vAlign w:val="center"/>
            <w:hideMark/>
          </w:tcPr>
          <w:p w14:paraId="5FBA7334" w14:textId="77777777" w:rsidR="009457F5" w:rsidRPr="009457F5" w:rsidRDefault="009457F5" w:rsidP="000310F5">
            <w:pPr>
              <w:spacing w:before="0"/>
              <w:ind w:left="0"/>
              <w:jc w:val="right"/>
              <w:rPr>
                <w:rFonts w:ascii="Times New Roman" w:hAnsi="Times New Roman"/>
                <w:b/>
                <w:bCs/>
                <w:color w:val="000000"/>
                <w:sz w:val="16"/>
                <w:szCs w:val="16"/>
                <w:lang w:val="fr-FR" w:eastAsia="fr-FR"/>
              </w:rPr>
            </w:pPr>
            <w:r w:rsidRPr="009457F5">
              <w:rPr>
                <w:rFonts w:ascii="Times New Roman" w:hAnsi="Times New Roman"/>
                <w:b/>
                <w:bCs/>
                <w:color w:val="000000"/>
                <w:sz w:val="16"/>
                <w:szCs w:val="16"/>
                <w:lang w:val="en-GB" w:eastAsia="fr-FR"/>
              </w:rPr>
              <w:t>19.46%</w:t>
            </w:r>
          </w:p>
        </w:tc>
      </w:tr>
      <w:tr w:rsidR="009457F5" w:rsidRPr="009457F5" w14:paraId="0F2A0324" w14:textId="77777777" w:rsidTr="00F61CF0">
        <w:trPr>
          <w:trHeight w:val="20"/>
        </w:trPr>
        <w:tc>
          <w:tcPr>
            <w:tcW w:w="82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82ED9" w14:textId="77777777" w:rsidR="009457F5" w:rsidRPr="009457F5" w:rsidRDefault="009457F5" w:rsidP="009457F5">
            <w:pPr>
              <w:spacing w:before="0"/>
              <w:ind w:left="0"/>
              <w:jc w:val="left"/>
              <w:rPr>
                <w:rFonts w:ascii="Times New Roman" w:hAnsi="Times New Roman"/>
                <w:color w:val="000000"/>
                <w:sz w:val="16"/>
                <w:szCs w:val="16"/>
                <w:lang w:val="fr-FR" w:eastAsia="fr-FR"/>
              </w:rPr>
            </w:pPr>
            <w:r w:rsidRPr="009457F5">
              <w:rPr>
                <w:rFonts w:ascii="Times New Roman" w:hAnsi="Times New Roman"/>
                <w:bCs/>
                <w:color w:val="000000"/>
                <w:sz w:val="16"/>
                <w:szCs w:val="16"/>
                <w:lang w:eastAsia="fr-FR"/>
              </w:rPr>
              <w:t>96.2% of budgeted revenue</w:t>
            </w:r>
          </w:p>
        </w:tc>
      </w:tr>
    </w:tbl>
    <w:p w14:paraId="59C73A6B" w14:textId="77777777" w:rsidR="0045428F" w:rsidRDefault="0045428F" w:rsidP="00E12685">
      <w:pPr>
        <w:spacing w:before="0"/>
        <w:ind w:left="0"/>
        <w:rPr>
          <w:rFonts w:ascii="Times New Roman" w:hAnsi="Times New Roman"/>
          <w:sz w:val="24"/>
        </w:rPr>
      </w:pPr>
    </w:p>
    <w:p w14:paraId="4B18F981" w14:textId="77777777" w:rsidR="009457F5" w:rsidRDefault="009457F5" w:rsidP="00E12685">
      <w:pPr>
        <w:spacing w:before="0"/>
        <w:ind w:left="0"/>
        <w:rPr>
          <w:rFonts w:ascii="Times New Roman" w:hAnsi="Times New Roman"/>
          <w:sz w:val="24"/>
        </w:rPr>
      </w:pPr>
    </w:p>
    <w:p w14:paraId="1828B384" w14:textId="77777777" w:rsidR="001747C3" w:rsidRDefault="001747C3">
      <w:pPr>
        <w:spacing w:after="240" w:line="276" w:lineRule="auto"/>
        <w:rPr>
          <w:rFonts w:ascii="Times New Roman" w:hAnsi="Times New Roman"/>
          <w:sz w:val="24"/>
        </w:rPr>
      </w:pPr>
      <w:r>
        <w:rPr>
          <w:rFonts w:ascii="Times New Roman" w:hAnsi="Times New Roman"/>
          <w:sz w:val="24"/>
        </w:rPr>
        <w:br w:type="page"/>
      </w:r>
    </w:p>
    <w:p w14:paraId="6C7B86C6" w14:textId="77777777" w:rsidR="001747C3" w:rsidRDefault="001747C3" w:rsidP="001747C3">
      <w:pPr>
        <w:pStyle w:val="Heading1"/>
        <w:ind w:left="0"/>
        <w:jc w:val="both"/>
        <w:rPr>
          <w:rFonts w:ascii="Times New Roman" w:hAnsi="Times New Roman"/>
        </w:rPr>
      </w:pPr>
      <w:r w:rsidRPr="00C135BA">
        <w:rPr>
          <w:rFonts w:ascii="Times New Roman" w:hAnsi="Times New Roman"/>
        </w:rPr>
        <w:lastRenderedPageBreak/>
        <w:t xml:space="preserve">Annex </w:t>
      </w:r>
      <w:r>
        <w:rPr>
          <w:rFonts w:ascii="Times New Roman" w:hAnsi="Times New Roman"/>
        </w:rPr>
        <w:t>5</w:t>
      </w:r>
      <w:r w:rsidRPr="00C135BA">
        <w:rPr>
          <w:rFonts w:ascii="Times New Roman" w:hAnsi="Times New Roman"/>
        </w:rPr>
        <w:t xml:space="preserve">: </w:t>
      </w:r>
      <w:r w:rsidR="0007172D">
        <w:rPr>
          <w:rFonts w:ascii="Times New Roman" w:hAnsi="Times New Roman"/>
        </w:rPr>
        <w:t xml:space="preserve">Data on </w:t>
      </w:r>
      <w:r>
        <w:rPr>
          <w:rFonts w:ascii="Times New Roman" w:hAnsi="Times New Roman"/>
        </w:rPr>
        <w:t xml:space="preserve">State Owned Enterprises financial </w:t>
      </w:r>
      <w:r w:rsidR="0007172D">
        <w:rPr>
          <w:rFonts w:ascii="Times New Roman" w:hAnsi="Times New Roman"/>
        </w:rPr>
        <w:t xml:space="preserve">reporting </w:t>
      </w:r>
    </w:p>
    <w:p w14:paraId="59EE4021" w14:textId="77777777" w:rsidR="0007172D" w:rsidRPr="003670E9" w:rsidRDefault="0007172D" w:rsidP="003670E9"/>
    <w:tbl>
      <w:tblPr>
        <w:tblW w:w="5983" w:type="pct"/>
        <w:tblInd w:w="-630" w:type="dxa"/>
        <w:tblLayout w:type="fixed"/>
        <w:tblCellMar>
          <w:left w:w="70" w:type="dxa"/>
          <w:right w:w="70" w:type="dxa"/>
        </w:tblCellMar>
        <w:tblLook w:val="04A0" w:firstRow="1" w:lastRow="0" w:firstColumn="1" w:lastColumn="0" w:noHBand="0" w:noVBand="1"/>
      </w:tblPr>
      <w:tblGrid>
        <w:gridCol w:w="904"/>
        <w:gridCol w:w="1977"/>
        <w:gridCol w:w="540"/>
        <w:gridCol w:w="1259"/>
        <w:gridCol w:w="1171"/>
        <w:gridCol w:w="1348"/>
        <w:gridCol w:w="544"/>
        <w:gridCol w:w="989"/>
        <w:gridCol w:w="810"/>
        <w:gridCol w:w="540"/>
        <w:gridCol w:w="719"/>
      </w:tblGrid>
      <w:tr w:rsidR="0007172D" w:rsidRPr="0007172D" w14:paraId="5A70E382" w14:textId="77777777" w:rsidTr="00255252">
        <w:trPr>
          <w:trHeight w:val="300"/>
        </w:trPr>
        <w:tc>
          <w:tcPr>
            <w:tcW w:w="5000" w:type="pct"/>
            <w:gridSpan w:val="11"/>
            <w:tcBorders>
              <w:top w:val="nil"/>
              <w:left w:val="nil"/>
              <w:bottom w:val="nil"/>
              <w:right w:val="nil"/>
            </w:tcBorders>
            <w:shd w:val="clear" w:color="auto" w:fill="auto"/>
            <w:noWrap/>
            <w:vAlign w:val="center"/>
            <w:hideMark/>
          </w:tcPr>
          <w:p w14:paraId="241F28E7" w14:textId="77777777" w:rsidR="0007172D" w:rsidRPr="003670E9" w:rsidRDefault="0007172D" w:rsidP="0007172D">
            <w:pPr>
              <w:spacing w:before="0"/>
              <w:ind w:left="0"/>
              <w:jc w:val="center"/>
              <w:rPr>
                <w:rFonts w:ascii="Times New Roman" w:hAnsi="Times New Roman"/>
                <w:b/>
                <w:bCs/>
                <w:szCs w:val="22"/>
                <w:lang w:eastAsia="fr-FR"/>
              </w:rPr>
            </w:pPr>
            <w:proofErr w:type="spellStart"/>
            <w:proofErr w:type="gramStart"/>
            <w:r w:rsidRPr="0007172D">
              <w:rPr>
                <w:rFonts w:ascii="DokChampa" w:hAnsi="DokChampa" w:cs="DokChampa"/>
                <w:b/>
                <w:bCs/>
                <w:szCs w:val="22"/>
                <w:lang w:val="fr-FR" w:eastAsia="fr-FR"/>
              </w:rPr>
              <w:t>ສາທາລະນະລັດ</w:t>
            </w:r>
            <w:proofErr w:type="spellEnd"/>
            <w:proofErr w:type="gramEnd"/>
            <w:r w:rsidRPr="003670E9">
              <w:rPr>
                <w:rFonts w:ascii="Times New Roman" w:hAnsi="Times New Roman"/>
                <w:b/>
                <w:bCs/>
                <w:szCs w:val="22"/>
                <w:lang w:eastAsia="fr-FR"/>
              </w:rPr>
              <w:t xml:space="preserve"> </w:t>
            </w:r>
            <w:proofErr w:type="spellStart"/>
            <w:r w:rsidRPr="0007172D">
              <w:rPr>
                <w:rFonts w:ascii="DokChampa" w:hAnsi="DokChampa" w:cs="DokChampa"/>
                <w:b/>
                <w:bCs/>
                <w:szCs w:val="22"/>
                <w:lang w:val="fr-FR" w:eastAsia="fr-FR"/>
              </w:rPr>
              <w:t>ປະຊາທິປະໄຕ</w:t>
            </w:r>
            <w:proofErr w:type="spellEnd"/>
            <w:r w:rsidRPr="003670E9">
              <w:rPr>
                <w:rFonts w:ascii="Times New Roman" w:hAnsi="Times New Roman"/>
                <w:b/>
                <w:bCs/>
                <w:szCs w:val="22"/>
                <w:lang w:eastAsia="fr-FR"/>
              </w:rPr>
              <w:t xml:space="preserve"> </w:t>
            </w:r>
            <w:proofErr w:type="spellStart"/>
            <w:r w:rsidRPr="0007172D">
              <w:rPr>
                <w:rFonts w:ascii="DokChampa" w:hAnsi="DokChampa" w:cs="DokChampa"/>
                <w:b/>
                <w:bCs/>
                <w:szCs w:val="22"/>
                <w:lang w:val="fr-FR" w:eastAsia="fr-FR"/>
              </w:rPr>
              <w:t>ປະຊາຊົນລາວ</w:t>
            </w:r>
            <w:proofErr w:type="spellEnd"/>
          </w:p>
        </w:tc>
      </w:tr>
      <w:tr w:rsidR="0007172D" w:rsidRPr="0007172D" w14:paraId="7B6BA569" w14:textId="77777777" w:rsidTr="00255252">
        <w:trPr>
          <w:trHeight w:val="300"/>
        </w:trPr>
        <w:tc>
          <w:tcPr>
            <w:tcW w:w="5000" w:type="pct"/>
            <w:gridSpan w:val="11"/>
            <w:tcBorders>
              <w:top w:val="nil"/>
              <w:left w:val="nil"/>
              <w:bottom w:val="nil"/>
              <w:right w:val="nil"/>
            </w:tcBorders>
            <w:shd w:val="clear" w:color="auto" w:fill="auto"/>
            <w:noWrap/>
            <w:vAlign w:val="center"/>
            <w:hideMark/>
          </w:tcPr>
          <w:p w14:paraId="37D4D7E8" w14:textId="77777777" w:rsidR="0007172D" w:rsidRPr="003670E9" w:rsidRDefault="0007172D" w:rsidP="0007172D">
            <w:pPr>
              <w:spacing w:before="0"/>
              <w:ind w:left="0"/>
              <w:jc w:val="center"/>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ສັນຕິພາບ</w:t>
            </w:r>
            <w:proofErr w:type="spellEnd"/>
            <w:proofErr w:type="gramEnd"/>
            <w:r w:rsidRPr="003670E9">
              <w:rPr>
                <w:rFonts w:ascii="Times New Roman" w:hAnsi="Times New Roman"/>
                <w:szCs w:val="22"/>
                <w:lang w:eastAsia="fr-FR"/>
              </w:rPr>
              <w:t xml:space="preserve"> </w:t>
            </w:r>
            <w:proofErr w:type="spellStart"/>
            <w:r w:rsidRPr="0007172D">
              <w:rPr>
                <w:rFonts w:ascii="DokChampa" w:hAnsi="DokChampa" w:cs="DokChampa"/>
                <w:szCs w:val="22"/>
                <w:lang w:val="fr-FR" w:eastAsia="fr-FR"/>
              </w:rPr>
              <w:t>ເອກະລາດ</w:t>
            </w:r>
            <w:proofErr w:type="spellEnd"/>
            <w:r w:rsidRPr="003670E9">
              <w:rPr>
                <w:rFonts w:ascii="Times New Roman" w:hAnsi="Times New Roman"/>
                <w:szCs w:val="22"/>
                <w:lang w:eastAsia="fr-FR"/>
              </w:rPr>
              <w:t xml:space="preserve"> </w:t>
            </w:r>
            <w:proofErr w:type="spellStart"/>
            <w:r w:rsidRPr="0007172D">
              <w:rPr>
                <w:rFonts w:ascii="DokChampa" w:hAnsi="DokChampa" w:cs="DokChampa"/>
                <w:szCs w:val="22"/>
                <w:lang w:val="fr-FR" w:eastAsia="fr-FR"/>
              </w:rPr>
              <w:t>ປະຊາທິປະໄຕ</w:t>
            </w:r>
            <w:proofErr w:type="spellEnd"/>
            <w:r w:rsidRPr="003670E9">
              <w:rPr>
                <w:rFonts w:ascii="Times New Roman" w:hAnsi="Times New Roman"/>
                <w:szCs w:val="22"/>
                <w:lang w:eastAsia="fr-FR"/>
              </w:rPr>
              <w:t xml:space="preserve"> </w:t>
            </w:r>
            <w:proofErr w:type="spellStart"/>
            <w:r w:rsidRPr="0007172D">
              <w:rPr>
                <w:rFonts w:ascii="DokChampa" w:hAnsi="DokChampa" w:cs="DokChampa"/>
                <w:szCs w:val="22"/>
                <w:lang w:val="fr-FR" w:eastAsia="fr-FR"/>
              </w:rPr>
              <w:t>ເອກະພາບ</w:t>
            </w:r>
            <w:proofErr w:type="spellEnd"/>
            <w:r w:rsidRPr="003670E9">
              <w:rPr>
                <w:rFonts w:ascii="Times New Roman" w:hAnsi="Times New Roman"/>
                <w:szCs w:val="22"/>
                <w:lang w:eastAsia="fr-FR"/>
              </w:rPr>
              <w:t xml:space="preserve"> </w:t>
            </w:r>
            <w:proofErr w:type="spellStart"/>
            <w:r w:rsidRPr="0007172D">
              <w:rPr>
                <w:rFonts w:ascii="DokChampa" w:hAnsi="DokChampa" w:cs="DokChampa"/>
                <w:szCs w:val="22"/>
                <w:lang w:val="fr-FR" w:eastAsia="fr-FR"/>
              </w:rPr>
              <w:t>ວັດທະນາຖາວອນ</w:t>
            </w:r>
            <w:proofErr w:type="spellEnd"/>
          </w:p>
        </w:tc>
      </w:tr>
      <w:tr w:rsidR="005569F2" w:rsidRPr="0007172D" w14:paraId="25235F1D" w14:textId="77777777" w:rsidTr="00B12328">
        <w:trPr>
          <w:trHeight w:val="300"/>
        </w:trPr>
        <w:tc>
          <w:tcPr>
            <w:tcW w:w="418" w:type="pct"/>
            <w:tcBorders>
              <w:top w:val="nil"/>
              <w:left w:val="nil"/>
              <w:bottom w:val="nil"/>
              <w:right w:val="nil"/>
            </w:tcBorders>
            <w:shd w:val="clear" w:color="auto" w:fill="auto"/>
            <w:noWrap/>
            <w:vAlign w:val="center"/>
            <w:hideMark/>
          </w:tcPr>
          <w:p w14:paraId="6BB5ADF2" w14:textId="77777777" w:rsidR="0007172D" w:rsidRPr="003670E9" w:rsidRDefault="0007172D" w:rsidP="0007172D">
            <w:pPr>
              <w:spacing w:before="0"/>
              <w:ind w:left="0"/>
              <w:jc w:val="center"/>
              <w:rPr>
                <w:rFonts w:ascii="Times New Roman" w:hAnsi="Times New Roman"/>
                <w:szCs w:val="22"/>
                <w:lang w:eastAsia="fr-FR"/>
              </w:rPr>
            </w:pPr>
          </w:p>
        </w:tc>
        <w:tc>
          <w:tcPr>
            <w:tcW w:w="915" w:type="pct"/>
            <w:tcBorders>
              <w:top w:val="nil"/>
              <w:left w:val="nil"/>
              <w:bottom w:val="nil"/>
              <w:right w:val="nil"/>
            </w:tcBorders>
            <w:shd w:val="clear" w:color="auto" w:fill="auto"/>
            <w:noWrap/>
            <w:vAlign w:val="center"/>
            <w:hideMark/>
          </w:tcPr>
          <w:p w14:paraId="33DF000C" w14:textId="77777777" w:rsidR="0007172D" w:rsidRPr="003670E9" w:rsidRDefault="0007172D" w:rsidP="0007172D">
            <w:pPr>
              <w:spacing w:before="0"/>
              <w:ind w:left="0"/>
              <w:jc w:val="center"/>
              <w:rPr>
                <w:rFonts w:ascii="Times New Roman" w:hAnsi="Times New Roman"/>
                <w:sz w:val="20"/>
                <w:szCs w:val="20"/>
                <w:lang w:eastAsia="fr-FR"/>
              </w:rPr>
            </w:pPr>
          </w:p>
        </w:tc>
        <w:tc>
          <w:tcPr>
            <w:tcW w:w="250" w:type="pct"/>
            <w:tcBorders>
              <w:top w:val="nil"/>
              <w:left w:val="nil"/>
              <w:bottom w:val="nil"/>
              <w:right w:val="nil"/>
            </w:tcBorders>
            <w:shd w:val="clear" w:color="auto" w:fill="auto"/>
            <w:noWrap/>
            <w:vAlign w:val="center"/>
            <w:hideMark/>
          </w:tcPr>
          <w:p w14:paraId="0D118BD4" w14:textId="77777777" w:rsidR="0007172D" w:rsidRPr="003670E9" w:rsidRDefault="0007172D" w:rsidP="0007172D">
            <w:pPr>
              <w:spacing w:before="0"/>
              <w:ind w:left="0"/>
              <w:jc w:val="left"/>
              <w:rPr>
                <w:rFonts w:ascii="Times New Roman" w:hAnsi="Times New Roman"/>
                <w:sz w:val="20"/>
                <w:szCs w:val="20"/>
                <w:lang w:eastAsia="fr-FR"/>
              </w:rPr>
            </w:pPr>
          </w:p>
        </w:tc>
        <w:tc>
          <w:tcPr>
            <w:tcW w:w="583" w:type="pct"/>
            <w:tcBorders>
              <w:top w:val="nil"/>
              <w:left w:val="nil"/>
              <w:bottom w:val="nil"/>
              <w:right w:val="nil"/>
            </w:tcBorders>
            <w:shd w:val="clear" w:color="auto" w:fill="auto"/>
            <w:noWrap/>
            <w:vAlign w:val="center"/>
            <w:hideMark/>
          </w:tcPr>
          <w:p w14:paraId="752DF1B8" w14:textId="77777777" w:rsidR="0007172D" w:rsidRPr="003670E9" w:rsidRDefault="0007172D" w:rsidP="0007172D">
            <w:pPr>
              <w:spacing w:before="0"/>
              <w:ind w:left="0"/>
              <w:jc w:val="left"/>
              <w:rPr>
                <w:rFonts w:ascii="Times New Roman" w:hAnsi="Times New Roman"/>
                <w:sz w:val="20"/>
                <w:szCs w:val="20"/>
                <w:lang w:eastAsia="fr-FR"/>
              </w:rPr>
            </w:pPr>
          </w:p>
        </w:tc>
        <w:tc>
          <w:tcPr>
            <w:tcW w:w="542" w:type="pct"/>
            <w:tcBorders>
              <w:top w:val="nil"/>
              <w:left w:val="nil"/>
              <w:bottom w:val="nil"/>
              <w:right w:val="nil"/>
            </w:tcBorders>
            <w:shd w:val="clear" w:color="auto" w:fill="auto"/>
            <w:noWrap/>
            <w:vAlign w:val="center"/>
            <w:hideMark/>
          </w:tcPr>
          <w:p w14:paraId="7E9F1866" w14:textId="77777777" w:rsidR="0007172D" w:rsidRPr="003670E9" w:rsidRDefault="0007172D" w:rsidP="0007172D">
            <w:pPr>
              <w:spacing w:before="0"/>
              <w:ind w:left="0"/>
              <w:jc w:val="left"/>
              <w:rPr>
                <w:rFonts w:ascii="Times New Roman" w:hAnsi="Times New Roman"/>
                <w:sz w:val="20"/>
                <w:szCs w:val="20"/>
                <w:lang w:eastAsia="fr-FR"/>
              </w:rPr>
            </w:pPr>
          </w:p>
        </w:tc>
        <w:tc>
          <w:tcPr>
            <w:tcW w:w="624" w:type="pct"/>
            <w:tcBorders>
              <w:top w:val="nil"/>
              <w:left w:val="nil"/>
              <w:bottom w:val="nil"/>
              <w:right w:val="nil"/>
            </w:tcBorders>
            <w:shd w:val="clear" w:color="auto" w:fill="auto"/>
            <w:noWrap/>
            <w:vAlign w:val="center"/>
            <w:hideMark/>
          </w:tcPr>
          <w:p w14:paraId="38780B4C" w14:textId="77777777" w:rsidR="0007172D" w:rsidRPr="003670E9" w:rsidRDefault="0007172D" w:rsidP="0007172D">
            <w:pPr>
              <w:spacing w:before="0"/>
              <w:ind w:left="0"/>
              <w:jc w:val="left"/>
              <w:rPr>
                <w:rFonts w:ascii="Times New Roman" w:hAnsi="Times New Roman"/>
                <w:sz w:val="20"/>
                <w:szCs w:val="20"/>
                <w:lang w:eastAsia="fr-FR"/>
              </w:rPr>
            </w:pPr>
          </w:p>
        </w:tc>
        <w:tc>
          <w:tcPr>
            <w:tcW w:w="252" w:type="pct"/>
            <w:tcBorders>
              <w:top w:val="nil"/>
              <w:left w:val="nil"/>
              <w:bottom w:val="nil"/>
              <w:right w:val="nil"/>
            </w:tcBorders>
            <w:shd w:val="clear" w:color="auto" w:fill="auto"/>
            <w:noWrap/>
            <w:vAlign w:val="center"/>
            <w:hideMark/>
          </w:tcPr>
          <w:p w14:paraId="70564164" w14:textId="77777777" w:rsidR="0007172D" w:rsidRPr="003670E9" w:rsidRDefault="0007172D" w:rsidP="0007172D">
            <w:pPr>
              <w:spacing w:before="0"/>
              <w:ind w:left="0"/>
              <w:jc w:val="left"/>
              <w:rPr>
                <w:rFonts w:ascii="Times New Roman" w:hAnsi="Times New Roman"/>
                <w:sz w:val="20"/>
                <w:szCs w:val="20"/>
                <w:lang w:eastAsia="fr-FR"/>
              </w:rPr>
            </w:pPr>
          </w:p>
        </w:tc>
        <w:tc>
          <w:tcPr>
            <w:tcW w:w="458" w:type="pct"/>
            <w:tcBorders>
              <w:top w:val="nil"/>
              <w:left w:val="nil"/>
              <w:bottom w:val="nil"/>
              <w:right w:val="nil"/>
            </w:tcBorders>
            <w:shd w:val="clear" w:color="auto" w:fill="auto"/>
            <w:noWrap/>
            <w:vAlign w:val="center"/>
            <w:hideMark/>
          </w:tcPr>
          <w:p w14:paraId="381790EA" w14:textId="77777777" w:rsidR="0007172D" w:rsidRPr="003670E9" w:rsidRDefault="0007172D" w:rsidP="0007172D">
            <w:pPr>
              <w:spacing w:before="0"/>
              <w:ind w:left="0"/>
              <w:jc w:val="left"/>
              <w:rPr>
                <w:rFonts w:ascii="Times New Roman" w:hAnsi="Times New Roman"/>
                <w:sz w:val="20"/>
                <w:szCs w:val="20"/>
                <w:lang w:eastAsia="fr-FR"/>
              </w:rPr>
            </w:pPr>
          </w:p>
        </w:tc>
        <w:tc>
          <w:tcPr>
            <w:tcW w:w="375" w:type="pct"/>
            <w:tcBorders>
              <w:top w:val="nil"/>
              <w:left w:val="nil"/>
              <w:bottom w:val="nil"/>
              <w:right w:val="nil"/>
            </w:tcBorders>
            <w:shd w:val="clear" w:color="auto" w:fill="auto"/>
            <w:noWrap/>
            <w:vAlign w:val="center"/>
            <w:hideMark/>
          </w:tcPr>
          <w:p w14:paraId="7B1F36F3" w14:textId="77777777" w:rsidR="0007172D" w:rsidRPr="003670E9" w:rsidRDefault="0007172D" w:rsidP="0007172D">
            <w:pPr>
              <w:spacing w:before="0"/>
              <w:ind w:left="0"/>
              <w:jc w:val="left"/>
              <w:rPr>
                <w:rFonts w:ascii="Times New Roman" w:hAnsi="Times New Roman"/>
                <w:sz w:val="20"/>
                <w:szCs w:val="20"/>
                <w:lang w:eastAsia="fr-FR"/>
              </w:rPr>
            </w:pPr>
          </w:p>
        </w:tc>
        <w:tc>
          <w:tcPr>
            <w:tcW w:w="250" w:type="pct"/>
            <w:tcBorders>
              <w:top w:val="nil"/>
              <w:left w:val="nil"/>
              <w:bottom w:val="nil"/>
              <w:right w:val="nil"/>
            </w:tcBorders>
            <w:shd w:val="clear" w:color="auto" w:fill="auto"/>
            <w:noWrap/>
            <w:vAlign w:val="center"/>
            <w:hideMark/>
          </w:tcPr>
          <w:p w14:paraId="778BEF3A" w14:textId="77777777" w:rsidR="0007172D" w:rsidRPr="003670E9" w:rsidRDefault="0007172D" w:rsidP="0007172D">
            <w:pPr>
              <w:spacing w:before="0"/>
              <w:ind w:left="0"/>
              <w:jc w:val="left"/>
              <w:rPr>
                <w:rFonts w:ascii="Times New Roman" w:hAnsi="Times New Roman"/>
                <w:sz w:val="20"/>
                <w:szCs w:val="20"/>
                <w:lang w:eastAsia="fr-FR"/>
              </w:rPr>
            </w:pPr>
          </w:p>
        </w:tc>
        <w:tc>
          <w:tcPr>
            <w:tcW w:w="332" w:type="pct"/>
            <w:tcBorders>
              <w:top w:val="nil"/>
              <w:left w:val="nil"/>
              <w:bottom w:val="nil"/>
              <w:right w:val="nil"/>
            </w:tcBorders>
            <w:shd w:val="clear" w:color="auto" w:fill="auto"/>
            <w:noWrap/>
            <w:vAlign w:val="center"/>
            <w:hideMark/>
          </w:tcPr>
          <w:p w14:paraId="4E657416" w14:textId="77777777" w:rsidR="0007172D" w:rsidRPr="003670E9" w:rsidRDefault="0007172D" w:rsidP="0007172D">
            <w:pPr>
              <w:spacing w:before="0"/>
              <w:ind w:left="0"/>
              <w:jc w:val="left"/>
              <w:rPr>
                <w:rFonts w:ascii="Times New Roman" w:hAnsi="Times New Roman"/>
                <w:sz w:val="20"/>
                <w:szCs w:val="20"/>
                <w:lang w:eastAsia="fr-FR"/>
              </w:rPr>
            </w:pPr>
          </w:p>
        </w:tc>
      </w:tr>
      <w:tr w:rsidR="0007172D" w:rsidRPr="0007172D" w14:paraId="21143F10" w14:textId="77777777" w:rsidTr="00255252">
        <w:trPr>
          <w:trHeight w:val="300"/>
        </w:trPr>
        <w:tc>
          <w:tcPr>
            <w:tcW w:w="5000" w:type="pct"/>
            <w:gridSpan w:val="11"/>
            <w:tcBorders>
              <w:top w:val="nil"/>
              <w:left w:val="nil"/>
              <w:bottom w:val="nil"/>
              <w:right w:val="nil"/>
            </w:tcBorders>
            <w:shd w:val="clear" w:color="auto" w:fill="auto"/>
            <w:noWrap/>
            <w:vAlign w:val="center"/>
            <w:hideMark/>
          </w:tcPr>
          <w:p w14:paraId="59049D52" w14:textId="77777777" w:rsidR="0007172D" w:rsidRPr="003670E9" w:rsidRDefault="0007172D" w:rsidP="0007172D">
            <w:pPr>
              <w:spacing w:before="0"/>
              <w:ind w:left="0"/>
              <w:jc w:val="center"/>
              <w:rPr>
                <w:rFonts w:ascii="Times New Roman" w:hAnsi="Times New Roman"/>
                <w:b/>
                <w:bCs/>
                <w:szCs w:val="22"/>
                <w:lang w:eastAsia="fr-FR"/>
              </w:rPr>
            </w:pPr>
            <w:proofErr w:type="spellStart"/>
            <w:proofErr w:type="gramStart"/>
            <w:r w:rsidRPr="0007172D">
              <w:rPr>
                <w:rFonts w:ascii="DokChampa" w:hAnsi="DokChampa" w:cs="DokChampa"/>
                <w:b/>
                <w:bCs/>
                <w:szCs w:val="22"/>
                <w:lang w:val="fr-FR" w:eastAsia="fr-FR"/>
              </w:rPr>
              <w:t>ຕາຕະລາງສັງລວມຂໍ້ມູນຂອງ</w:t>
            </w:r>
            <w:proofErr w:type="spellEnd"/>
            <w:proofErr w:type="gramEnd"/>
            <w:r w:rsidRPr="003670E9">
              <w:rPr>
                <w:rFonts w:ascii="Times New Roman" w:hAnsi="Times New Roman"/>
                <w:b/>
                <w:bCs/>
                <w:szCs w:val="22"/>
                <w:lang w:eastAsia="fr-FR"/>
              </w:rPr>
              <w:t xml:space="preserve"> </w:t>
            </w:r>
            <w:proofErr w:type="spellStart"/>
            <w:r w:rsidRPr="0007172D">
              <w:rPr>
                <w:rFonts w:ascii="DokChampa" w:hAnsi="DokChampa" w:cs="DokChampa"/>
                <w:b/>
                <w:bCs/>
                <w:szCs w:val="22"/>
                <w:lang w:val="fr-FR" w:eastAsia="fr-FR"/>
              </w:rPr>
              <w:t>ວິສາຫະກິດລັດລົງທຶນປີ</w:t>
            </w:r>
            <w:proofErr w:type="spellEnd"/>
            <w:r w:rsidRPr="003670E9">
              <w:rPr>
                <w:rFonts w:ascii="Times New Roman" w:hAnsi="Times New Roman"/>
                <w:b/>
                <w:bCs/>
                <w:szCs w:val="22"/>
                <w:lang w:eastAsia="fr-FR"/>
              </w:rPr>
              <w:t xml:space="preserve"> 2017</w:t>
            </w:r>
          </w:p>
        </w:tc>
      </w:tr>
      <w:tr w:rsidR="0007172D" w:rsidRPr="0007172D" w14:paraId="1C673564" w14:textId="77777777" w:rsidTr="00255252">
        <w:trPr>
          <w:trHeight w:val="300"/>
        </w:trPr>
        <w:tc>
          <w:tcPr>
            <w:tcW w:w="5000" w:type="pct"/>
            <w:gridSpan w:val="11"/>
            <w:tcBorders>
              <w:top w:val="nil"/>
              <w:left w:val="nil"/>
              <w:bottom w:val="nil"/>
              <w:right w:val="nil"/>
            </w:tcBorders>
            <w:shd w:val="clear" w:color="auto" w:fill="auto"/>
            <w:noWrap/>
            <w:vAlign w:val="center"/>
            <w:hideMark/>
          </w:tcPr>
          <w:p w14:paraId="20C40E59"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 xml:space="preserve">Consolidation of </w:t>
            </w:r>
            <w:proofErr w:type="spellStart"/>
            <w:r w:rsidRPr="0007172D">
              <w:rPr>
                <w:rFonts w:ascii="Times New Roman" w:hAnsi="Times New Roman"/>
                <w:szCs w:val="22"/>
                <w:lang w:val="fr-FR" w:eastAsia="fr-FR"/>
              </w:rPr>
              <w:t>Enterprises</w:t>
            </w:r>
            <w:proofErr w:type="spellEnd"/>
            <w:r w:rsidRPr="0007172D">
              <w:rPr>
                <w:rFonts w:ascii="Times New Roman" w:hAnsi="Times New Roman"/>
                <w:szCs w:val="22"/>
                <w:lang w:val="fr-FR" w:eastAsia="fr-FR"/>
              </w:rPr>
              <w:t xml:space="preserve"> 2017</w:t>
            </w:r>
          </w:p>
        </w:tc>
      </w:tr>
      <w:tr w:rsidR="005569F2" w:rsidRPr="0007172D" w14:paraId="5A1E0751" w14:textId="77777777" w:rsidTr="00B12328">
        <w:trPr>
          <w:trHeight w:val="300"/>
        </w:trPr>
        <w:tc>
          <w:tcPr>
            <w:tcW w:w="418" w:type="pct"/>
            <w:tcBorders>
              <w:top w:val="nil"/>
              <w:left w:val="nil"/>
              <w:bottom w:val="nil"/>
              <w:right w:val="nil"/>
            </w:tcBorders>
            <w:shd w:val="clear" w:color="auto" w:fill="auto"/>
            <w:noWrap/>
            <w:vAlign w:val="center"/>
            <w:hideMark/>
          </w:tcPr>
          <w:p w14:paraId="3E77F4A0" w14:textId="77777777" w:rsidR="0007172D" w:rsidRPr="0007172D" w:rsidRDefault="0007172D" w:rsidP="0007172D">
            <w:pPr>
              <w:spacing w:before="0"/>
              <w:ind w:left="0"/>
              <w:jc w:val="center"/>
              <w:rPr>
                <w:rFonts w:ascii="Times New Roman" w:hAnsi="Times New Roman"/>
                <w:szCs w:val="22"/>
                <w:lang w:val="fr-FR" w:eastAsia="fr-FR"/>
              </w:rPr>
            </w:pPr>
          </w:p>
        </w:tc>
        <w:tc>
          <w:tcPr>
            <w:tcW w:w="915" w:type="pct"/>
            <w:tcBorders>
              <w:top w:val="nil"/>
              <w:left w:val="nil"/>
              <w:bottom w:val="nil"/>
              <w:right w:val="nil"/>
            </w:tcBorders>
            <w:shd w:val="clear" w:color="auto" w:fill="auto"/>
            <w:noWrap/>
            <w:vAlign w:val="center"/>
            <w:hideMark/>
          </w:tcPr>
          <w:p w14:paraId="1AF079EA" w14:textId="77777777" w:rsidR="0007172D" w:rsidRPr="0007172D" w:rsidRDefault="0007172D" w:rsidP="0007172D">
            <w:pPr>
              <w:spacing w:before="0"/>
              <w:ind w:left="0"/>
              <w:jc w:val="left"/>
              <w:rPr>
                <w:rFonts w:ascii="Times New Roman" w:hAnsi="Times New Roman"/>
                <w:szCs w:val="22"/>
                <w:lang w:val="fr-FR" w:eastAsia="fr-FR"/>
              </w:rPr>
            </w:pPr>
            <w:proofErr w:type="gramStart"/>
            <w:r w:rsidRPr="0007172D">
              <w:rPr>
                <w:rFonts w:ascii="Times New Roman" w:hAnsi="Times New Roman"/>
                <w:szCs w:val="22"/>
                <w:lang w:val="fr-FR" w:eastAsia="fr-FR"/>
              </w:rPr>
              <w:t>in</w:t>
            </w:r>
            <w:proofErr w:type="gramEnd"/>
            <w:r w:rsidRPr="0007172D">
              <w:rPr>
                <w:rFonts w:ascii="Times New Roman" w:hAnsi="Times New Roman"/>
                <w:szCs w:val="22"/>
                <w:lang w:val="fr-FR" w:eastAsia="fr-FR"/>
              </w:rPr>
              <w:t xml:space="preserve"> mil</w:t>
            </w:r>
            <w:r>
              <w:rPr>
                <w:rFonts w:ascii="Times New Roman" w:hAnsi="Times New Roman"/>
                <w:szCs w:val="22"/>
                <w:lang w:val="fr-FR" w:eastAsia="fr-FR"/>
              </w:rPr>
              <w:t>l</w:t>
            </w:r>
            <w:r w:rsidRPr="0007172D">
              <w:rPr>
                <w:rFonts w:ascii="Times New Roman" w:hAnsi="Times New Roman"/>
                <w:szCs w:val="22"/>
                <w:lang w:val="fr-FR" w:eastAsia="fr-FR"/>
              </w:rPr>
              <w:t>ion kip</w:t>
            </w:r>
          </w:p>
        </w:tc>
        <w:tc>
          <w:tcPr>
            <w:tcW w:w="250" w:type="pct"/>
            <w:tcBorders>
              <w:top w:val="nil"/>
              <w:left w:val="nil"/>
              <w:bottom w:val="nil"/>
              <w:right w:val="nil"/>
            </w:tcBorders>
            <w:shd w:val="clear" w:color="auto" w:fill="auto"/>
            <w:noWrap/>
            <w:vAlign w:val="center"/>
            <w:hideMark/>
          </w:tcPr>
          <w:p w14:paraId="1681CD0B" w14:textId="77777777" w:rsidR="0007172D" w:rsidRPr="0007172D" w:rsidRDefault="0007172D" w:rsidP="0007172D">
            <w:pPr>
              <w:spacing w:before="0"/>
              <w:ind w:left="0"/>
              <w:jc w:val="left"/>
              <w:rPr>
                <w:rFonts w:ascii="Times New Roman" w:hAnsi="Times New Roman"/>
                <w:szCs w:val="22"/>
                <w:lang w:val="fr-FR" w:eastAsia="fr-FR"/>
              </w:rPr>
            </w:pPr>
          </w:p>
        </w:tc>
        <w:tc>
          <w:tcPr>
            <w:tcW w:w="583" w:type="pct"/>
            <w:tcBorders>
              <w:top w:val="nil"/>
              <w:left w:val="nil"/>
              <w:bottom w:val="nil"/>
              <w:right w:val="nil"/>
            </w:tcBorders>
            <w:shd w:val="clear" w:color="auto" w:fill="auto"/>
            <w:noWrap/>
            <w:vAlign w:val="center"/>
            <w:hideMark/>
          </w:tcPr>
          <w:p w14:paraId="0CA3D9F8"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542" w:type="pct"/>
            <w:tcBorders>
              <w:top w:val="nil"/>
              <w:left w:val="nil"/>
              <w:bottom w:val="nil"/>
              <w:right w:val="nil"/>
            </w:tcBorders>
            <w:shd w:val="clear" w:color="auto" w:fill="auto"/>
            <w:noWrap/>
            <w:vAlign w:val="center"/>
            <w:hideMark/>
          </w:tcPr>
          <w:p w14:paraId="04EDB0B3"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624" w:type="pct"/>
            <w:tcBorders>
              <w:top w:val="nil"/>
              <w:left w:val="nil"/>
              <w:bottom w:val="nil"/>
              <w:right w:val="nil"/>
            </w:tcBorders>
            <w:shd w:val="clear" w:color="auto" w:fill="auto"/>
            <w:noWrap/>
            <w:vAlign w:val="center"/>
            <w:hideMark/>
          </w:tcPr>
          <w:p w14:paraId="2DA07FF2"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252" w:type="pct"/>
            <w:tcBorders>
              <w:top w:val="nil"/>
              <w:left w:val="nil"/>
              <w:bottom w:val="nil"/>
              <w:right w:val="nil"/>
            </w:tcBorders>
            <w:shd w:val="clear" w:color="auto" w:fill="auto"/>
            <w:noWrap/>
            <w:vAlign w:val="center"/>
            <w:hideMark/>
          </w:tcPr>
          <w:p w14:paraId="0159343F"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458" w:type="pct"/>
            <w:tcBorders>
              <w:top w:val="nil"/>
              <w:left w:val="nil"/>
              <w:bottom w:val="nil"/>
              <w:right w:val="nil"/>
            </w:tcBorders>
            <w:shd w:val="clear" w:color="auto" w:fill="auto"/>
            <w:noWrap/>
            <w:vAlign w:val="center"/>
            <w:hideMark/>
          </w:tcPr>
          <w:p w14:paraId="5635F362"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375" w:type="pct"/>
            <w:tcBorders>
              <w:top w:val="nil"/>
              <w:left w:val="nil"/>
              <w:bottom w:val="nil"/>
              <w:right w:val="nil"/>
            </w:tcBorders>
            <w:shd w:val="clear" w:color="auto" w:fill="auto"/>
            <w:noWrap/>
            <w:vAlign w:val="center"/>
            <w:hideMark/>
          </w:tcPr>
          <w:p w14:paraId="6EC6CDAB"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250" w:type="pct"/>
            <w:tcBorders>
              <w:top w:val="nil"/>
              <w:left w:val="nil"/>
              <w:bottom w:val="nil"/>
              <w:right w:val="nil"/>
            </w:tcBorders>
            <w:shd w:val="clear" w:color="auto" w:fill="auto"/>
            <w:noWrap/>
            <w:vAlign w:val="center"/>
            <w:hideMark/>
          </w:tcPr>
          <w:p w14:paraId="5BCD00F8" w14:textId="77777777" w:rsidR="0007172D" w:rsidRPr="0007172D" w:rsidRDefault="0007172D" w:rsidP="0007172D">
            <w:pPr>
              <w:spacing w:before="0"/>
              <w:ind w:left="0"/>
              <w:jc w:val="left"/>
              <w:rPr>
                <w:rFonts w:ascii="Times New Roman" w:hAnsi="Times New Roman"/>
                <w:sz w:val="20"/>
                <w:szCs w:val="20"/>
                <w:lang w:val="fr-FR" w:eastAsia="fr-FR"/>
              </w:rPr>
            </w:pPr>
          </w:p>
        </w:tc>
        <w:tc>
          <w:tcPr>
            <w:tcW w:w="332" w:type="pct"/>
            <w:tcBorders>
              <w:top w:val="nil"/>
              <w:left w:val="nil"/>
              <w:bottom w:val="nil"/>
              <w:right w:val="nil"/>
            </w:tcBorders>
            <w:shd w:val="clear" w:color="auto" w:fill="auto"/>
            <w:noWrap/>
            <w:vAlign w:val="center"/>
            <w:hideMark/>
          </w:tcPr>
          <w:p w14:paraId="62AB2101" w14:textId="77777777" w:rsidR="0007172D" w:rsidRPr="0007172D" w:rsidRDefault="0007172D" w:rsidP="0007172D">
            <w:pPr>
              <w:spacing w:before="0"/>
              <w:ind w:left="0"/>
              <w:jc w:val="left"/>
              <w:rPr>
                <w:rFonts w:ascii="Times New Roman" w:hAnsi="Times New Roman"/>
                <w:sz w:val="20"/>
                <w:szCs w:val="20"/>
                <w:lang w:val="fr-FR" w:eastAsia="fr-FR"/>
              </w:rPr>
            </w:pPr>
          </w:p>
        </w:tc>
      </w:tr>
      <w:tr w:rsidR="005569F2" w:rsidRPr="0007172D" w14:paraId="223A21FF" w14:textId="77777777" w:rsidTr="00B12328">
        <w:trPr>
          <w:trHeight w:val="1656"/>
        </w:trPr>
        <w:tc>
          <w:tcPr>
            <w:tcW w:w="418" w:type="pct"/>
            <w:tcBorders>
              <w:top w:val="single" w:sz="4" w:space="0" w:color="auto"/>
              <w:left w:val="single" w:sz="4" w:space="0" w:color="auto"/>
              <w:bottom w:val="nil"/>
              <w:right w:val="single" w:sz="4" w:space="0" w:color="auto"/>
            </w:tcBorders>
            <w:shd w:val="clear" w:color="000000" w:fill="D0CECE"/>
            <w:vAlign w:val="center"/>
            <w:hideMark/>
          </w:tcPr>
          <w:p w14:paraId="4D0B941A" w14:textId="77777777" w:rsidR="0007172D" w:rsidRPr="0007172D" w:rsidRDefault="0007172D" w:rsidP="0007172D">
            <w:pPr>
              <w:spacing w:before="0"/>
              <w:ind w:left="0"/>
              <w:jc w:val="center"/>
              <w:rPr>
                <w:rFonts w:ascii="Times New Roman" w:hAnsi="Times New Roman"/>
                <w:b/>
                <w:bCs/>
                <w:szCs w:val="22"/>
                <w:lang w:val="fr-FR" w:eastAsia="fr-FR"/>
              </w:rPr>
            </w:pPr>
            <w:proofErr w:type="gramStart"/>
            <w:r w:rsidRPr="0007172D">
              <w:rPr>
                <w:rFonts w:ascii="DokChampa" w:hAnsi="DokChampa" w:cs="DokChampa"/>
                <w:b/>
                <w:bCs/>
                <w:szCs w:val="22"/>
                <w:lang w:val="fr-FR" w:eastAsia="fr-FR"/>
              </w:rPr>
              <w:t>ລ</w:t>
            </w:r>
            <w:proofErr w:type="gramEnd"/>
            <w:r w:rsidRPr="0007172D">
              <w:rPr>
                <w:rFonts w:ascii="Times New Roman" w:hAnsi="Times New Roman"/>
                <w:b/>
                <w:bCs/>
                <w:szCs w:val="22"/>
                <w:lang w:val="fr-FR" w:eastAsia="fr-FR"/>
              </w:rPr>
              <w:t>/</w:t>
            </w:r>
            <w:r w:rsidRPr="0007172D">
              <w:rPr>
                <w:rFonts w:ascii="DokChampa" w:hAnsi="DokChampa" w:cs="DokChampa"/>
                <w:b/>
                <w:bCs/>
                <w:szCs w:val="22"/>
                <w:lang w:val="fr-FR" w:eastAsia="fr-FR"/>
              </w:rPr>
              <w:t>ດ</w:t>
            </w:r>
            <w:r w:rsidRPr="0007172D">
              <w:rPr>
                <w:rFonts w:ascii="Times New Roman" w:hAnsi="Times New Roman"/>
                <w:b/>
                <w:bCs/>
                <w:szCs w:val="22"/>
                <w:lang w:val="fr-FR" w:eastAsia="fr-FR"/>
              </w:rPr>
              <w:br/>
              <w:t>No.</w:t>
            </w:r>
          </w:p>
        </w:tc>
        <w:tc>
          <w:tcPr>
            <w:tcW w:w="915" w:type="pct"/>
            <w:tcBorders>
              <w:top w:val="single" w:sz="4" w:space="0" w:color="auto"/>
              <w:left w:val="nil"/>
              <w:bottom w:val="nil"/>
              <w:right w:val="single" w:sz="4" w:space="0" w:color="auto"/>
            </w:tcBorders>
            <w:shd w:val="clear" w:color="000000" w:fill="D0CECE"/>
            <w:vAlign w:val="center"/>
            <w:hideMark/>
          </w:tcPr>
          <w:p w14:paraId="503D95F1" w14:textId="77777777" w:rsidR="0007172D" w:rsidRPr="003670E9" w:rsidRDefault="0007172D" w:rsidP="0007172D">
            <w:pPr>
              <w:spacing w:before="0"/>
              <w:ind w:left="0"/>
              <w:jc w:val="center"/>
              <w:rPr>
                <w:rFonts w:ascii="Times New Roman" w:hAnsi="Times New Roman"/>
                <w:b/>
                <w:bCs/>
                <w:szCs w:val="22"/>
                <w:lang w:val="en-MY" w:eastAsia="fr-FR"/>
              </w:rPr>
            </w:pPr>
            <w:proofErr w:type="spellStart"/>
            <w:proofErr w:type="gramStart"/>
            <w:r w:rsidRPr="0007172D">
              <w:rPr>
                <w:rFonts w:ascii="DokChampa" w:hAnsi="DokChampa" w:cs="DokChampa"/>
                <w:b/>
                <w:bCs/>
                <w:szCs w:val="22"/>
                <w:lang w:val="fr-FR" w:eastAsia="fr-FR"/>
              </w:rPr>
              <w:t>ຊື່ວິສາຫະກິດ</w:t>
            </w:r>
            <w:proofErr w:type="spellEnd"/>
            <w:proofErr w:type="gramEnd"/>
            <w:r w:rsidRPr="003670E9">
              <w:rPr>
                <w:rFonts w:ascii="Times New Roman" w:hAnsi="Times New Roman"/>
                <w:b/>
                <w:bCs/>
                <w:szCs w:val="22"/>
                <w:lang w:val="en-MY" w:eastAsia="fr-FR"/>
              </w:rPr>
              <w:br/>
              <w:t>Name of Enterprises</w:t>
            </w:r>
          </w:p>
        </w:tc>
        <w:tc>
          <w:tcPr>
            <w:tcW w:w="250" w:type="pct"/>
            <w:tcBorders>
              <w:top w:val="single" w:sz="4" w:space="0" w:color="auto"/>
              <w:left w:val="nil"/>
              <w:bottom w:val="nil"/>
              <w:right w:val="single" w:sz="4" w:space="0" w:color="auto"/>
            </w:tcBorders>
            <w:shd w:val="clear" w:color="000000" w:fill="D0CECE"/>
            <w:vAlign w:val="center"/>
            <w:hideMark/>
          </w:tcPr>
          <w:p w14:paraId="65AE18FD" w14:textId="77777777" w:rsidR="0007172D" w:rsidRPr="0007172D" w:rsidRDefault="0007172D" w:rsidP="0007172D">
            <w:pPr>
              <w:spacing w:before="0"/>
              <w:ind w:left="0"/>
              <w:jc w:val="center"/>
              <w:rPr>
                <w:rFonts w:ascii="Times New Roman" w:hAnsi="Times New Roman"/>
                <w:b/>
                <w:bCs/>
                <w:szCs w:val="22"/>
                <w:lang w:val="fr-FR" w:eastAsia="fr-FR"/>
              </w:rPr>
            </w:pPr>
            <w:proofErr w:type="spellStart"/>
            <w:r w:rsidRPr="0007172D">
              <w:rPr>
                <w:rFonts w:ascii="Times New Roman" w:hAnsi="Times New Roman"/>
                <w:b/>
                <w:bCs/>
                <w:szCs w:val="22"/>
                <w:lang w:val="fr-FR" w:eastAsia="fr-FR"/>
              </w:rPr>
              <w:t>Gov</w:t>
            </w:r>
            <w:proofErr w:type="spellEnd"/>
            <w:r w:rsidRPr="0007172D">
              <w:rPr>
                <w:rFonts w:ascii="Times New Roman" w:hAnsi="Times New Roman"/>
                <w:b/>
                <w:bCs/>
                <w:szCs w:val="22"/>
                <w:lang w:val="fr-FR" w:eastAsia="fr-FR"/>
              </w:rPr>
              <w:t xml:space="preserve">. </w:t>
            </w:r>
            <w:proofErr w:type="spellStart"/>
            <w:proofErr w:type="gramStart"/>
            <w:r w:rsidRPr="0007172D">
              <w:rPr>
                <w:rFonts w:ascii="Times New Roman" w:hAnsi="Times New Roman"/>
                <w:b/>
                <w:bCs/>
                <w:szCs w:val="22"/>
                <w:lang w:val="fr-FR" w:eastAsia="fr-FR"/>
              </w:rPr>
              <w:t>share</w:t>
            </w:r>
            <w:proofErr w:type="spellEnd"/>
            <w:proofErr w:type="gramEnd"/>
          </w:p>
        </w:tc>
        <w:tc>
          <w:tcPr>
            <w:tcW w:w="1125" w:type="pct"/>
            <w:gridSpan w:val="2"/>
            <w:tcBorders>
              <w:top w:val="single" w:sz="4" w:space="0" w:color="auto"/>
              <w:left w:val="nil"/>
              <w:bottom w:val="single" w:sz="4" w:space="0" w:color="auto"/>
              <w:right w:val="single" w:sz="4" w:space="0" w:color="000000"/>
            </w:tcBorders>
            <w:shd w:val="clear" w:color="000000" w:fill="D0CECE"/>
            <w:vAlign w:val="center"/>
            <w:hideMark/>
          </w:tcPr>
          <w:p w14:paraId="630184F7"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Capital</w:t>
            </w:r>
          </w:p>
        </w:tc>
        <w:tc>
          <w:tcPr>
            <w:tcW w:w="624" w:type="pct"/>
            <w:tcBorders>
              <w:top w:val="single" w:sz="4" w:space="0" w:color="auto"/>
              <w:left w:val="nil"/>
              <w:bottom w:val="nil"/>
              <w:right w:val="single" w:sz="4" w:space="0" w:color="auto"/>
            </w:tcBorders>
            <w:shd w:val="clear" w:color="000000" w:fill="D0CECE"/>
            <w:vAlign w:val="center"/>
            <w:hideMark/>
          </w:tcPr>
          <w:p w14:paraId="4C56D684" w14:textId="77777777" w:rsidR="0007172D" w:rsidRPr="0007172D" w:rsidRDefault="0007172D" w:rsidP="0007172D">
            <w:pPr>
              <w:spacing w:before="0"/>
              <w:ind w:left="0"/>
              <w:jc w:val="center"/>
              <w:rPr>
                <w:rFonts w:ascii="Times New Roman" w:hAnsi="Times New Roman"/>
                <w:b/>
                <w:bCs/>
                <w:szCs w:val="22"/>
                <w:lang w:val="fr-FR" w:eastAsia="fr-FR"/>
              </w:rPr>
            </w:pPr>
            <w:proofErr w:type="spellStart"/>
            <w:r w:rsidRPr="0007172D">
              <w:rPr>
                <w:rFonts w:ascii="Times New Roman" w:hAnsi="Times New Roman"/>
                <w:b/>
                <w:bCs/>
                <w:szCs w:val="22"/>
                <w:lang w:val="fr-FR" w:eastAsia="fr-FR"/>
              </w:rPr>
              <w:t>Annual</w:t>
            </w:r>
            <w:proofErr w:type="spellEnd"/>
            <w:r w:rsidRPr="0007172D">
              <w:rPr>
                <w:rFonts w:ascii="Times New Roman" w:hAnsi="Times New Roman"/>
                <w:b/>
                <w:bCs/>
                <w:szCs w:val="22"/>
                <w:lang w:val="fr-FR" w:eastAsia="fr-FR"/>
              </w:rPr>
              <w:t xml:space="preserve"> Turnover</w:t>
            </w:r>
          </w:p>
        </w:tc>
        <w:tc>
          <w:tcPr>
            <w:tcW w:w="252" w:type="pct"/>
            <w:tcBorders>
              <w:top w:val="single" w:sz="4" w:space="0" w:color="auto"/>
              <w:left w:val="nil"/>
              <w:bottom w:val="nil"/>
              <w:right w:val="single" w:sz="4" w:space="0" w:color="auto"/>
            </w:tcBorders>
            <w:shd w:val="clear" w:color="000000" w:fill="D0CECE"/>
            <w:vAlign w:val="center"/>
            <w:hideMark/>
          </w:tcPr>
          <w:p w14:paraId="3A70572D" w14:textId="77777777" w:rsidR="0007172D" w:rsidRPr="0007172D" w:rsidRDefault="0007172D" w:rsidP="0007172D">
            <w:pPr>
              <w:spacing w:before="0"/>
              <w:ind w:left="0"/>
              <w:jc w:val="center"/>
              <w:rPr>
                <w:rFonts w:ascii="Times New Roman" w:hAnsi="Times New Roman"/>
                <w:b/>
                <w:bCs/>
                <w:szCs w:val="22"/>
                <w:lang w:val="fr-FR" w:eastAsia="fr-FR"/>
              </w:rPr>
            </w:pPr>
            <w:proofErr w:type="spellStart"/>
            <w:proofErr w:type="gramStart"/>
            <w:r w:rsidRPr="0007172D">
              <w:rPr>
                <w:rFonts w:ascii="DokChampa" w:hAnsi="DokChampa" w:cs="DokChampa"/>
                <w:b/>
                <w:bCs/>
                <w:szCs w:val="22"/>
                <w:lang w:val="fr-FR" w:eastAsia="fr-FR"/>
              </w:rPr>
              <w:t>ສົ່ງເອກະສານລາຍງານການເງິນ</w:t>
            </w:r>
            <w:proofErr w:type="spellEnd"/>
            <w:proofErr w:type="gramEnd"/>
            <w:r w:rsidRPr="0007172D">
              <w:rPr>
                <w:rFonts w:ascii="Times New Roman" w:hAnsi="Times New Roman"/>
                <w:b/>
                <w:bCs/>
                <w:szCs w:val="22"/>
                <w:lang w:val="fr-FR" w:eastAsia="fr-FR"/>
              </w:rPr>
              <w:br/>
              <w:t xml:space="preserve">Report </w:t>
            </w:r>
            <w:proofErr w:type="spellStart"/>
            <w:r w:rsidRPr="0007172D">
              <w:rPr>
                <w:rFonts w:ascii="Times New Roman" w:hAnsi="Times New Roman"/>
                <w:b/>
                <w:bCs/>
                <w:szCs w:val="22"/>
                <w:lang w:val="fr-FR" w:eastAsia="fr-FR"/>
              </w:rPr>
              <w:t>submission</w:t>
            </w:r>
            <w:proofErr w:type="spellEnd"/>
          </w:p>
        </w:tc>
        <w:tc>
          <w:tcPr>
            <w:tcW w:w="458" w:type="pct"/>
            <w:tcBorders>
              <w:top w:val="single" w:sz="4" w:space="0" w:color="auto"/>
              <w:left w:val="nil"/>
              <w:bottom w:val="nil"/>
              <w:right w:val="single" w:sz="4" w:space="0" w:color="auto"/>
            </w:tcBorders>
            <w:shd w:val="clear" w:color="000000" w:fill="D0CECE"/>
            <w:vAlign w:val="center"/>
            <w:hideMark/>
          </w:tcPr>
          <w:p w14:paraId="02CD2F4B" w14:textId="77777777" w:rsidR="0007172D" w:rsidRPr="00C63883" w:rsidRDefault="0007172D" w:rsidP="0007172D">
            <w:pPr>
              <w:spacing w:before="0"/>
              <w:ind w:left="0"/>
              <w:jc w:val="center"/>
              <w:rPr>
                <w:rFonts w:ascii="Times New Roman" w:hAnsi="Times New Roman"/>
                <w:b/>
                <w:bCs/>
                <w:szCs w:val="22"/>
                <w:lang w:eastAsia="fr-FR"/>
              </w:rPr>
            </w:pPr>
            <w:proofErr w:type="spellStart"/>
            <w:proofErr w:type="gramStart"/>
            <w:r w:rsidRPr="0007172D">
              <w:rPr>
                <w:rFonts w:ascii="DokChampa" w:hAnsi="DokChampa" w:cs="DokChampa"/>
                <w:b/>
                <w:bCs/>
                <w:szCs w:val="22"/>
                <w:lang w:val="fr-FR" w:eastAsia="fr-FR"/>
              </w:rPr>
              <w:t>ລາຍຈ່າຍ</w:t>
            </w:r>
            <w:proofErr w:type="spellEnd"/>
            <w:proofErr w:type="gramEnd"/>
            <w:r w:rsidRPr="00C63883">
              <w:rPr>
                <w:rFonts w:ascii="Times New Roman" w:hAnsi="Times New Roman"/>
                <w:b/>
                <w:bCs/>
                <w:szCs w:val="22"/>
                <w:lang w:eastAsia="fr-FR"/>
              </w:rPr>
              <w:t xml:space="preserve"> </w:t>
            </w:r>
            <w:r w:rsidRPr="00C63883">
              <w:rPr>
                <w:rFonts w:ascii="Times New Roman" w:hAnsi="Times New Roman"/>
                <w:b/>
                <w:bCs/>
                <w:szCs w:val="22"/>
                <w:lang w:eastAsia="fr-FR"/>
              </w:rPr>
              <w:br/>
              <w:t>(</w:t>
            </w:r>
            <w:proofErr w:type="spellStart"/>
            <w:r w:rsidRPr="0007172D">
              <w:rPr>
                <w:rFonts w:ascii="DokChampa" w:hAnsi="DokChampa" w:cs="DokChampa"/>
                <w:b/>
                <w:bCs/>
                <w:szCs w:val="22"/>
                <w:lang w:val="fr-FR" w:eastAsia="fr-FR"/>
              </w:rPr>
              <w:t>ສະເພາະຜູ້ທີ່ສົ່ງລາຍງານການເງິນ</w:t>
            </w:r>
            <w:proofErr w:type="spellEnd"/>
            <w:r w:rsidRPr="00C63883">
              <w:rPr>
                <w:rFonts w:ascii="Times New Roman" w:hAnsi="Times New Roman"/>
                <w:b/>
                <w:bCs/>
                <w:szCs w:val="22"/>
                <w:lang w:eastAsia="fr-FR"/>
              </w:rPr>
              <w:t>)</w:t>
            </w:r>
            <w:r w:rsidRPr="00C63883">
              <w:rPr>
                <w:rFonts w:ascii="Times New Roman" w:hAnsi="Times New Roman"/>
                <w:b/>
                <w:bCs/>
                <w:szCs w:val="22"/>
                <w:lang w:eastAsia="fr-FR"/>
              </w:rPr>
              <w:br/>
              <w:t>Expenditure (of submitted Enterprises)</w:t>
            </w:r>
          </w:p>
        </w:tc>
        <w:tc>
          <w:tcPr>
            <w:tcW w:w="375" w:type="pct"/>
            <w:tcBorders>
              <w:top w:val="single" w:sz="4" w:space="0" w:color="auto"/>
              <w:left w:val="nil"/>
              <w:bottom w:val="nil"/>
              <w:right w:val="single" w:sz="4" w:space="0" w:color="auto"/>
            </w:tcBorders>
            <w:shd w:val="clear" w:color="000000" w:fill="D0CECE"/>
            <w:vAlign w:val="center"/>
            <w:hideMark/>
          </w:tcPr>
          <w:p w14:paraId="149C10D6" w14:textId="77777777" w:rsidR="0007172D" w:rsidRPr="0007172D" w:rsidRDefault="0007172D" w:rsidP="0007172D">
            <w:pPr>
              <w:spacing w:before="0"/>
              <w:ind w:left="0"/>
              <w:jc w:val="center"/>
              <w:rPr>
                <w:rFonts w:ascii="Times New Roman" w:hAnsi="Times New Roman"/>
                <w:b/>
                <w:bCs/>
                <w:szCs w:val="22"/>
                <w:lang w:val="fr-FR" w:eastAsia="fr-FR"/>
              </w:rPr>
            </w:pPr>
            <w:proofErr w:type="spellStart"/>
            <w:proofErr w:type="gramStart"/>
            <w:r w:rsidRPr="0007172D">
              <w:rPr>
                <w:rFonts w:ascii="DokChampa" w:hAnsi="DokChampa" w:cs="DokChampa"/>
                <w:b/>
                <w:bCs/>
                <w:szCs w:val="22"/>
                <w:lang w:val="fr-FR" w:eastAsia="fr-FR"/>
              </w:rPr>
              <w:t>ກໍາໄລ</w:t>
            </w:r>
            <w:proofErr w:type="spellEnd"/>
            <w:proofErr w:type="gramEnd"/>
            <w:r w:rsidRPr="0007172D">
              <w:rPr>
                <w:rFonts w:ascii="Times New Roman" w:hAnsi="Times New Roman"/>
                <w:b/>
                <w:bCs/>
                <w:szCs w:val="22"/>
                <w:lang w:val="fr-FR" w:eastAsia="fr-FR"/>
              </w:rPr>
              <w:br/>
              <w:t>Profit</w:t>
            </w:r>
          </w:p>
        </w:tc>
        <w:tc>
          <w:tcPr>
            <w:tcW w:w="250" w:type="pct"/>
            <w:tcBorders>
              <w:top w:val="single" w:sz="4" w:space="0" w:color="auto"/>
              <w:left w:val="nil"/>
              <w:bottom w:val="nil"/>
              <w:right w:val="single" w:sz="4" w:space="0" w:color="auto"/>
            </w:tcBorders>
            <w:shd w:val="clear" w:color="000000" w:fill="D0CECE"/>
            <w:vAlign w:val="center"/>
            <w:hideMark/>
          </w:tcPr>
          <w:p w14:paraId="423EAB40" w14:textId="77777777" w:rsidR="0007172D" w:rsidRPr="0007172D" w:rsidRDefault="0007172D" w:rsidP="0007172D">
            <w:pPr>
              <w:spacing w:before="0"/>
              <w:ind w:left="0"/>
              <w:jc w:val="center"/>
              <w:rPr>
                <w:rFonts w:ascii="Times New Roman" w:hAnsi="Times New Roman"/>
                <w:b/>
                <w:bCs/>
                <w:szCs w:val="22"/>
                <w:lang w:val="fr-FR" w:eastAsia="fr-FR"/>
              </w:rPr>
            </w:pPr>
            <w:proofErr w:type="spellStart"/>
            <w:proofErr w:type="gramStart"/>
            <w:r w:rsidRPr="0007172D">
              <w:rPr>
                <w:rFonts w:ascii="DokChampa" w:hAnsi="DokChampa" w:cs="DokChampa"/>
                <w:b/>
                <w:bCs/>
                <w:szCs w:val="22"/>
                <w:lang w:val="fr-FR" w:eastAsia="fr-FR"/>
              </w:rPr>
              <w:t>ຂາດທຶນ</w:t>
            </w:r>
            <w:proofErr w:type="spellEnd"/>
            <w:proofErr w:type="gramEnd"/>
            <w:r w:rsidRPr="0007172D">
              <w:rPr>
                <w:rFonts w:ascii="Times New Roman" w:hAnsi="Times New Roman"/>
                <w:b/>
                <w:bCs/>
                <w:szCs w:val="22"/>
                <w:lang w:val="fr-FR" w:eastAsia="fr-FR"/>
              </w:rPr>
              <w:br/>
            </w:r>
            <w:proofErr w:type="spellStart"/>
            <w:r w:rsidRPr="0007172D">
              <w:rPr>
                <w:rFonts w:ascii="Times New Roman" w:hAnsi="Times New Roman"/>
                <w:b/>
                <w:bCs/>
                <w:szCs w:val="22"/>
                <w:lang w:val="fr-FR" w:eastAsia="fr-FR"/>
              </w:rPr>
              <w:t>Loss</w:t>
            </w:r>
            <w:proofErr w:type="spellEnd"/>
          </w:p>
        </w:tc>
        <w:tc>
          <w:tcPr>
            <w:tcW w:w="332" w:type="pct"/>
            <w:tcBorders>
              <w:top w:val="single" w:sz="4" w:space="0" w:color="auto"/>
              <w:left w:val="nil"/>
              <w:bottom w:val="nil"/>
              <w:right w:val="single" w:sz="4" w:space="0" w:color="auto"/>
            </w:tcBorders>
            <w:shd w:val="clear" w:color="000000" w:fill="D0CECE"/>
            <w:vAlign w:val="center"/>
            <w:hideMark/>
          </w:tcPr>
          <w:p w14:paraId="793C87FE" w14:textId="77777777" w:rsidR="0007172D" w:rsidRPr="0007172D" w:rsidRDefault="0007172D" w:rsidP="0007172D">
            <w:pPr>
              <w:spacing w:before="0"/>
              <w:ind w:left="0"/>
              <w:jc w:val="center"/>
              <w:rPr>
                <w:rFonts w:ascii="Times New Roman" w:hAnsi="Times New Roman"/>
                <w:b/>
                <w:bCs/>
                <w:szCs w:val="22"/>
                <w:lang w:val="fr-FR" w:eastAsia="fr-FR"/>
              </w:rPr>
            </w:pPr>
            <w:proofErr w:type="spellStart"/>
            <w:proofErr w:type="gramStart"/>
            <w:r w:rsidRPr="0007172D">
              <w:rPr>
                <w:rFonts w:ascii="DokChampa" w:hAnsi="DokChampa" w:cs="DokChampa"/>
                <w:b/>
                <w:bCs/>
                <w:szCs w:val="22"/>
                <w:lang w:val="fr-FR" w:eastAsia="fr-FR"/>
              </w:rPr>
              <w:t>ຫມາຍເຫດ</w:t>
            </w:r>
            <w:proofErr w:type="spellEnd"/>
            <w:proofErr w:type="gramEnd"/>
            <w:r w:rsidRPr="0007172D">
              <w:rPr>
                <w:rFonts w:ascii="Times New Roman" w:hAnsi="Times New Roman"/>
                <w:b/>
                <w:bCs/>
                <w:szCs w:val="22"/>
                <w:lang w:val="fr-FR" w:eastAsia="fr-FR"/>
              </w:rPr>
              <w:br/>
            </w:r>
            <w:proofErr w:type="spellStart"/>
            <w:r w:rsidRPr="0007172D">
              <w:rPr>
                <w:rFonts w:ascii="Times New Roman" w:hAnsi="Times New Roman"/>
                <w:b/>
                <w:bCs/>
                <w:szCs w:val="22"/>
                <w:lang w:val="fr-FR" w:eastAsia="fr-FR"/>
              </w:rPr>
              <w:t>Remarks</w:t>
            </w:r>
            <w:proofErr w:type="spellEnd"/>
          </w:p>
        </w:tc>
      </w:tr>
      <w:tr w:rsidR="00B12328" w:rsidRPr="0007172D" w14:paraId="02C3134C" w14:textId="77777777" w:rsidTr="00B12328">
        <w:trPr>
          <w:trHeight w:val="300"/>
        </w:trPr>
        <w:tc>
          <w:tcPr>
            <w:tcW w:w="418" w:type="pct"/>
            <w:tcBorders>
              <w:top w:val="single" w:sz="4" w:space="0" w:color="auto"/>
              <w:left w:val="single" w:sz="4" w:space="0" w:color="auto"/>
              <w:bottom w:val="nil"/>
              <w:right w:val="single" w:sz="4" w:space="0" w:color="auto"/>
            </w:tcBorders>
            <w:shd w:val="clear" w:color="000000" w:fill="D0CECE"/>
            <w:vAlign w:val="center"/>
            <w:hideMark/>
          </w:tcPr>
          <w:p w14:paraId="2B36FDE4"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915" w:type="pct"/>
            <w:tcBorders>
              <w:top w:val="single" w:sz="4" w:space="0" w:color="auto"/>
              <w:left w:val="nil"/>
              <w:bottom w:val="nil"/>
              <w:right w:val="single" w:sz="4" w:space="0" w:color="auto"/>
            </w:tcBorders>
            <w:shd w:val="clear" w:color="000000" w:fill="D0CECE"/>
            <w:vAlign w:val="center"/>
            <w:hideMark/>
          </w:tcPr>
          <w:p w14:paraId="77B6EDE4"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250" w:type="pct"/>
            <w:tcBorders>
              <w:top w:val="single" w:sz="4" w:space="0" w:color="auto"/>
              <w:left w:val="nil"/>
              <w:bottom w:val="nil"/>
              <w:right w:val="single" w:sz="4" w:space="0" w:color="auto"/>
            </w:tcBorders>
            <w:shd w:val="clear" w:color="000000" w:fill="D0CECE"/>
            <w:vAlign w:val="center"/>
            <w:hideMark/>
          </w:tcPr>
          <w:p w14:paraId="3FD12A68"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583" w:type="pct"/>
            <w:tcBorders>
              <w:top w:val="nil"/>
              <w:left w:val="nil"/>
              <w:bottom w:val="nil"/>
              <w:right w:val="single" w:sz="4" w:space="0" w:color="auto"/>
            </w:tcBorders>
            <w:shd w:val="clear" w:color="000000" w:fill="D0CECE"/>
            <w:vAlign w:val="center"/>
            <w:hideMark/>
          </w:tcPr>
          <w:p w14:paraId="5654A4E2"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Total</w:t>
            </w:r>
          </w:p>
        </w:tc>
        <w:tc>
          <w:tcPr>
            <w:tcW w:w="542" w:type="pct"/>
            <w:tcBorders>
              <w:top w:val="nil"/>
              <w:left w:val="nil"/>
              <w:bottom w:val="nil"/>
              <w:right w:val="single" w:sz="4" w:space="0" w:color="auto"/>
            </w:tcBorders>
            <w:shd w:val="clear" w:color="000000" w:fill="D0CECE"/>
            <w:vAlign w:val="center"/>
            <w:hideMark/>
          </w:tcPr>
          <w:p w14:paraId="0846486C"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Registered Capital</w:t>
            </w:r>
          </w:p>
        </w:tc>
        <w:tc>
          <w:tcPr>
            <w:tcW w:w="624" w:type="pct"/>
            <w:tcBorders>
              <w:top w:val="single" w:sz="4" w:space="0" w:color="auto"/>
              <w:left w:val="nil"/>
              <w:bottom w:val="nil"/>
              <w:right w:val="single" w:sz="4" w:space="0" w:color="auto"/>
            </w:tcBorders>
            <w:shd w:val="clear" w:color="000000" w:fill="D0CECE"/>
            <w:vAlign w:val="center"/>
            <w:hideMark/>
          </w:tcPr>
          <w:p w14:paraId="0B55144E"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252" w:type="pct"/>
            <w:tcBorders>
              <w:top w:val="single" w:sz="4" w:space="0" w:color="auto"/>
              <w:left w:val="nil"/>
              <w:bottom w:val="nil"/>
              <w:right w:val="single" w:sz="4" w:space="0" w:color="auto"/>
            </w:tcBorders>
            <w:shd w:val="clear" w:color="000000" w:fill="D0CECE"/>
            <w:vAlign w:val="center"/>
            <w:hideMark/>
          </w:tcPr>
          <w:p w14:paraId="59F8A93C"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458" w:type="pct"/>
            <w:tcBorders>
              <w:top w:val="single" w:sz="4" w:space="0" w:color="auto"/>
              <w:left w:val="nil"/>
              <w:bottom w:val="nil"/>
              <w:right w:val="single" w:sz="4" w:space="0" w:color="auto"/>
            </w:tcBorders>
            <w:shd w:val="clear" w:color="000000" w:fill="D0CECE"/>
            <w:vAlign w:val="center"/>
            <w:hideMark/>
          </w:tcPr>
          <w:p w14:paraId="338145C7"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375" w:type="pct"/>
            <w:tcBorders>
              <w:top w:val="single" w:sz="4" w:space="0" w:color="auto"/>
              <w:left w:val="nil"/>
              <w:bottom w:val="nil"/>
              <w:right w:val="single" w:sz="4" w:space="0" w:color="auto"/>
            </w:tcBorders>
            <w:shd w:val="clear" w:color="000000" w:fill="D0CECE"/>
            <w:vAlign w:val="center"/>
            <w:hideMark/>
          </w:tcPr>
          <w:p w14:paraId="015EBB1D"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250" w:type="pct"/>
            <w:tcBorders>
              <w:top w:val="single" w:sz="4" w:space="0" w:color="auto"/>
              <w:left w:val="nil"/>
              <w:bottom w:val="nil"/>
              <w:right w:val="single" w:sz="4" w:space="0" w:color="auto"/>
            </w:tcBorders>
            <w:shd w:val="clear" w:color="000000" w:fill="D0CECE"/>
            <w:vAlign w:val="center"/>
            <w:hideMark/>
          </w:tcPr>
          <w:p w14:paraId="2A3CF684"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c>
          <w:tcPr>
            <w:tcW w:w="332" w:type="pct"/>
            <w:tcBorders>
              <w:top w:val="single" w:sz="4" w:space="0" w:color="auto"/>
              <w:left w:val="nil"/>
              <w:bottom w:val="nil"/>
              <w:right w:val="single" w:sz="4" w:space="0" w:color="auto"/>
            </w:tcBorders>
            <w:shd w:val="clear" w:color="000000" w:fill="D0CECE"/>
            <w:vAlign w:val="center"/>
            <w:hideMark/>
          </w:tcPr>
          <w:p w14:paraId="7FC9FB85" w14:textId="77777777" w:rsidR="0007172D" w:rsidRPr="0007172D" w:rsidRDefault="0007172D" w:rsidP="0007172D">
            <w:pPr>
              <w:spacing w:before="0"/>
              <w:ind w:left="0"/>
              <w:jc w:val="center"/>
              <w:rPr>
                <w:rFonts w:ascii="Times New Roman" w:hAnsi="Times New Roman"/>
                <w:b/>
                <w:bCs/>
                <w:szCs w:val="22"/>
                <w:lang w:val="fr-FR" w:eastAsia="fr-FR"/>
              </w:rPr>
            </w:pPr>
            <w:r w:rsidRPr="0007172D">
              <w:rPr>
                <w:rFonts w:ascii="Times New Roman" w:hAnsi="Times New Roman"/>
                <w:b/>
                <w:bCs/>
                <w:szCs w:val="22"/>
                <w:lang w:val="fr-FR" w:eastAsia="fr-FR"/>
              </w:rPr>
              <w:t> </w:t>
            </w:r>
          </w:p>
        </w:tc>
      </w:tr>
      <w:tr w:rsidR="00B12328" w:rsidRPr="005F673D" w14:paraId="1CF290A1"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10C7EAC2"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01</w:t>
            </w:r>
          </w:p>
        </w:tc>
        <w:tc>
          <w:tcPr>
            <w:tcW w:w="915" w:type="pct"/>
            <w:tcBorders>
              <w:top w:val="nil"/>
              <w:left w:val="nil"/>
              <w:bottom w:val="single" w:sz="4" w:space="0" w:color="auto"/>
              <w:right w:val="single" w:sz="4" w:space="0" w:color="auto"/>
            </w:tcBorders>
            <w:shd w:val="clear" w:color="000000" w:fill="FFFFFF"/>
            <w:vAlign w:val="center"/>
            <w:hideMark/>
          </w:tcPr>
          <w:p w14:paraId="6085C508" w14:textId="77777777" w:rsidR="0007172D" w:rsidRPr="00C63883" w:rsidRDefault="0007172D" w:rsidP="0007172D">
            <w:pPr>
              <w:spacing w:before="0"/>
              <w:ind w:left="0"/>
              <w:jc w:val="left"/>
              <w:rPr>
                <w:rFonts w:ascii="Times New Roman" w:hAnsi="Times New Roman"/>
                <w:szCs w:val="22"/>
                <w:lang w:eastAsia="fr-FR"/>
              </w:rPr>
            </w:pPr>
            <w:proofErr w:type="spellStart"/>
            <w:r w:rsidRPr="0007172D">
              <w:rPr>
                <w:rFonts w:ascii="DokChampa" w:hAnsi="DokChampa" w:cs="DokChampa"/>
                <w:szCs w:val="22"/>
                <w:lang w:val="fr-FR" w:eastAsia="fr-FR"/>
              </w:rPr>
              <w:t>ບໍລິສັດ</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ລັດວິສາຫະກິດ</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ຫວຍພັດທະນາ</w:t>
            </w:r>
            <w:proofErr w:type="spellEnd"/>
            <w:r w:rsidRPr="00C63883">
              <w:rPr>
                <w:rFonts w:ascii="Times New Roman" w:hAnsi="Times New Roman"/>
                <w:szCs w:val="22"/>
                <w:lang w:eastAsia="fr-FR"/>
              </w:rPr>
              <w:br/>
            </w:r>
            <w:proofErr w:type="gramStart"/>
            <w:r w:rsidRPr="00C63883">
              <w:rPr>
                <w:rFonts w:ascii="Times New Roman" w:hAnsi="Times New Roman"/>
                <w:szCs w:val="22"/>
                <w:lang w:eastAsia="fr-FR"/>
              </w:rPr>
              <w:t>Lao  Lottery</w:t>
            </w:r>
            <w:proofErr w:type="gramEnd"/>
            <w:r w:rsidRPr="00C63883">
              <w:rPr>
                <w:rFonts w:ascii="Times New Roman" w:hAnsi="Times New Roman"/>
                <w:szCs w:val="22"/>
                <w:lang w:eastAsia="fr-FR"/>
              </w:rPr>
              <w:t xml:space="preserve">  State  Owned  Enterprise</w:t>
            </w:r>
          </w:p>
        </w:tc>
        <w:tc>
          <w:tcPr>
            <w:tcW w:w="250" w:type="pct"/>
            <w:tcBorders>
              <w:top w:val="nil"/>
              <w:left w:val="nil"/>
              <w:bottom w:val="single" w:sz="4" w:space="0" w:color="auto"/>
              <w:right w:val="single" w:sz="4" w:space="0" w:color="auto"/>
            </w:tcBorders>
            <w:shd w:val="clear" w:color="auto" w:fill="auto"/>
            <w:noWrap/>
            <w:vAlign w:val="center"/>
            <w:hideMark/>
          </w:tcPr>
          <w:p w14:paraId="06E4A95D"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0D420604"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177,695,758,893 </w:t>
            </w:r>
          </w:p>
        </w:tc>
        <w:tc>
          <w:tcPr>
            <w:tcW w:w="542" w:type="pct"/>
            <w:tcBorders>
              <w:top w:val="nil"/>
              <w:left w:val="nil"/>
              <w:bottom w:val="single" w:sz="4" w:space="0" w:color="auto"/>
              <w:right w:val="single" w:sz="4" w:space="0" w:color="auto"/>
            </w:tcBorders>
            <w:shd w:val="clear" w:color="auto" w:fill="auto"/>
            <w:noWrap/>
            <w:vAlign w:val="center"/>
            <w:hideMark/>
          </w:tcPr>
          <w:p w14:paraId="38ED87E4"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48,899,117,574 </w:t>
            </w:r>
          </w:p>
        </w:tc>
        <w:tc>
          <w:tcPr>
            <w:tcW w:w="624" w:type="pct"/>
            <w:tcBorders>
              <w:top w:val="nil"/>
              <w:left w:val="nil"/>
              <w:bottom w:val="single" w:sz="4" w:space="0" w:color="auto"/>
              <w:right w:val="single" w:sz="4" w:space="0" w:color="auto"/>
            </w:tcBorders>
            <w:shd w:val="clear" w:color="auto" w:fill="auto"/>
            <w:noWrap/>
            <w:vAlign w:val="center"/>
            <w:hideMark/>
          </w:tcPr>
          <w:p w14:paraId="0B8317C3"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129,839,477,133 </w:t>
            </w:r>
          </w:p>
        </w:tc>
        <w:tc>
          <w:tcPr>
            <w:tcW w:w="252" w:type="pct"/>
            <w:tcBorders>
              <w:top w:val="nil"/>
              <w:left w:val="nil"/>
              <w:bottom w:val="single" w:sz="4" w:space="0" w:color="auto"/>
              <w:right w:val="single" w:sz="4" w:space="0" w:color="auto"/>
            </w:tcBorders>
            <w:shd w:val="clear" w:color="000000" w:fill="FFFFFF"/>
            <w:noWrap/>
            <w:vAlign w:val="center"/>
            <w:hideMark/>
          </w:tcPr>
          <w:p w14:paraId="3F3356D3"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2F96C55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61CF7D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05CC22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61914435"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92E7F53"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20A32F21"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02</w:t>
            </w:r>
          </w:p>
        </w:tc>
        <w:tc>
          <w:tcPr>
            <w:tcW w:w="915" w:type="pct"/>
            <w:tcBorders>
              <w:top w:val="nil"/>
              <w:left w:val="nil"/>
              <w:bottom w:val="single" w:sz="4" w:space="0" w:color="auto"/>
              <w:right w:val="single" w:sz="4" w:space="0" w:color="auto"/>
            </w:tcBorders>
            <w:shd w:val="clear" w:color="000000" w:fill="FFFFFF"/>
            <w:vAlign w:val="center"/>
            <w:hideMark/>
          </w:tcPr>
          <w:p w14:paraId="2F53D922"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ໂຮງພິມແຫ່ງລັດ</w:t>
            </w:r>
            <w:proofErr w:type="spellEnd"/>
            <w:r w:rsidRPr="0007172D">
              <w:rPr>
                <w:rFonts w:ascii="Times New Roman" w:hAnsi="Times New Roman"/>
                <w:szCs w:val="22"/>
                <w:lang w:val="fr-FR" w:eastAsia="fr-FR"/>
              </w:rPr>
              <w:br/>
              <w:t xml:space="preserve">State Printing Enterprise </w:t>
            </w:r>
          </w:p>
        </w:tc>
        <w:tc>
          <w:tcPr>
            <w:tcW w:w="250" w:type="pct"/>
            <w:tcBorders>
              <w:top w:val="nil"/>
              <w:left w:val="nil"/>
              <w:bottom w:val="single" w:sz="4" w:space="0" w:color="auto"/>
              <w:right w:val="single" w:sz="4" w:space="0" w:color="auto"/>
            </w:tcBorders>
            <w:shd w:val="clear" w:color="auto" w:fill="auto"/>
            <w:noWrap/>
            <w:vAlign w:val="center"/>
            <w:hideMark/>
          </w:tcPr>
          <w:p w14:paraId="3EBDC684"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117595A4"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8,634,026,718 </w:t>
            </w:r>
          </w:p>
        </w:tc>
        <w:tc>
          <w:tcPr>
            <w:tcW w:w="542" w:type="pct"/>
            <w:tcBorders>
              <w:top w:val="nil"/>
              <w:left w:val="nil"/>
              <w:bottom w:val="single" w:sz="4" w:space="0" w:color="auto"/>
              <w:right w:val="single" w:sz="4" w:space="0" w:color="auto"/>
            </w:tcBorders>
            <w:shd w:val="clear" w:color="auto" w:fill="auto"/>
            <w:noWrap/>
            <w:vAlign w:val="center"/>
            <w:hideMark/>
          </w:tcPr>
          <w:p w14:paraId="66FA6654"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5,347,627,338 </w:t>
            </w:r>
          </w:p>
        </w:tc>
        <w:tc>
          <w:tcPr>
            <w:tcW w:w="624" w:type="pct"/>
            <w:tcBorders>
              <w:top w:val="nil"/>
              <w:left w:val="nil"/>
              <w:bottom w:val="nil"/>
              <w:right w:val="nil"/>
            </w:tcBorders>
            <w:shd w:val="clear" w:color="auto" w:fill="auto"/>
            <w:noWrap/>
            <w:vAlign w:val="center"/>
            <w:hideMark/>
          </w:tcPr>
          <w:p w14:paraId="2F3495BC"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18,450,247,728 </w:t>
            </w:r>
          </w:p>
        </w:tc>
        <w:tc>
          <w:tcPr>
            <w:tcW w:w="252" w:type="pct"/>
            <w:tcBorders>
              <w:top w:val="nil"/>
              <w:left w:val="single" w:sz="4" w:space="0" w:color="auto"/>
              <w:bottom w:val="single" w:sz="4" w:space="0" w:color="auto"/>
              <w:right w:val="single" w:sz="4" w:space="0" w:color="auto"/>
            </w:tcBorders>
            <w:shd w:val="clear" w:color="000000" w:fill="FFFFFF"/>
            <w:noWrap/>
            <w:vAlign w:val="center"/>
            <w:hideMark/>
          </w:tcPr>
          <w:p w14:paraId="0F611262"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1A0AFF36"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2ED8AA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5DEC8F1E"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573B4E0F"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A9CF1A3"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27D75FE1"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03</w:t>
            </w:r>
          </w:p>
        </w:tc>
        <w:tc>
          <w:tcPr>
            <w:tcW w:w="915" w:type="pct"/>
            <w:tcBorders>
              <w:top w:val="nil"/>
              <w:left w:val="nil"/>
              <w:bottom w:val="single" w:sz="4" w:space="0" w:color="auto"/>
              <w:right w:val="single" w:sz="4" w:space="0" w:color="auto"/>
            </w:tcBorders>
            <w:shd w:val="clear" w:color="000000" w:fill="FFFFFF"/>
            <w:vAlign w:val="center"/>
            <w:hideMark/>
          </w:tcPr>
          <w:p w14:paraId="0C861495" w14:textId="77777777" w:rsidR="0007172D" w:rsidRPr="00FB21EA" w:rsidRDefault="0007172D" w:rsidP="0007172D">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FB21EA">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ວິສະວະກໍາຄົມມະນາຄົມ</w:t>
            </w:r>
            <w:proofErr w:type="spellEnd"/>
            <w:r w:rsidRPr="00FB21EA">
              <w:rPr>
                <w:rFonts w:ascii="Times New Roman" w:hAnsi="Times New Roman"/>
                <w:szCs w:val="22"/>
                <w:lang w:val="en-MY" w:eastAsia="fr-FR"/>
              </w:rPr>
              <w:br/>
              <w:t>State Enterprise for Communication Engineering</w:t>
            </w:r>
          </w:p>
        </w:tc>
        <w:tc>
          <w:tcPr>
            <w:tcW w:w="250" w:type="pct"/>
            <w:tcBorders>
              <w:top w:val="nil"/>
              <w:left w:val="nil"/>
              <w:bottom w:val="single" w:sz="4" w:space="0" w:color="auto"/>
              <w:right w:val="single" w:sz="4" w:space="0" w:color="auto"/>
            </w:tcBorders>
            <w:shd w:val="clear" w:color="auto" w:fill="auto"/>
            <w:noWrap/>
            <w:vAlign w:val="center"/>
            <w:hideMark/>
          </w:tcPr>
          <w:p w14:paraId="0ED04371"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66B7F913"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21,445,265,158 </w:t>
            </w:r>
          </w:p>
        </w:tc>
        <w:tc>
          <w:tcPr>
            <w:tcW w:w="542" w:type="pct"/>
            <w:tcBorders>
              <w:top w:val="nil"/>
              <w:left w:val="nil"/>
              <w:bottom w:val="single" w:sz="4" w:space="0" w:color="auto"/>
              <w:right w:val="single" w:sz="4" w:space="0" w:color="auto"/>
            </w:tcBorders>
            <w:shd w:val="clear" w:color="auto" w:fill="auto"/>
            <w:noWrap/>
            <w:vAlign w:val="center"/>
            <w:hideMark/>
          </w:tcPr>
          <w:p w14:paraId="3ADB427E"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14,379,165,586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892A788"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30,394,624,690 </w:t>
            </w:r>
          </w:p>
        </w:tc>
        <w:tc>
          <w:tcPr>
            <w:tcW w:w="252" w:type="pct"/>
            <w:tcBorders>
              <w:top w:val="nil"/>
              <w:left w:val="nil"/>
              <w:bottom w:val="single" w:sz="4" w:space="0" w:color="auto"/>
              <w:right w:val="single" w:sz="4" w:space="0" w:color="auto"/>
            </w:tcBorders>
            <w:shd w:val="clear" w:color="000000" w:fill="FFFFFF"/>
            <w:noWrap/>
            <w:vAlign w:val="center"/>
            <w:hideMark/>
          </w:tcPr>
          <w:p w14:paraId="7D31B20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6874AB2"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F49899F"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0331757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1B738AB5"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E152370"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1EEC751"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04</w:t>
            </w:r>
          </w:p>
        </w:tc>
        <w:tc>
          <w:tcPr>
            <w:tcW w:w="915" w:type="pct"/>
            <w:tcBorders>
              <w:top w:val="nil"/>
              <w:left w:val="nil"/>
              <w:bottom w:val="single" w:sz="4" w:space="0" w:color="auto"/>
              <w:right w:val="single" w:sz="4" w:space="0" w:color="auto"/>
            </w:tcBorders>
            <w:shd w:val="clear" w:color="000000" w:fill="FFFFFF"/>
            <w:vAlign w:val="center"/>
            <w:hideMark/>
          </w:tcPr>
          <w:p w14:paraId="306144BF"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ລາວເດີນອາກາດ</w:t>
            </w:r>
            <w:proofErr w:type="spellEnd"/>
            <w:r w:rsidRPr="0007172D">
              <w:rPr>
                <w:rFonts w:ascii="Times New Roman" w:hAnsi="Times New Roman"/>
                <w:szCs w:val="22"/>
                <w:lang w:val="fr-FR" w:eastAsia="fr-FR"/>
              </w:rPr>
              <w:br/>
              <w:t xml:space="preserve">Lao </w:t>
            </w:r>
            <w:proofErr w:type="spellStart"/>
            <w:r w:rsidRPr="0007172D">
              <w:rPr>
                <w:rFonts w:ascii="Times New Roman" w:hAnsi="Times New Roman"/>
                <w:szCs w:val="22"/>
                <w:lang w:val="fr-FR" w:eastAsia="fr-FR"/>
              </w:rPr>
              <w:t>Skyway</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14:paraId="1E971075"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245F0D68"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39,909,376,082 </w:t>
            </w:r>
          </w:p>
        </w:tc>
        <w:tc>
          <w:tcPr>
            <w:tcW w:w="542" w:type="pct"/>
            <w:tcBorders>
              <w:top w:val="nil"/>
              <w:left w:val="nil"/>
              <w:bottom w:val="nil"/>
              <w:right w:val="nil"/>
            </w:tcBorders>
            <w:shd w:val="clear" w:color="auto" w:fill="auto"/>
            <w:noWrap/>
            <w:vAlign w:val="center"/>
            <w:hideMark/>
          </w:tcPr>
          <w:p w14:paraId="6D920B65"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26,087,990,000 </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16CC1FE0"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133,351,757,848 </w:t>
            </w:r>
          </w:p>
        </w:tc>
        <w:tc>
          <w:tcPr>
            <w:tcW w:w="252" w:type="pct"/>
            <w:tcBorders>
              <w:top w:val="nil"/>
              <w:left w:val="nil"/>
              <w:bottom w:val="single" w:sz="4" w:space="0" w:color="auto"/>
              <w:right w:val="single" w:sz="4" w:space="0" w:color="auto"/>
            </w:tcBorders>
            <w:shd w:val="clear" w:color="000000" w:fill="FFFFFF"/>
            <w:noWrap/>
            <w:vAlign w:val="center"/>
            <w:hideMark/>
          </w:tcPr>
          <w:p w14:paraId="2FEF835B"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128F0FA1"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557579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52C866B1"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6D187388"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2A66726A"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BFD636A"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lastRenderedPageBreak/>
              <w:t>05</w:t>
            </w:r>
          </w:p>
        </w:tc>
        <w:tc>
          <w:tcPr>
            <w:tcW w:w="915" w:type="pct"/>
            <w:tcBorders>
              <w:top w:val="nil"/>
              <w:left w:val="nil"/>
              <w:bottom w:val="single" w:sz="4" w:space="0" w:color="auto"/>
              <w:right w:val="single" w:sz="4" w:space="0" w:color="auto"/>
            </w:tcBorders>
            <w:shd w:val="clear" w:color="auto" w:fill="auto"/>
            <w:vAlign w:val="center"/>
            <w:hideMark/>
          </w:tcPr>
          <w:p w14:paraId="72DBD0A4"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ລາວບໍລິການສິນຄ້າຜ່ານແດນ</w:t>
            </w:r>
            <w:proofErr w:type="spellEnd"/>
            <w:r w:rsidRPr="0007172D">
              <w:rPr>
                <w:rFonts w:ascii="Times New Roman" w:hAnsi="Times New Roman"/>
                <w:szCs w:val="22"/>
                <w:lang w:val="fr-FR" w:eastAsia="fr-FR"/>
              </w:rPr>
              <w:br/>
              <w:t xml:space="preserve">Lao </w:t>
            </w:r>
            <w:proofErr w:type="spellStart"/>
            <w:r w:rsidRPr="0007172D">
              <w:rPr>
                <w:rFonts w:ascii="Times New Roman" w:hAnsi="Times New Roman"/>
                <w:szCs w:val="22"/>
                <w:lang w:val="fr-FR" w:eastAsia="fr-FR"/>
              </w:rPr>
              <w:t>Goods</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Tranportation</w:t>
            </w:r>
            <w:proofErr w:type="spellEnd"/>
            <w:r w:rsidRPr="0007172D">
              <w:rPr>
                <w:rFonts w:ascii="Times New Roman" w:hAnsi="Times New Roman"/>
                <w:szCs w:val="22"/>
                <w:lang w:val="fr-FR" w:eastAsia="fr-FR"/>
              </w:rPr>
              <w:t xml:space="preserve"> Services Enterprise</w:t>
            </w:r>
          </w:p>
        </w:tc>
        <w:tc>
          <w:tcPr>
            <w:tcW w:w="250" w:type="pct"/>
            <w:tcBorders>
              <w:top w:val="nil"/>
              <w:left w:val="nil"/>
              <w:bottom w:val="single" w:sz="4" w:space="0" w:color="auto"/>
              <w:right w:val="single" w:sz="4" w:space="0" w:color="auto"/>
            </w:tcBorders>
            <w:shd w:val="clear" w:color="auto" w:fill="auto"/>
            <w:noWrap/>
            <w:vAlign w:val="center"/>
            <w:hideMark/>
          </w:tcPr>
          <w:p w14:paraId="75E01C96"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31B58DD2"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51,202,918,730 </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1D0E7759"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33,012,504,399 </w:t>
            </w:r>
          </w:p>
        </w:tc>
        <w:tc>
          <w:tcPr>
            <w:tcW w:w="624" w:type="pct"/>
            <w:tcBorders>
              <w:top w:val="nil"/>
              <w:left w:val="nil"/>
              <w:bottom w:val="single" w:sz="4" w:space="0" w:color="auto"/>
              <w:right w:val="single" w:sz="4" w:space="0" w:color="auto"/>
            </w:tcBorders>
            <w:shd w:val="clear" w:color="auto" w:fill="auto"/>
            <w:noWrap/>
            <w:vAlign w:val="center"/>
            <w:hideMark/>
          </w:tcPr>
          <w:p w14:paraId="4F0564CD"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35,546,831,863 </w:t>
            </w:r>
          </w:p>
        </w:tc>
        <w:tc>
          <w:tcPr>
            <w:tcW w:w="252" w:type="pct"/>
            <w:tcBorders>
              <w:top w:val="nil"/>
              <w:left w:val="nil"/>
              <w:bottom w:val="single" w:sz="4" w:space="0" w:color="auto"/>
              <w:right w:val="single" w:sz="4" w:space="0" w:color="auto"/>
            </w:tcBorders>
            <w:shd w:val="clear" w:color="000000" w:fill="FFFFFF"/>
            <w:noWrap/>
            <w:vAlign w:val="center"/>
            <w:hideMark/>
          </w:tcPr>
          <w:p w14:paraId="1CF8F3A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15A805B8"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69F01239"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39F7FF41"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auto" w:fill="auto"/>
            <w:vAlign w:val="center"/>
            <w:hideMark/>
          </w:tcPr>
          <w:p w14:paraId="7A0845B0" w14:textId="77777777" w:rsidR="0007172D" w:rsidRPr="005F673D" w:rsidRDefault="0007172D" w:rsidP="0007172D">
            <w:pPr>
              <w:spacing w:before="0"/>
              <w:ind w:left="0"/>
              <w:jc w:val="left"/>
              <w:rPr>
                <w:rFonts w:ascii="Times New Roman" w:hAnsi="Times New Roman"/>
                <w:sz w:val="16"/>
                <w:szCs w:val="16"/>
                <w:lang w:val="en-MY" w:eastAsia="fr-FR"/>
              </w:rPr>
            </w:pPr>
            <w:r w:rsidRPr="005F673D">
              <w:rPr>
                <w:rFonts w:ascii="Times New Roman" w:hAnsi="Times New Roman"/>
                <w:sz w:val="16"/>
                <w:szCs w:val="16"/>
                <w:lang w:val="en-MY" w:eastAsia="fr-FR"/>
              </w:rPr>
              <w:t xml:space="preserve">before was named as SOE of </w:t>
            </w:r>
            <w:proofErr w:type="spellStart"/>
            <w:r w:rsidRPr="005F673D">
              <w:rPr>
                <w:rFonts w:ascii="Times New Roman" w:hAnsi="Times New Roman"/>
                <w:sz w:val="16"/>
                <w:szCs w:val="16"/>
                <w:lang w:val="en-MY" w:eastAsia="fr-FR"/>
              </w:rPr>
              <w:t>Thanaleng</w:t>
            </w:r>
            <w:proofErr w:type="spellEnd"/>
            <w:r w:rsidRPr="005F673D">
              <w:rPr>
                <w:rFonts w:ascii="Times New Roman" w:hAnsi="Times New Roman"/>
                <w:sz w:val="16"/>
                <w:szCs w:val="16"/>
                <w:lang w:val="en-MY" w:eastAsia="fr-FR"/>
              </w:rPr>
              <w:t xml:space="preserve"> Warehouse </w:t>
            </w:r>
          </w:p>
        </w:tc>
      </w:tr>
      <w:tr w:rsidR="00B12328" w:rsidRPr="005F673D" w14:paraId="1FC5D511"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740218D"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06</w:t>
            </w:r>
          </w:p>
        </w:tc>
        <w:tc>
          <w:tcPr>
            <w:tcW w:w="915" w:type="pct"/>
            <w:tcBorders>
              <w:top w:val="nil"/>
              <w:left w:val="nil"/>
              <w:bottom w:val="single" w:sz="4" w:space="0" w:color="auto"/>
              <w:right w:val="single" w:sz="4" w:space="0" w:color="auto"/>
            </w:tcBorders>
            <w:shd w:val="clear" w:color="000000" w:fill="FFFFFF"/>
            <w:vAlign w:val="center"/>
            <w:hideMark/>
          </w:tcPr>
          <w:p w14:paraId="3253FE48"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ໂຮງງານຜະລິດອຸປະກອນການສຶກສາ</w:t>
            </w:r>
            <w:proofErr w:type="spellEnd"/>
            <w:r w:rsidRPr="0007172D">
              <w:rPr>
                <w:rFonts w:ascii="Times New Roman" w:hAnsi="Times New Roman"/>
                <w:szCs w:val="22"/>
                <w:lang w:val="fr-FR" w:eastAsia="fr-FR"/>
              </w:rPr>
              <w:br/>
              <w:t xml:space="preserve">Education </w:t>
            </w:r>
            <w:proofErr w:type="spellStart"/>
            <w:r w:rsidRPr="0007172D">
              <w:rPr>
                <w:rFonts w:ascii="Times New Roman" w:hAnsi="Times New Roman"/>
                <w:szCs w:val="22"/>
                <w:lang w:val="fr-FR" w:eastAsia="fr-FR"/>
              </w:rPr>
              <w:t>Equipments</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Factory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5B4EE4C0"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7CAA765C"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3,479,518,358 </w:t>
            </w:r>
          </w:p>
        </w:tc>
        <w:tc>
          <w:tcPr>
            <w:tcW w:w="542" w:type="pct"/>
            <w:tcBorders>
              <w:top w:val="nil"/>
              <w:left w:val="nil"/>
              <w:bottom w:val="single" w:sz="4" w:space="0" w:color="auto"/>
              <w:right w:val="single" w:sz="4" w:space="0" w:color="auto"/>
            </w:tcBorders>
            <w:shd w:val="clear" w:color="auto" w:fill="auto"/>
            <w:noWrap/>
            <w:vAlign w:val="center"/>
            <w:hideMark/>
          </w:tcPr>
          <w:p w14:paraId="328B94BE"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2,443,919,833 </w:t>
            </w:r>
          </w:p>
        </w:tc>
        <w:tc>
          <w:tcPr>
            <w:tcW w:w="624" w:type="pct"/>
            <w:tcBorders>
              <w:top w:val="nil"/>
              <w:left w:val="nil"/>
              <w:bottom w:val="single" w:sz="4" w:space="0" w:color="auto"/>
              <w:right w:val="single" w:sz="4" w:space="0" w:color="auto"/>
            </w:tcBorders>
            <w:shd w:val="clear" w:color="auto" w:fill="auto"/>
            <w:noWrap/>
            <w:vAlign w:val="center"/>
            <w:hideMark/>
          </w:tcPr>
          <w:p w14:paraId="2FD61777"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24,609,433,091 </w:t>
            </w:r>
          </w:p>
        </w:tc>
        <w:tc>
          <w:tcPr>
            <w:tcW w:w="252" w:type="pct"/>
            <w:tcBorders>
              <w:top w:val="nil"/>
              <w:left w:val="nil"/>
              <w:bottom w:val="single" w:sz="4" w:space="0" w:color="auto"/>
              <w:right w:val="single" w:sz="4" w:space="0" w:color="auto"/>
            </w:tcBorders>
            <w:shd w:val="clear" w:color="000000" w:fill="FFFFFF"/>
            <w:noWrap/>
            <w:vAlign w:val="center"/>
            <w:hideMark/>
          </w:tcPr>
          <w:p w14:paraId="434EECEC"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45E3F885"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5C1D78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08769F1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9C182DB"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39D106A"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38BA7EC"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07</w:t>
            </w:r>
          </w:p>
        </w:tc>
        <w:tc>
          <w:tcPr>
            <w:tcW w:w="915" w:type="pct"/>
            <w:tcBorders>
              <w:top w:val="nil"/>
              <w:left w:val="nil"/>
              <w:bottom w:val="single" w:sz="4" w:space="0" w:color="auto"/>
              <w:right w:val="single" w:sz="4" w:space="0" w:color="auto"/>
            </w:tcBorders>
            <w:shd w:val="clear" w:color="000000" w:fill="FFFFFF"/>
            <w:vAlign w:val="center"/>
            <w:hideMark/>
          </w:tcPr>
          <w:p w14:paraId="1FB5CBCC" w14:textId="77777777" w:rsidR="0007172D" w:rsidRPr="0016027E" w:rsidRDefault="0007172D" w:rsidP="0007172D">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ຖືຮຸ້ນລາວ</w:t>
            </w:r>
            <w:proofErr w:type="spellEnd"/>
            <w:r w:rsidRPr="0016027E">
              <w:rPr>
                <w:rFonts w:ascii="Times New Roman" w:hAnsi="Times New Roman"/>
                <w:szCs w:val="22"/>
                <w:lang w:val="en-MY" w:eastAsia="fr-FR"/>
              </w:rPr>
              <w:br/>
              <w:t xml:space="preserve">Lao Shareholding State Enterprise </w:t>
            </w:r>
          </w:p>
        </w:tc>
        <w:tc>
          <w:tcPr>
            <w:tcW w:w="250" w:type="pct"/>
            <w:tcBorders>
              <w:top w:val="nil"/>
              <w:left w:val="nil"/>
              <w:bottom w:val="single" w:sz="4" w:space="0" w:color="auto"/>
              <w:right w:val="single" w:sz="4" w:space="0" w:color="auto"/>
            </w:tcBorders>
            <w:shd w:val="clear" w:color="auto" w:fill="auto"/>
            <w:noWrap/>
            <w:vAlign w:val="center"/>
            <w:hideMark/>
          </w:tcPr>
          <w:p w14:paraId="1C581A64"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7AF93A87"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48,271,144,404 </w:t>
            </w:r>
          </w:p>
        </w:tc>
        <w:tc>
          <w:tcPr>
            <w:tcW w:w="542" w:type="pct"/>
            <w:tcBorders>
              <w:top w:val="nil"/>
              <w:left w:val="nil"/>
              <w:bottom w:val="single" w:sz="4" w:space="0" w:color="auto"/>
              <w:right w:val="single" w:sz="4" w:space="0" w:color="auto"/>
            </w:tcBorders>
            <w:shd w:val="clear" w:color="auto" w:fill="auto"/>
            <w:noWrap/>
            <w:vAlign w:val="center"/>
            <w:hideMark/>
          </w:tcPr>
          <w:p w14:paraId="464742D5"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160,000,000,000 </w:t>
            </w:r>
          </w:p>
        </w:tc>
        <w:tc>
          <w:tcPr>
            <w:tcW w:w="624" w:type="pct"/>
            <w:tcBorders>
              <w:top w:val="nil"/>
              <w:left w:val="nil"/>
              <w:bottom w:val="single" w:sz="4" w:space="0" w:color="auto"/>
              <w:right w:val="single" w:sz="4" w:space="0" w:color="auto"/>
            </w:tcBorders>
            <w:shd w:val="clear" w:color="auto" w:fill="auto"/>
            <w:noWrap/>
            <w:vAlign w:val="center"/>
            <w:hideMark/>
          </w:tcPr>
          <w:p w14:paraId="36DBAD89"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231,014,907,189 </w:t>
            </w:r>
          </w:p>
        </w:tc>
        <w:tc>
          <w:tcPr>
            <w:tcW w:w="252" w:type="pct"/>
            <w:tcBorders>
              <w:top w:val="nil"/>
              <w:left w:val="nil"/>
              <w:bottom w:val="single" w:sz="4" w:space="0" w:color="auto"/>
              <w:right w:val="single" w:sz="4" w:space="0" w:color="auto"/>
            </w:tcBorders>
            <w:shd w:val="clear" w:color="000000" w:fill="FFFFFF"/>
            <w:noWrap/>
            <w:vAlign w:val="center"/>
            <w:hideMark/>
          </w:tcPr>
          <w:p w14:paraId="249D378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3E6869A6"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6A9C7D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7A646855"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79036DED"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2E71BCA"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B8B7AF8"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08</w:t>
            </w:r>
          </w:p>
        </w:tc>
        <w:tc>
          <w:tcPr>
            <w:tcW w:w="915" w:type="pct"/>
            <w:tcBorders>
              <w:top w:val="nil"/>
              <w:left w:val="nil"/>
              <w:bottom w:val="single" w:sz="4" w:space="0" w:color="auto"/>
              <w:right w:val="single" w:sz="4" w:space="0" w:color="auto"/>
            </w:tcBorders>
            <w:shd w:val="clear" w:color="000000" w:fill="FFFFFF"/>
            <w:vAlign w:val="center"/>
            <w:hideMark/>
          </w:tcPr>
          <w:p w14:paraId="00F92203" w14:textId="77777777" w:rsidR="0007172D" w:rsidRPr="0016027E" w:rsidRDefault="0007172D" w:rsidP="0007172D">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ກໍ່ສ້າງທາງເລກ</w:t>
            </w:r>
            <w:proofErr w:type="spellEnd"/>
            <w:r w:rsidRPr="0016027E">
              <w:rPr>
                <w:rFonts w:ascii="Times New Roman" w:hAnsi="Times New Roman"/>
                <w:szCs w:val="22"/>
                <w:lang w:val="en-MY" w:eastAsia="fr-FR"/>
              </w:rPr>
              <w:t xml:space="preserve"> 8</w:t>
            </w:r>
            <w:r w:rsidRPr="0016027E">
              <w:rPr>
                <w:rFonts w:ascii="Times New Roman" w:hAnsi="Times New Roman"/>
                <w:szCs w:val="22"/>
                <w:lang w:val="en-MY" w:eastAsia="fr-FR"/>
              </w:rPr>
              <w:br/>
              <w:t xml:space="preserve">State Enterprise for Bridges &amp; Roads Construction No. 8 </w:t>
            </w:r>
          </w:p>
        </w:tc>
        <w:tc>
          <w:tcPr>
            <w:tcW w:w="250" w:type="pct"/>
            <w:tcBorders>
              <w:top w:val="nil"/>
              <w:left w:val="nil"/>
              <w:bottom w:val="nil"/>
              <w:right w:val="single" w:sz="4" w:space="0" w:color="auto"/>
            </w:tcBorders>
            <w:shd w:val="clear" w:color="auto" w:fill="auto"/>
            <w:noWrap/>
            <w:vAlign w:val="center"/>
            <w:hideMark/>
          </w:tcPr>
          <w:p w14:paraId="709A7D1E"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nil"/>
              <w:right w:val="single" w:sz="4" w:space="0" w:color="auto"/>
            </w:tcBorders>
            <w:shd w:val="clear" w:color="auto" w:fill="auto"/>
            <w:noWrap/>
            <w:vAlign w:val="center"/>
            <w:hideMark/>
          </w:tcPr>
          <w:p w14:paraId="71BED24C"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232,318,699,946 </w:t>
            </w:r>
          </w:p>
        </w:tc>
        <w:tc>
          <w:tcPr>
            <w:tcW w:w="542" w:type="pct"/>
            <w:tcBorders>
              <w:top w:val="nil"/>
              <w:left w:val="nil"/>
              <w:bottom w:val="nil"/>
              <w:right w:val="single" w:sz="4" w:space="0" w:color="auto"/>
            </w:tcBorders>
            <w:shd w:val="clear" w:color="auto" w:fill="auto"/>
            <w:noWrap/>
            <w:vAlign w:val="center"/>
            <w:hideMark/>
          </w:tcPr>
          <w:p w14:paraId="4096904A"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4,107,492,444 </w:t>
            </w:r>
          </w:p>
        </w:tc>
        <w:tc>
          <w:tcPr>
            <w:tcW w:w="624" w:type="pct"/>
            <w:tcBorders>
              <w:top w:val="nil"/>
              <w:left w:val="nil"/>
              <w:bottom w:val="nil"/>
              <w:right w:val="single" w:sz="4" w:space="0" w:color="auto"/>
            </w:tcBorders>
            <w:shd w:val="clear" w:color="auto" w:fill="auto"/>
            <w:noWrap/>
            <w:vAlign w:val="center"/>
            <w:hideMark/>
          </w:tcPr>
          <w:p w14:paraId="6B2A4943"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1,831,213,774 </w:t>
            </w:r>
          </w:p>
        </w:tc>
        <w:tc>
          <w:tcPr>
            <w:tcW w:w="252" w:type="pct"/>
            <w:tcBorders>
              <w:top w:val="nil"/>
              <w:left w:val="nil"/>
              <w:bottom w:val="single" w:sz="4" w:space="0" w:color="auto"/>
              <w:right w:val="single" w:sz="4" w:space="0" w:color="auto"/>
            </w:tcBorders>
            <w:shd w:val="clear" w:color="auto" w:fill="auto"/>
            <w:noWrap/>
            <w:vAlign w:val="center"/>
            <w:hideMark/>
          </w:tcPr>
          <w:p w14:paraId="50497C23"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2E2C1AA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6D07BE5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5D1D7CCC"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F4987AF"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BD8A5C2"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721FEB6"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09</w:t>
            </w:r>
          </w:p>
        </w:tc>
        <w:tc>
          <w:tcPr>
            <w:tcW w:w="915" w:type="pct"/>
            <w:tcBorders>
              <w:top w:val="nil"/>
              <w:left w:val="nil"/>
              <w:bottom w:val="single" w:sz="4" w:space="0" w:color="auto"/>
              <w:right w:val="single" w:sz="4" w:space="0" w:color="auto"/>
            </w:tcBorders>
            <w:shd w:val="clear" w:color="000000" w:fill="FFFFFF"/>
            <w:vAlign w:val="center"/>
            <w:hideMark/>
          </w:tcPr>
          <w:p w14:paraId="3E3535ED" w14:textId="77777777" w:rsidR="0007172D" w:rsidRPr="0016027E" w:rsidRDefault="0007172D" w:rsidP="0007172D">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ນຳ້ປະປານະຄອນຫຼວງ</w:t>
            </w:r>
            <w:proofErr w:type="spellEnd"/>
            <w:r w:rsidRPr="0016027E">
              <w:rPr>
                <w:rFonts w:ascii="Times New Roman" w:hAnsi="Times New Roman"/>
                <w:szCs w:val="22"/>
                <w:lang w:val="en-MY" w:eastAsia="fr-FR"/>
              </w:rPr>
              <w:br/>
              <w:t>Vientiane Capital Water Supply Company (</w:t>
            </w:r>
            <w:proofErr w:type="spellStart"/>
            <w:r w:rsidRPr="0016027E">
              <w:rPr>
                <w:rFonts w:ascii="Times New Roman" w:hAnsi="Times New Roman"/>
                <w:szCs w:val="22"/>
                <w:lang w:val="en-MY" w:eastAsia="fr-FR"/>
              </w:rPr>
              <w:t>Nampapa</w:t>
            </w:r>
            <w:proofErr w:type="spellEnd"/>
            <w:r w:rsidRPr="0016027E">
              <w:rPr>
                <w:rFonts w:ascii="Times New Roman" w:hAnsi="Times New Roman"/>
                <w:szCs w:val="22"/>
                <w:lang w:val="en-MY" w:eastAsia="fr-FR"/>
              </w:rPr>
              <w:t xml:space="preserve">) </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A62AC94"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56835752"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436,879,098,126 </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07B9CF6A"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128,143,373,995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E56DB30"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170,839,312,560 </w:t>
            </w:r>
          </w:p>
        </w:tc>
        <w:tc>
          <w:tcPr>
            <w:tcW w:w="252" w:type="pct"/>
            <w:tcBorders>
              <w:top w:val="nil"/>
              <w:left w:val="nil"/>
              <w:bottom w:val="single" w:sz="4" w:space="0" w:color="auto"/>
              <w:right w:val="single" w:sz="4" w:space="0" w:color="auto"/>
            </w:tcBorders>
            <w:shd w:val="clear" w:color="000000" w:fill="FFFFFF"/>
            <w:noWrap/>
            <w:vAlign w:val="center"/>
            <w:hideMark/>
          </w:tcPr>
          <w:p w14:paraId="6523BDC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2734EA3E"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40B09A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267EA0FE"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62F2E8C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7D10061B"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15BD54C"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10</w:t>
            </w:r>
          </w:p>
        </w:tc>
        <w:tc>
          <w:tcPr>
            <w:tcW w:w="915" w:type="pct"/>
            <w:tcBorders>
              <w:top w:val="nil"/>
              <w:left w:val="nil"/>
              <w:bottom w:val="single" w:sz="4" w:space="0" w:color="auto"/>
              <w:right w:val="single" w:sz="4" w:space="0" w:color="auto"/>
            </w:tcBorders>
            <w:shd w:val="clear" w:color="000000" w:fill="FFFFFF"/>
            <w:vAlign w:val="center"/>
            <w:hideMark/>
          </w:tcPr>
          <w:p w14:paraId="1B12ABF0"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ໂຮງງານຜະລິດຢາເລກ</w:t>
            </w:r>
            <w:proofErr w:type="spellEnd"/>
            <w:r w:rsidRPr="0007172D">
              <w:rPr>
                <w:rFonts w:ascii="Times New Roman" w:hAnsi="Times New Roman"/>
                <w:szCs w:val="22"/>
                <w:lang w:val="fr-FR" w:eastAsia="fr-FR"/>
              </w:rPr>
              <w:t xml:space="preserve"> 2</w:t>
            </w:r>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Medecine</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Factory</w:t>
            </w:r>
            <w:proofErr w:type="spellEnd"/>
            <w:r w:rsidRPr="0007172D">
              <w:rPr>
                <w:rFonts w:ascii="Times New Roman" w:hAnsi="Times New Roman"/>
                <w:szCs w:val="22"/>
                <w:lang w:val="fr-FR" w:eastAsia="fr-FR"/>
              </w:rPr>
              <w:t xml:space="preserve"> No.2 </w:t>
            </w:r>
          </w:p>
        </w:tc>
        <w:tc>
          <w:tcPr>
            <w:tcW w:w="250" w:type="pct"/>
            <w:tcBorders>
              <w:top w:val="nil"/>
              <w:left w:val="nil"/>
              <w:bottom w:val="single" w:sz="4" w:space="0" w:color="auto"/>
              <w:right w:val="single" w:sz="4" w:space="0" w:color="auto"/>
            </w:tcBorders>
            <w:shd w:val="clear" w:color="auto" w:fill="auto"/>
            <w:noWrap/>
            <w:vAlign w:val="center"/>
            <w:hideMark/>
          </w:tcPr>
          <w:p w14:paraId="365ADC2C"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56BD507C" w14:textId="77777777" w:rsidR="0007172D" w:rsidRPr="00B12328" w:rsidRDefault="0007172D" w:rsidP="0007172D">
            <w:pPr>
              <w:spacing w:before="0"/>
              <w:ind w:left="0"/>
              <w:jc w:val="right"/>
              <w:rPr>
                <w:rFonts w:ascii="Times New Roman" w:hAnsi="Times New Roman"/>
                <w:sz w:val="16"/>
                <w:szCs w:val="16"/>
                <w:lang w:val="fr-FR" w:eastAsia="fr-FR"/>
              </w:rPr>
            </w:pPr>
            <w:r w:rsidRPr="00B12328">
              <w:rPr>
                <w:rFonts w:ascii="Times New Roman" w:hAnsi="Times New Roman"/>
                <w:sz w:val="16"/>
                <w:szCs w:val="16"/>
                <w:lang w:val="fr-FR" w:eastAsia="fr-FR"/>
              </w:rPr>
              <w:t xml:space="preserve">                 1,236,999,360 </w:t>
            </w:r>
          </w:p>
        </w:tc>
        <w:tc>
          <w:tcPr>
            <w:tcW w:w="542" w:type="pct"/>
            <w:tcBorders>
              <w:top w:val="nil"/>
              <w:left w:val="nil"/>
              <w:bottom w:val="single" w:sz="4" w:space="0" w:color="auto"/>
              <w:right w:val="single" w:sz="4" w:space="0" w:color="auto"/>
            </w:tcBorders>
            <w:shd w:val="clear" w:color="auto" w:fill="auto"/>
            <w:noWrap/>
            <w:vAlign w:val="center"/>
            <w:hideMark/>
          </w:tcPr>
          <w:p w14:paraId="37C59058" w14:textId="77777777" w:rsidR="0007172D" w:rsidRPr="00B12328" w:rsidRDefault="0007172D" w:rsidP="0007172D">
            <w:pPr>
              <w:spacing w:before="0"/>
              <w:ind w:left="0"/>
              <w:jc w:val="right"/>
              <w:rPr>
                <w:rFonts w:ascii="Times New Roman" w:hAnsi="Times New Roman"/>
                <w:sz w:val="16"/>
                <w:szCs w:val="16"/>
                <w:lang w:val="fr-FR" w:eastAsia="fr-FR"/>
              </w:rPr>
            </w:pPr>
            <w:r w:rsidRPr="00B12328">
              <w:rPr>
                <w:rFonts w:ascii="Times New Roman" w:hAnsi="Times New Roman"/>
                <w:sz w:val="16"/>
                <w:szCs w:val="16"/>
                <w:lang w:val="fr-FR" w:eastAsia="fr-FR"/>
              </w:rPr>
              <w:t xml:space="preserve">                        1,236,999,360 </w:t>
            </w:r>
          </w:p>
        </w:tc>
        <w:tc>
          <w:tcPr>
            <w:tcW w:w="624" w:type="pct"/>
            <w:tcBorders>
              <w:top w:val="nil"/>
              <w:left w:val="nil"/>
              <w:bottom w:val="single" w:sz="4" w:space="0" w:color="auto"/>
              <w:right w:val="single" w:sz="4" w:space="0" w:color="auto"/>
            </w:tcBorders>
            <w:shd w:val="clear" w:color="auto" w:fill="auto"/>
            <w:noWrap/>
            <w:vAlign w:val="center"/>
            <w:hideMark/>
          </w:tcPr>
          <w:p w14:paraId="313F5E01" w14:textId="77777777" w:rsidR="0007172D" w:rsidRPr="00B12328" w:rsidRDefault="0007172D" w:rsidP="0007172D">
            <w:pPr>
              <w:spacing w:before="0"/>
              <w:ind w:left="0"/>
              <w:jc w:val="right"/>
              <w:rPr>
                <w:rFonts w:ascii="Times New Roman" w:hAnsi="Times New Roman"/>
                <w:sz w:val="16"/>
                <w:szCs w:val="16"/>
                <w:lang w:val="fr-FR" w:eastAsia="fr-FR"/>
              </w:rPr>
            </w:pPr>
            <w:r w:rsidRPr="00B12328">
              <w:rPr>
                <w:rFonts w:ascii="Times New Roman" w:hAnsi="Times New Roman"/>
                <w:sz w:val="16"/>
                <w:szCs w:val="16"/>
                <w:lang w:val="fr-FR" w:eastAsia="fr-FR"/>
              </w:rPr>
              <w:t xml:space="preserve">                 1,069,877,248 </w:t>
            </w:r>
          </w:p>
        </w:tc>
        <w:tc>
          <w:tcPr>
            <w:tcW w:w="252" w:type="pct"/>
            <w:tcBorders>
              <w:top w:val="nil"/>
              <w:left w:val="nil"/>
              <w:bottom w:val="single" w:sz="4" w:space="0" w:color="auto"/>
              <w:right w:val="single" w:sz="4" w:space="0" w:color="auto"/>
            </w:tcBorders>
            <w:shd w:val="clear" w:color="000000" w:fill="FFFFFF"/>
            <w:noWrap/>
            <w:vAlign w:val="center"/>
            <w:hideMark/>
          </w:tcPr>
          <w:p w14:paraId="670624A0"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1B80D4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CE24000"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4EBE065B"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6B06C066"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0C20BF49" w14:textId="77777777" w:rsidTr="00B12328">
        <w:trPr>
          <w:trHeight w:val="828"/>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AC74027"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11</w:t>
            </w:r>
          </w:p>
        </w:tc>
        <w:tc>
          <w:tcPr>
            <w:tcW w:w="915" w:type="pct"/>
            <w:tcBorders>
              <w:top w:val="nil"/>
              <w:left w:val="nil"/>
              <w:bottom w:val="single" w:sz="4" w:space="0" w:color="auto"/>
              <w:right w:val="single" w:sz="4" w:space="0" w:color="auto"/>
            </w:tcBorders>
            <w:shd w:val="clear" w:color="auto" w:fill="auto"/>
            <w:vAlign w:val="center"/>
            <w:hideMark/>
          </w:tcPr>
          <w:p w14:paraId="78F50C3B"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ສຳຫຼວດອອກແບບ</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ແລະ</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ວິໃຈວັດຖຸກໍ່ສ້າງ</w:t>
            </w:r>
            <w:proofErr w:type="spellEnd"/>
            <w:r w:rsidRPr="0007172D">
              <w:rPr>
                <w:rFonts w:ascii="Times New Roman" w:hAnsi="Times New Roman"/>
                <w:szCs w:val="22"/>
                <w:lang w:val="fr-FR" w:eastAsia="fr-FR"/>
              </w:rPr>
              <w:br/>
              <w:t xml:space="preserve">State Enterprise for Construction Materials Survey, Design and </w:t>
            </w:r>
            <w:proofErr w:type="spellStart"/>
            <w:r w:rsidRPr="0007172D">
              <w:rPr>
                <w:rFonts w:ascii="Times New Roman" w:hAnsi="Times New Roman"/>
                <w:szCs w:val="22"/>
                <w:lang w:val="fr-FR" w:eastAsia="fr-FR"/>
              </w:rPr>
              <w:t>Analysis</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6BE31B35"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0297B020" w14:textId="77777777" w:rsidR="0007172D" w:rsidRPr="00B12328" w:rsidRDefault="0007172D" w:rsidP="0007172D">
            <w:pPr>
              <w:spacing w:before="0"/>
              <w:ind w:left="0"/>
              <w:jc w:val="right"/>
              <w:rPr>
                <w:rFonts w:ascii="Times New Roman" w:hAnsi="Times New Roman"/>
                <w:sz w:val="16"/>
                <w:szCs w:val="16"/>
                <w:lang w:val="fr-FR" w:eastAsia="fr-FR"/>
              </w:rPr>
            </w:pPr>
            <w:r w:rsidRPr="00B12328">
              <w:rPr>
                <w:rFonts w:ascii="Times New Roman" w:hAnsi="Times New Roman"/>
                <w:sz w:val="16"/>
                <w:szCs w:val="16"/>
                <w:lang w:val="fr-FR" w:eastAsia="fr-FR"/>
              </w:rPr>
              <w:t xml:space="preserve">                 2,031,992,865 </w:t>
            </w:r>
          </w:p>
        </w:tc>
        <w:tc>
          <w:tcPr>
            <w:tcW w:w="542" w:type="pct"/>
            <w:tcBorders>
              <w:top w:val="nil"/>
              <w:left w:val="nil"/>
              <w:bottom w:val="single" w:sz="4" w:space="0" w:color="auto"/>
              <w:right w:val="single" w:sz="4" w:space="0" w:color="auto"/>
            </w:tcBorders>
            <w:shd w:val="clear" w:color="auto" w:fill="auto"/>
            <w:noWrap/>
            <w:vAlign w:val="center"/>
            <w:hideMark/>
          </w:tcPr>
          <w:p w14:paraId="104C7672" w14:textId="77777777" w:rsidR="0007172D" w:rsidRPr="00B12328" w:rsidRDefault="0007172D" w:rsidP="0007172D">
            <w:pPr>
              <w:spacing w:before="0"/>
              <w:ind w:left="0"/>
              <w:jc w:val="right"/>
              <w:rPr>
                <w:rFonts w:ascii="Times New Roman" w:hAnsi="Times New Roman"/>
                <w:sz w:val="16"/>
                <w:szCs w:val="16"/>
                <w:lang w:val="fr-FR" w:eastAsia="fr-FR"/>
              </w:rPr>
            </w:pPr>
            <w:r w:rsidRPr="00B12328">
              <w:rPr>
                <w:rFonts w:ascii="Times New Roman" w:hAnsi="Times New Roman"/>
                <w:sz w:val="16"/>
                <w:szCs w:val="16"/>
                <w:lang w:val="fr-FR" w:eastAsia="fr-FR"/>
              </w:rPr>
              <w:t xml:space="preserve">                        2,031,992,865 </w:t>
            </w:r>
          </w:p>
        </w:tc>
        <w:tc>
          <w:tcPr>
            <w:tcW w:w="624" w:type="pct"/>
            <w:tcBorders>
              <w:top w:val="nil"/>
              <w:left w:val="nil"/>
              <w:bottom w:val="single" w:sz="4" w:space="0" w:color="auto"/>
              <w:right w:val="single" w:sz="4" w:space="0" w:color="auto"/>
            </w:tcBorders>
            <w:shd w:val="clear" w:color="auto" w:fill="auto"/>
            <w:noWrap/>
            <w:vAlign w:val="center"/>
            <w:hideMark/>
          </w:tcPr>
          <w:p w14:paraId="6068BD72" w14:textId="77777777" w:rsidR="0007172D" w:rsidRPr="00B12328" w:rsidRDefault="0007172D" w:rsidP="0007172D">
            <w:pPr>
              <w:spacing w:before="0"/>
              <w:ind w:left="0"/>
              <w:jc w:val="right"/>
              <w:rPr>
                <w:rFonts w:ascii="Times New Roman" w:hAnsi="Times New Roman"/>
                <w:sz w:val="16"/>
                <w:szCs w:val="16"/>
                <w:lang w:val="fr-FR" w:eastAsia="fr-FR"/>
              </w:rPr>
            </w:pPr>
            <w:r w:rsidRPr="00B12328">
              <w:rPr>
                <w:rFonts w:ascii="Times New Roman" w:hAnsi="Times New Roman"/>
                <w:sz w:val="16"/>
                <w:szCs w:val="16"/>
                <w:lang w:val="fr-FR" w:eastAsia="fr-FR"/>
              </w:rPr>
              <w:t xml:space="preserve">                    100,812,355 </w:t>
            </w:r>
          </w:p>
        </w:tc>
        <w:tc>
          <w:tcPr>
            <w:tcW w:w="252" w:type="pct"/>
            <w:tcBorders>
              <w:top w:val="nil"/>
              <w:left w:val="nil"/>
              <w:bottom w:val="single" w:sz="4" w:space="0" w:color="auto"/>
              <w:right w:val="single" w:sz="4" w:space="0" w:color="auto"/>
            </w:tcBorders>
            <w:shd w:val="clear" w:color="000000" w:fill="FFFFFF"/>
            <w:noWrap/>
            <w:vAlign w:val="center"/>
            <w:hideMark/>
          </w:tcPr>
          <w:p w14:paraId="2D389A9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F8EE346"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7B1E785"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5F0BB32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5EE4D73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6023D5B" w14:textId="77777777" w:rsidTr="00B12328">
        <w:trPr>
          <w:trHeight w:val="1104"/>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F56FB61"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12</w:t>
            </w:r>
          </w:p>
        </w:tc>
        <w:tc>
          <w:tcPr>
            <w:tcW w:w="915" w:type="pct"/>
            <w:tcBorders>
              <w:top w:val="nil"/>
              <w:left w:val="nil"/>
              <w:bottom w:val="single" w:sz="4" w:space="0" w:color="auto"/>
              <w:right w:val="single" w:sz="4" w:space="0" w:color="auto"/>
            </w:tcBorders>
            <w:shd w:val="clear" w:color="auto" w:fill="auto"/>
            <w:vAlign w:val="center"/>
            <w:hideMark/>
          </w:tcPr>
          <w:p w14:paraId="26F6AA5B" w14:textId="77777777" w:rsidR="0007172D" w:rsidRPr="0007172D" w:rsidRDefault="0007172D" w:rsidP="0007172D">
            <w:pPr>
              <w:spacing w:before="0"/>
              <w:ind w:left="0"/>
              <w:jc w:val="left"/>
              <w:rPr>
                <w:rFonts w:ascii="Times New Roman" w:hAnsi="Times New Roman"/>
                <w:szCs w:val="22"/>
                <w:lang w:val="fr-FR" w:eastAsia="fr-FR"/>
              </w:rPr>
            </w:pP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ພັດທະນາກະສິກໍາ</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ອຸດສາຫະກໍາ</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ແລະ</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ບໍລິການ</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ຂາອອກ</w:t>
            </w:r>
            <w:r w:rsidRPr="0007172D">
              <w:rPr>
                <w:rFonts w:ascii="Times New Roman" w:hAnsi="Times New Roman"/>
                <w:szCs w:val="22"/>
                <w:lang w:val="fr-FR" w:eastAsia="fr-FR"/>
              </w:rPr>
              <w:t>-</w:t>
            </w:r>
            <w:r w:rsidRPr="0007172D">
              <w:rPr>
                <w:rFonts w:ascii="DokChampa" w:hAnsi="DokChampa" w:cs="DokChampa"/>
                <w:szCs w:val="22"/>
                <w:lang w:val="fr-FR" w:eastAsia="fr-FR"/>
              </w:rPr>
              <w:t>ຂາເຂົ້າ</w:t>
            </w:r>
            <w:proofErr w:type="spellEnd"/>
            <w:r w:rsidRPr="0007172D">
              <w:rPr>
                <w:rFonts w:ascii="Times New Roman" w:hAnsi="Times New Roman"/>
                <w:szCs w:val="22"/>
                <w:lang w:val="fr-FR" w:eastAsia="fr-FR"/>
              </w:rPr>
              <w:br/>
            </w:r>
            <w:proofErr w:type="gramStart"/>
            <w:r w:rsidRPr="0007172D">
              <w:rPr>
                <w:rFonts w:ascii="Times New Roman" w:hAnsi="Times New Roman"/>
                <w:szCs w:val="22"/>
                <w:lang w:val="fr-FR" w:eastAsia="fr-FR"/>
              </w:rPr>
              <w:t>State  Enterprise</w:t>
            </w:r>
            <w:proofErr w:type="gramEnd"/>
            <w:r w:rsidRPr="0007172D">
              <w:rPr>
                <w:rFonts w:ascii="Times New Roman" w:hAnsi="Times New Roman"/>
                <w:szCs w:val="22"/>
                <w:lang w:val="fr-FR" w:eastAsia="fr-FR"/>
              </w:rPr>
              <w:t xml:space="preserve"> for </w:t>
            </w:r>
            <w:proofErr w:type="spellStart"/>
            <w:r w:rsidRPr="0007172D">
              <w:rPr>
                <w:rFonts w:ascii="Times New Roman" w:hAnsi="Times New Roman"/>
                <w:szCs w:val="22"/>
                <w:lang w:val="fr-FR" w:eastAsia="fr-FR"/>
              </w:rPr>
              <w:t>Agiculture</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Industry</w:t>
            </w:r>
            <w:proofErr w:type="spellEnd"/>
            <w:r w:rsidRPr="0007172D">
              <w:rPr>
                <w:rFonts w:ascii="Times New Roman" w:hAnsi="Times New Roman"/>
                <w:szCs w:val="22"/>
                <w:lang w:val="fr-FR" w:eastAsia="fr-FR"/>
              </w:rPr>
              <w:t xml:space="preserve"> </w:t>
            </w:r>
            <w:r w:rsidRPr="0007172D">
              <w:rPr>
                <w:rFonts w:ascii="Times New Roman" w:hAnsi="Times New Roman"/>
                <w:szCs w:val="22"/>
                <w:lang w:val="fr-FR" w:eastAsia="fr-FR"/>
              </w:rPr>
              <w:lastRenderedPageBreak/>
              <w:t xml:space="preserve">and Exports &amp; Imports Service </w:t>
            </w:r>
            <w:proofErr w:type="spellStart"/>
            <w:r w:rsidRPr="0007172D">
              <w:rPr>
                <w:rFonts w:ascii="Times New Roman" w:hAnsi="Times New Roman"/>
                <w:szCs w:val="22"/>
                <w:lang w:val="fr-FR" w:eastAsia="fr-FR"/>
              </w:rPr>
              <w:t>Development</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5FF23109"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lastRenderedPageBreak/>
              <w:t>100%</w:t>
            </w:r>
          </w:p>
        </w:tc>
        <w:tc>
          <w:tcPr>
            <w:tcW w:w="583" w:type="pct"/>
            <w:tcBorders>
              <w:top w:val="nil"/>
              <w:left w:val="nil"/>
              <w:bottom w:val="single" w:sz="4" w:space="0" w:color="auto"/>
              <w:right w:val="single" w:sz="4" w:space="0" w:color="auto"/>
            </w:tcBorders>
            <w:shd w:val="clear" w:color="auto" w:fill="auto"/>
            <w:noWrap/>
            <w:vAlign w:val="center"/>
            <w:hideMark/>
          </w:tcPr>
          <w:p w14:paraId="69500726"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126,094,622,982 </w:t>
            </w:r>
          </w:p>
        </w:tc>
        <w:tc>
          <w:tcPr>
            <w:tcW w:w="542" w:type="pct"/>
            <w:tcBorders>
              <w:top w:val="nil"/>
              <w:left w:val="nil"/>
              <w:bottom w:val="single" w:sz="4" w:space="0" w:color="auto"/>
              <w:right w:val="single" w:sz="4" w:space="0" w:color="auto"/>
            </w:tcBorders>
            <w:shd w:val="clear" w:color="auto" w:fill="auto"/>
            <w:noWrap/>
            <w:vAlign w:val="center"/>
            <w:hideMark/>
          </w:tcPr>
          <w:p w14:paraId="3E2F37B0"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88,008,917,268 </w:t>
            </w:r>
          </w:p>
        </w:tc>
        <w:tc>
          <w:tcPr>
            <w:tcW w:w="624" w:type="pct"/>
            <w:tcBorders>
              <w:top w:val="nil"/>
              <w:left w:val="nil"/>
              <w:bottom w:val="single" w:sz="4" w:space="0" w:color="auto"/>
              <w:right w:val="single" w:sz="4" w:space="0" w:color="auto"/>
            </w:tcBorders>
            <w:shd w:val="clear" w:color="auto" w:fill="auto"/>
            <w:noWrap/>
            <w:vAlign w:val="center"/>
            <w:hideMark/>
          </w:tcPr>
          <w:p w14:paraId="34783095"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79,845,662,069 </w:t>
            </w:r>
          </w:p>
        </w:tc>
        <w:tc>
          <w:tcPr>
            <w:tcW w:w="252" w:type="pct"/>
            <w:tcBorders>
              <w:top w:val="nil"/>
              <w:left w:val="nil"/>
              <w:bottom w:val="single" w:sz="4" w:space="0" w:color="auto"/>
              <w:right w:val="single" w:sz="4" w:space="0" w:color="auto"/>
            </w:tcBorders>
            <w:shd w:val="clear" w:color="000000" w:fill="FFFFFF"/>
            <w:noWrap/>
            <w:vAlign w:val="center"/>
            <w:hideMark/>
          </w:tcPr>
          <w:p w14:paraId="01EC8F36"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B3EBE3E"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61153022"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04E47095"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ABFAAA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0723A782"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EF8957E"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13</w:t>
            </w:r>
          </w:p>
        </w:tc>
        <w:tc>
          <w:tcPr>
            <w:tcW w:w="915" w:type="pct"/>
            <w:tcBorders>
              <w:top w:val="nil"/>
              <w:left w:val="nil"/>
              <w:bottom w:val="single" w:sz="4" w:space="0" w:color="auto"/>
              <w:right w:val="single" w:sz="4" w:space="0" w:color="auto"/>
            </w:tcBorders>
            <w:shd w:val="clear" w:color="000000" w:fill="FFFFFF"/>
            <w:vAlign w:val="center"/>
            <w:hideMark/>
          </w:tcPr>
          <w:p w14:paraId="718BB68C"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ນໍ້າມັນເຊື້ອໄຟລາວ</w:t>
            </w:r>
            <w:proofErr w:type="spellEnd"/>
            <w:r w:rsidRPr="0007172D">
              <w:rPr>
                <w:rFonts w:ascii="Times New Roman" w:hAnsi="Times New Roman"/>
                <w:szCs w:val="22"/>
                <w:lang w:val="fr-FR" w:eastAsia="fr-FR"/>
              </w:rPr>
              <w:br/>
              <w:t xml:space="preserve">Lao Fuel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17E70668"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14ED8CD7"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308,543,358,153 </w:t>
            </w:r>
          </w:p>
        </w:tc>
        <w:tc>
          <w:tcPr>
            <w:tcW w:w="542" w:type="pct"/>
            <w:tcBorders>
              <w:top w:val="nil"/>
              <w:left w:val="nil"/>
              <w:bottom w:val="single" w:sz="4" w:space="0" w:color="auto"/>
              <w:right w:val="single" w:sz="4" w:space="0" w:color="auto"/>
            </w:tcBorders>
            <w:shd w:val="clear" w:color="auto" w:fill="auto"/>
            <w:noWrap/>
            <w:vAlign w:val="center"/>
            <w:hideMark/>
          </w:tcPr>
          <w:p w14:paraId="7840CB66"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99,573,475,341 </w:t>
            </w:r>
          </w:p>
        </w:tc>
        <w:tc>
          <w:tcPr>
            <w:tcW w:w="624" w:type="pct"/>
            <w:tcBorders>
              <w:top w:val="nil"/>
              <w:left w:val="nil"/>
              <w:bottom w:val="single" w:sz="4" w:space="0" w:color="auto"/>
              <w:right w:val="single" w:sz="4" w:space="0" w:color="auto"/>
            </w:tcBorders>
            <w:shd w:val="clear" w:color="auto" w:fill="auto"/>
            <w:noWrap/>
            <w:vAlign w:val="center"/>
            <w:hideMark/>
          </w:tcPr>
          <w:p w14:paraId="68C80A34"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1,259,737,715,982 </w:t>
            </w:r>
          </w:p>
        </w:tc>
        <w:tc>
          <w:tcPr>
            <w:tcW w:w="252" w:type="pct"/>
            <w:tcBorders>
              <w:top w:val="nil"/>
              <w:left w:val="nil"/>
              <w:bottom w:val="single" w:sz="4" w:space="0" w:color="auto"/>
              <w:right w:val="single" w:sz="4" w:space="0" w:color="auto"/>
            </w:tcBorders>
            <w:shd w:val="clear" w:color="000000" w:fill="FFFFFF"/>
            <w:noWrap/>
            <w:vAlign w:val="center"/>
            <w:hideMark/>
          </w:tcPr>
          <w:p w14:paraId="5D3C5A5C"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F6363B8"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2F5840D"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2FD7CA7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047E94EB"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01A5DA08"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DDDD92D"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14</w:t>
            </w:r>
          </w:p>
        </w:tc>
        <w:tc>
          <w:tcPr>
            <w:tcW w:w="915" w:type="pct"/>
            <w:tcBorders>
              <w:top w:val="nil"/>
              <w:left w:val="nil"/>
              <w:bottom w:val="single" w:sz="4" w:space="0" w:color="auto"/>
              <w:right w:val="single" w:sz="4" w:space="0" w:color="auto"/>
            </w:tcBorders>
            <w:shd w:val="clear" w:color="000000" w:fill="FFFFFF"/>
            <w:vAlign w:val="center"/>
            <w:hideMark/>
          </w:tcPr>
          <w:p w14:paraId="42E180F8"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ກໍ່ສ້າງຄົມມະນາຄົມ</w:t>
            </w:r>
            <w:proofErr w:type="spellEnd"/>
            <w:r w:rsidRPr="0007172D">
              <w:rPr>
                <w:rFonts w:ascii="Times New Roman" w:hAnsi="Times New Roman"/>
                <w:szCs w:val="22"/>
                <w:lang w:val="fr-FR" w:eastAsia="fr-FR"/>
              </w:rPr>
              <w:br/>
              <w:t>Communication Construction Enterprise</w:t>
            </w:r>
          </w:p>
        </w:tc>
        <w:tc>
          <w:tcPr>
            <w:tcW w:w="250" w:type="pct"/>
            <w:tcBorders>
              <w:top w:val="nil"/>
              <w:left w:val="nil"/>
              <w:bottom w:val="single" w:sz="4" w:space="0" w:color="auto"/>
              <w:right w:val="single" w:sz="4" w:space="0" w:color="auto"/>
            </w:tcBorders>
            <w:shd w:val="clear" w:color="auto" w:fill="auto"/>
            <w:noWrap/>
            <w:vAlign w:val="center"/>
            <w:hideMark/>
          </w:tcPr>
          <w:p w14:paraId="601D7A0A"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000000" w:fill="FFFF00"/>
            <w:noWrap/>
            <w:vAlign w:val="center"/>
            <w:hideMark/>
          </w:tcPr>
          <w:p w14:paraId="65DFCA91"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15,494,366,488 </w:t>
            </w:r>
          </w:p>
        </w:tc>
        <w:tc>
          <w:tcPr>
            <w:tcW w:w="542" w:type="pct"/>
            <w:tcBorders>
              <w:top w:val="nil"/>
              <w:left w:val="nil"/>
              <w:bottom w:val="single" w:sz="4" w:space="0" w:color="auto"/>
              <w:right w:val="single" w:sz="4" w:space="0" w:color="auto"/>
            </w:tcBorders>
            <w:shd w:val="clear" w:color="000000" w:fill="FFFF00"/>
            <w:noWrap/>
            <w:vAlign w:val="center"/>
            <w:hideMark/>
          </w:tcPr>
          <w:p w14:paraId="556AFCF5"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15,494,366,488 </w:t>
            </w:r>
          </w:p>
        </w:tc>
        <w:tc>
          <w:tcPr>
            <w:tcW w:w="624" w:type="pct"/>
            <w:tcBorders>
              <w:top w:val="nil"/>
              <w:left w:val="nil"/>
              <w:bottom w:val="single" w:sz="4" w:space="0" w:color="auto"/>
              <w:right w:val="single" w:sz="4" w:space="0" w:color="auto"/>
            </w:tcBorders>
            <w:shd w:val="clear" w:color="000000" w:fill="FFFF00"/>
            <w:noWrap/>
            <w:vAlign w:val="center"/>
            <w:hideMark/>
          </w:tcPr>
          <w:p w14:paraId="04772C82"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94,583,546 </w:t>
            </w:r>
          </w:p>
        </w:tc>
        <w:tc>
          <w:tcPr>
            <w:tcW w:w="252" w:type="pct"/>
            <w:tcBorders>
              <w:top w:val="nil"/>
              <w:left w:val="nil"/>
              <w:bottom w:val="single" w:sz="4" w:space="0" w:color="auto"/>
              <w:right w:val="single" w:sz="4" w:space="0" w:color="auto"/>
            </w:tcBorders>
            <w:shd w:val="clear" w:color="000000" w:fill="FFFFFF"/>
            <w:noWrap/>
            <w:vAlign w:val="center"/>
            <w:hideMark/>
          </w:tcPr>
          <w:p w14:paraId="6AF3211C"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0C4A1D9F"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25F065A"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28356E7"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63A9BC33"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70120BA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2AA0ECA"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15</w:t>
            </w:r>
          </w:p>
        </w:tc>
        <w:tc>
          <w:tcPr>
            <w:tcW w:w="915" w:type="pct"/>
            <w:tcBorders>
              <w:top w:val="nil"/>
              <w:left w:val="nil"/>
              <w:bottom w:val="single" w:sz="4" w:space="0" w:color="auto"/>
              <w:right w:val="single" w:sz="4" w:space="0" w:color="auto"/>
            </w:tcBorders>
            <w:shd w:val="clear" w:color="000000" w:fill="FFFFFF"/>
            <w:vAlign w:val="center"/>
            <w:hideMark/>
          </w:tcPr>
          <w:p w14:paraId="610649D4" w14:textId="77777777" w:rsidR="0007172D" w:rsidRPr="0007172D" w:rsidRDefault="0007172D" w:rsidP="0007172D">
            <w:pPr>
              <w:spacing w:before="0"/>
              <w:ind w:left="0"/>
              <w:jc w:val="left"/>
              <w:rPr>
                <w:rFonts w:ascii="Times New Roman" w:hAnsi="Times New Roman"/>
                <w:szCs w:val="22"/>
                <w:lang w:val="fr-FR" w:eastAsia="fr-FR"/>
              </w:rPr>
            </w:pP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ລ້ານຊ້າງພັດທະນາ</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ແລະ</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ບໍລິການຂາອອກ</w:t>
            </w:r>
            <w:r w:rsidRPr="0007172D">
              <w:rPr>
                <w:rFonts w:ascii="Times New Roman" w:hAnsi="Times New Roman"/>
                <w:szCs w:val="22"/>
                <w:lang w:val="fr-FR" w:eastAsia="fr-FR"/>
              </w:rPr>
              <w:t>-</w:t>
            </w:r>
            <w:r w:rsidRPr="0007172D">
              <w:rPr>
                <w:rFonts w:ascii="DokChampa" w:hAnsi="DokChampa" w:cs="DokChampa"/>
                <w:szCs w:val="22"/>
                <w:lang w:val="fr-FR" w:eastAsia="fr-FR"/>
              </w:rPr>
              <w:t>ຂາເຂົ້າ</w:t>
            </w:r>
            <w:proofErr w:type="spellEnd"/>
            <w:r w:rsidRPr="0007172D">
              <w:rPr>
                <w:rFonts w:ascii="Times New Roman" w:hAnsi="Times New Roman"/>
                <w:szCs w:val="22"/>
                <w:lang w:val="fr-FR" w:eastAsia="fr-FR"/>
              </w:rPr>
              <w:br/>
              <w:t xml:space="preserve">Lane </w:t>
            </w:r>
            <w:proofErr w:type="spellStart"/>
            <w:r w:rsidRPr="0007172D">
              <w:rPr>
                <w:rFonts w:ascii="Times New Roman" w:hAnsi="Times New Roman"/>
                <w:szCs w:val="22"/>
                <w:lang w:val="fr-FR" w:eastAsia="fr-FR"/>
              </w:rPr>
              <w:t>Xang</w:t>
            </w:r>
            <w:proofErr w:type="spellEnd"/>
            <w:r w:rsidRPr="0007172D">
              <w:rPr>
                <w:rFonts w:ascii="Times New Roman" w:hAnsi="Times New Roman"/>
                <w:szCs w:val="22"/>
                <w:lang w:val="fr-FR" w:eastAsia="fr-FR"/>
              </w:rPr>
              <w:t xml:space="preserve"> </w:t>
            </w:r>
            <w:proofErr w:type="spellStart"/>
            <w:proofErr w:type="gramStart"/>
            <w:r w:rsidRPr="0007172D">
              <w:rPr>
                <w:rFonts w:ascii="Times New Roman" w:hAnsi="Times New Roman"/>
                <w:szCs w:val="22"/>
                <w:lang w:val="fr-FR" w:eastAsia="fr-FR"/>
              </w:rPr>
              <w:t>Development</w:t>
            </w:r>
            <w:proofErr w:type="spellEnd"/>
            <w:r w:rsidRPr="0007172D">
              <w:rPr>
                <w:rFonts w:ascii="Times New Roman" w:hAnsi="Times New Roman"/>
                <w:szCs w:val="22"/>
                <w:lang w:val="fr-FR" w:eastAsia="fr-FR"/>
              </w:rPr>
              <w:t xml:space="preserve">  and</w:t>
            </w:r>
            <w:proofErr w:type="gramEnd"/>
            <w:r w:rsidRPr="0007172D">
              <w:rPr>
                <w:rFonts w:ascii="Times New Roman" w:hAnsi="Times New Roman"/>
                <w:szCs w:val="22"/>
                <w:lang w:val="fr-FR" w:eastAsia="fr-FR"/>
              </w:rPr>
              <w:t xml:space="preserve"> Imports and Exports Service </w:t>
            </w:r>
          </w:p>
        </w:tc>
        <w:tc>
          <w:tcPr>
            <w:tcW w:w="250" w:type="pct"/>
            <w:tcBorders>
              <w:top w:val="nil"/>
              <w:left w:val="nil"/>
              <w:bottom w:val="nil"/>
              <w:right w:val="single" w:sz="4" w:space="0" w:color="auto"/>
            </w:tcBorders>
            <w:shd w:val="clear" w:color="auto" w:fill="auto"/>
            <w:noWrap/>
            <w:vAlign w:val="center"/>
            <w:hideMark/>
          </w:tcPr>
          <w:p w14:paraId="494B2547"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nil"/>
              <w:right w:val="single" w:sz="4" w:space="0" w:color="auto"/>
            </w:tcBorders>
            <w:shd w:val="clear" w:color="auto" w:fill="auto"/>
            <w:noWrap/>
            <w:vAlign w:val="center"/>
            <w:hideMark/>
          </w:tcPr>
          <w:p w14:paraId="62E1F7C5"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1,221,209,097 </w:t>
            </w:r>
          </w:p>
        </w:tc>
        <w:tc>
          <w:tcPr>
            <w:tcW w:w="542" w:type="pct"/>
            <w:tcBorders>
              <w:top w:val="nil"/>
              <w:left w:val="nil"/>
              <w:bottom w:val="nil"/>
              <w:right w:val="single" w:sz="4" w:space="0" w:color="auto"/>
            </w:tcBorders>
            <w:shd w:val="clear" w:color="auto" w:fill="auto"/>
            <w:noWrap/>
            <w:vAlign w:val="center"/>
            <w:hideMark/>
          </w:tcPr>
          <w:p w14:paraId="11EB3EC0"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1,221,209,097 </w:t>
            </w:r>
          </w:p>
        </w:tc>
        <w:tc>
          <w:tcPr>
            <w:tcW w:w="624" w:type="pct"/>
            <w:tcBorders>
              <w:top w:val="nil"/>
              <w:left w:val="nil"/>
              <w:bottom w:val="nil"/>
              <w:right w:val="single" w:sz="4" w:space="0" w:color="auto"/>
            </w:tcBorders>
            <w:shd w:val="clear" w:color="auto" w:fill="auto"/>
            <w:noWrap/>
            <w:vAlign w:val="center"/>
            <w:hideMark/>
          </w:tcPr>
          <w:p w14:paraId="08D2FABC"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71,883,495 </w:t>
            </w:r>
          </w:p>
        </w:tc>
        <w:tc>
          <w:tcPr>
            <w:tcW w:w="252" w:type="pct"/>
            <w:tcBorders>
              <w:top w:val="nil"/>
              <w:left w:val="nil"/>
              <w:bottom w:val="single" w:sz="4" w:space="0" w:color="auto"/>
              <w:right w:val="single" w:sz="4" w:space="0" w:color="auto"/>
            </w:tcBorders>
            <w:shd w:val="clear" w:color="000000" w:fill="FFFFFF"/>
            <w:noWrap/>
            <w:vAlign w:val="center"/>
            <w:hideMark/>
          </w:tcPr>
          <w:p w14:paraId="20E9AD81"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3FB1F1F9"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89CBB92"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FD488E9"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37952750"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6CC7EA5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F557BC6"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16</w:t>
            </w:r>
          </w:p>
        </w:tc>
        <w:tc>
          <w:tcPr>
            <w:tcW w:w="915" w:type="pct"/>
            <w:tcBorders>
              <w:top w:val="nil"/>
              <w:left w:val="nil"/>
              <w:bottom w:val="single" w:sz="4" w:space="0" w:color="auto"/>
              <w:right w:val="nil"/>
            </w:tcBorders>
            <w:shd w:val="clear" w:color="000000" w:fill="FFFFFF"/>
            <w:vAlign w:val="center"/>
            <w:hideMark/>
          </w:tcPr>
          <w:p w14:paraId="0D7A5C09" w14:textId="77777777" w:rsidR="0007172D" w:rsidRPr="0016027E" w:rsidRDefault="0007172D" w:rsidP="0007172D">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ບໍລິການຄວາມປອດໄພ</w:t>
            </w:r>
            <w:proofErr w:type="spellEnd"/>
            <w:r w:rsidRPr="0016027E">
              <w:rPr>
                <w:rFonts w:ascii="Times New Roman" w:hAnsi="Times New Roman"/>
                <w:szCs w:val="22"/>
                <w:lang w:val="en-MY" w:eastAsia="fr-FR"/>
              </w:rPr>
              <w:br/>
              <w:t xml:space="preserve">Security Service State Owned Enterprise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9778C"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13DC0B21"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1,205,107,600 </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7BA3BF96"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1,205,107,600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3F9CC16"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290,798,200 </w:t>
            </w:r>
          </w:p>
        </w:tc>
        <w:tc>
          <w:tcPr>
            <w:tcW w:w="252" w:type="pct"/>
            <w:tcBorders>
              <w:top w:val="nil"/>
              <w:left w:val="nil"/>
              <w:bottom w:val="single" w:sz="4" w:space="0" w:color="auto"/>
              <w:right w:val="single" w:sz="4" w:space="0" w:color="auto"/>
            </w:tcBorders>
            <w:shd w:val="clear" w:color="000000" w:fill="FFFFFF"/>
            <w:noWrap/>
            <w:vAlign w:val="center"/>
            <w:hideMark/>
          </w:tcPr>
          <w:p w14:paraId="311745BB"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4DAD353"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9EA006D"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11F374D"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05997FC9"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180CBE7"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4C758E14"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17</w:t>
            </w:r>
          </w:p>
        </w:tc>
        <w:tc>
          <w:tcPr>
            <w:tcW w:w="915" w:type="pct"/>
            <w:tcBorders>
              <w:top w:val="nil"/>
              <w:left w:val="nil"/>
              <w:bottom w:val="single" w:sz="4" w:space="0" w:color="auto"/>
              <w:right w:val="single" w:sz="4" w:space="0" w:color="auto"/>
            </w:tcBorders>
            <w:shd w:val="clear" w:color="000000" w:fill="FFFFFF"/>
            <w:vAlign w:val="center"/>
            <w:hideMark/>
          </w:tcPr>
          <w:p w14:paraId="54D86EF4"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ລັດວິສາຫະກິດໂຮງພິມສຶກສາ</w:t>
            </w:r>
            <w:proofErr w:type="spellEnd"/>
            <w:r w:rsidRPr="0007172D">
              <w:rPr>
                <w:rFonts w:ascii="Times New Roman" w:hAnsi="Times New Roman"/>
                <w:szCs w:val="22"/>
                <w:lang w:val="fr-FR" w:eastAsia="fr-FR"/>
              </w:rPr>
              <w:br/>
              <w:t>Education Printing House</w:t>
            </w:r>
          </w:p>
        </w:tc>
        <w:tc>
          <w:tcPr>
            <w:tcW w:w="250" w:type="pct"/>
            <w:tcBorders>
              <w:top w:val="nil"/>
              <w:left w:val="nil"/>
              <w:bottom w:val="single" w:sz="4" w:space="0" w:color="auto"/>
              <w:right w:val="single" w:sz="4" w:space="0" w:color="auto"/>
            </w:tcBorders>
            <w:shd w:val="clear" w:color="auto" w:fill="auto"/>
            <w:noWrap/>
            <w:vAlign w:val="center"/>
            <w:hideMark/>
          </w:tcPr>
          <w:p w14:paraId="0E2570BE"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4D62E44B"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27,172,948,339 </w:t>
            </w:r>
          </w:p>
        </w:tc>
        <w:tc>
          <w:tcPr>
            <w:tcW w:w="542" w:type="pct"/>
            <w:tcBorders>
              <w:top w:val="nil"/>
              <w:left w:val="nil"/>
              <w:bottom w:val="single" w:sz="4" w:space="0" w:color="auto"/>
              <w:right w:val="single" w:sz="4" w:space="0" w:color="auto"/>
            </w:tcBorders>
            <w:shd w:val="clear" w:color="auto" w:fill="auto"/>
            <w:noWrap/>
            <w:vAlign w:val="center"/>
            <w:hideMark/>
          </w:tcPr>
          <w:p w14:paraId="65DCDEB8"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673,566,000 </w:t>
            </w:r>
          </w:p>
        </w:tc>
        <w:tc>
          <w:tcPr>
            <w:tcW w:w="624" w:type="pct"/>
            <w:tcBorders>
              <w:top w:val="nil"/>
              <w:left w:val="nil"/>
              <w:bottom w:val="single" w:sz="4" w:space="0" w:color="auto"/>
              <w:right w:val="single" w:sz="4" w:space="0" w:color="auto"/>
            </w:tcBorders>
            <w:shd w:val="clear" w:color="auto" w:fill="auto"/>
            <w:noWrap/>
            <w:vAlign w:val="center"/>
            <w:hideMark/>
          </w:tcPr>
          <w:p w14:paraId="65593200"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43,677,683,316 </w:t>
            </w:r>
          </w:p>
        </w:tc>
        <w:tc>
          <w:tcPr>
            <w:tcW w:w="252" w:type="pct"/>
            <w:tcBorders>
              <w:top w:val="nil"/>
              <w:left w:val="nil"/>
              <w:bottom w:val="single" w:sz="4" w:space="0" w:color="auto"/>
              <w:right w:val="single" w:sz="4" w:space="0" w:color="auto"/>
            </w:tcBorders>
            <w:shd w:val="clear" w:color="000000" w:fill="FFFFFF"/>
            <w:noWrap/>
            <w:vAlign w:val="center"/>
            <w:hideMark/>
          </w:tcPr>
          <w:p w14:paraId="29E01F31"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16195194"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645B45C6"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C90A0D0"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737603E8"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638C101B"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151B10B2" w14:textId="77777777" w:rsidR="0007172D" w:rsidRPr="0007172D" w:rsidRDefault="0007172D" w:rsidP="0007172D">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18</w:t>
            </w:r>
          </w:p>
        </w:tc>
        <w:tc>
          <w:tcPr>
            <w:tcW w:w="915" w:type="pct"/>
            <w:tcBorders>
              <w:top w:val="nil"/>
              <w:left w:val="nil"/>
              <w:bottom w:val="single" w:sz="4" w:space="0" w:color="auto"/>
              <w:right w:val="single" w:sz="4" w:space="0" w:color="auto"/>
            </w:tcBorders>
            <w:shd w:val="clear" w:color="000000" w:fill="FFFFFF"/>
            <w:vAlign w:val="center"/>
            <w:hideMark/>
          </w:tcPr>
          <w:p w14:paraId="4A5C43D8" w14:textId="77777777" w:rsidR="0007172D" w:rsidRPr="0007172D" w:rsidRDefault="0007172D" w:rsidP="0007172D">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ການຄ້າສາກົນ</w:t>
            </w:r>
            <w:r w:rsidRPr="0007172D">
              <w:rPr>
                <w:rFonts w:ascii="Times New Roman" w:hAnsi="Times New Roman"/>
                <w:szCs w:val="22"/>
                <w:lang w:val="fr-FR" w:eastAsia="fr-FR"/>
              </w:rPr>
              <w:t>-</w:t>
            </w:r>
            <w:r w:rsidRPr="0007172D">
              <w:rPr>
                <w:rFonts w:ascii="DokChampa" w:hAnsi="DokChampa" w:cs="DokChampa"/>
                <w:szCs w:val="22"/>
                <w:lang w:val="fr-FR" w:eastAsia="fr-FR"/>
              </w:rPr>
              <w:t>ລາວບໍລິການ</w:t>
            </w:r>
            <w:proofErr w:type="spellEnd"/>
            <w:r w:rsidRPr="0007172D">
              <w:rPr>
                <w:rFonts w:ascii="Times New Roman" w:hAnsi="Times New Roman"/>
                <w:szCs w:val="22"/>
                <w:lang w:val="fr-FR" w:eastAsia="fr-FR"/>
              </w:rPr>
              <w:br/>
              <w:t xml:space="preserve">Lao Service for International Trade </w:t>
            </w:r>
          </w:p>
        </w:tc>
        <w:tc>
          <w:tcPr>
            <w:tcW w:w="250" w:type="pct"/>
            <w:tcBorders>
              <w:top w:val="nil"/>
              <w:left w:val="nil"/>
              <w:bottom w:val="single" w:sz="4" w:space="0" w:color="auto"/>
              <w:right w:val="single" w:sz="4" w:space="0" w:color="auto"/>
            </w:tcBorders>
            <w:shd w:val="clear" w:color="auto" w:fill="auto"/>
            <w:noWrap/>
            <w:vAlign w:val="center"/>
            <w:hideMark/>
          </w:tcPr>
          <w:p w14:paraId="50A3A4BD" w14:textId="77777777" w:rsidR="0007172D" w:rsidRPr="005569F2" w:rsidRDefault="0007172D" w:rsidP="0007172D">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30F3B663"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2,303,662,339 </w:t>
            </w:r>
          </w:p>
        </w:tc>
        <w:tc>
          <w:tcPr>
            <w:tcW w:w="542" w:type="pct"/>
            <w:tcBorders>
              <w:top w:val="nil"/>
              <w:left w:val="nil"/>
              <w:bottom w:val="single" w:sz="4" w:space="0" w:color="auto"/>
              <w:right w:val="single" w:sz="4" w:space="0" w:color="auto"/>
            </w:tcBorders>
            <w:shd w:val="clear" w:color="auto" w:fill="auto"/>
            <w:noWrap/>
            <w:vAlign w:val="center"/>
            <w:hideMark/>
          </w:tcPr>
          <w:p w14:paraId="10A8B1A2"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1,500,000,000 </w:t>
            </w:r>
          </w:p>
        </w:tc>
        <w:tc>
          <w:tcPr>
            <w:tcW w:w="624" w:type="pct"/>
            <w:tcBorders>
              <w:top w:val="nil"/>
              <w:left w:val="nil"/>
              <w:bottom w:val="nil"/>
              <w:right w:val="nil"/>
            </w:tcBorders>
            <w:shd w:val="clear" w:color="auto" w:fill="auto"/>
            <w:noWrap/>
            <w:vAlign w:val="center"/>
            <w:hideMark/>
          </w:tcPr>
          <w:p w14:paraId="32B35A23" w14:textId="77777777" w:rsidR="0007172D" w:rsidRPr="005F673D" w:rsidRDefault="0007172D" w:rsidP="0007172D">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18,454,545,454 </w:t>
            </w:r>
          </w:p>
        </w:tc>
        <w:tc>
          <w:tcPr>
            <w:tcW w:w="252" w:type="pct"/>
            <w:tcBorders>
              <w:top w:val="nil"/>
              <w:left w:val="single" w:sz="4" w:space="0" w:color="auto"/>
              <w:bottom w:val="single" w:sz="4" w:space="0" w:color="auto"/>
              <w:right w:val="single" w:sz="4" w:space="0" w:color="auto"/>
            </w:tcBorders>
            <w:shd w:val="clear" w:color="000000" w:fill="FFFFFF"/>
            <w:noWrap/>
            <w:vAlign w:val="center"/>
            <w:hideMark/>
          </w:tcPr>
          <w:p w14:paraId="2595B2BB"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AF66461"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975E322"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A977FF9"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1152728" w14:textId="77777777" w:rsidR="0007172D" w:rsidRPr="005F673D" w:rsidRDefault="0007172D" w:rsidP="0007172D">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0724B36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F52CF34"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19</w:t>
            </w:r>
          </w:p>
        </w:tc>
        <w:tc>
          <w:tcPr>
            <w:tcW w:w="915" w:type="pct"/>
            <w:tcBorders>
              <w:top w:val="nil"/>
              <w:left w:val="nil"/>
              <w:bottom w:val="single" w:sz="4" w:space="0" w:color="auto"/>
              <w:right w:val="single" w:sz="4" w:space="0" w:color="auto"/>
            </w:tcBorders>
            <w:shd w:val="clear" w:color="000000" w:fill="FFFFFF"/>
            <w:vAlign w:val="center"/>
            <w:hideMark/>
          </w:tcPr>
          <w:p w14:paraId="76E3A6E0" w14:textId="77777777" w:rsidR="0007172D" w:rsidRPr="00C63883" w:rsidRDefault="0007172D" w:rsidP="00B12328">
            <w:pPr>
              <w:spacing w:before="0"/>
              <w:ind w:left="0"/>
              <w:jc w:val="left"/>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ໂຮງງານຜະລິດຢາເລກ</w:t>
            </w:r>
            <w:proofErr w:type="spellEnd"/>
            <w:r w:rsidRPr="00C63883">
              <w:rPr>
                <w:rFonts w:ascii="Times New Roman" w:hAnsi="Times New Roman"/>
                <w:szCs w:val="22"/>
                <w:lang w:eastAsia="fr-FR"/>
              </w:rPr>
              <w:t xml:space="preserve"> 3</w:t>
            </w:r>
            <w:r w:rsidRPr="00C63883">
              <w:rPr>
                <w:rFonts w:ascii="Times New Roman" w:hAnsi="Times New Roman"/>
                <w:szCs w:val="22"/>
                <w:lang w:eastAsia="fr-FR"/>
              </w:rPr>
              <w:br/>
            </w:r>
            <w:proofErr w:type="spellStart"/>
            <w:r w:rsidRPr="00C63883">
              <w:rPr>
                <w:rFonts w:ascii="Times New Roman" w:hAnsi="Times New Roman"/>
                <w:szCs w:val="22"/>
                <w:lang w:eastAsia="fr-FR"/>
              </w:rPr>
              <w:t>Medecine</w:t>
            </w:r>
            <w:proofErr w:type="spellEnd"/>
            <w:r w:rsidRPr="00C63883">
              <w:rPr>
                <w:rFonts w:ascii="Times New Roman" w:hAnsi="Times New Roman"/>
                <w:szCs w:val="22"/>
                <w:lang w:eastAsia="fr-FR"/>
              </w:rPr>
              <w:t xml:space="preserve"> Factory No.3  </w:t>
            </w:r>
          </w:p>
        </w:tc>
        <w:tc>
          <w:tcPr>
            <w:tcW w:w="250" w:type="pct"/>
            <w:tcBorders>
              <w:top w:val="nil"/>
              <w:left w:val="nil"/>
              <w:bottom w:val="single" w:sz="4" w:space="0" w:color="auto"/>
              <w:right w:val="single" w:sz="4" w:space="0" w:color="auto"/>
            </w:tcBorders>
            <w:shd w:val="clear" w:color="auto" w:fill="auto"/>
            <w:noWrap/>
            <w:vAlign w:val="center"/>
            <w:hideMark/>
          </w:tcPr>
          <w:p w14:paraId="1685C6EE"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252D4D2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32,354,137,635 </w:t>
            </w:r>
          </w:p>
        </w:tc>
        <w:tc>
          <w:tcPr>
            <w:tcW w:w="542" w:type="pct"/>
            <w:tcBorders>
              <w:top w:val="nil"/>
              <w:left w:val="nil"/>
              <w:bottom w:val="single" w:sz="4" w:space="0" w:color="auto"/>
              <w:right w:val="single" w:sz="4" w:space="0" w:color="auto"/>
            </w:tcBorders>
            <w:shd w:val="clear" w:color="auto" w:fill="auto"/>
            <w:noWrap/>
            <w:vAlign w:val="center"/>
            <w:hideMark/>
          </w:tcPr>
          <w:p w14:paraId="55F505C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4,662,844,633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3EBFA90"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401,532,645 </w:t>
            </w:r>
          </w:p>
        </w:tc>
        <w:tc>
          <w:tcPr>
            <w:tcW w:w="252" w:type="pct"/>
            <w:tcBorders>
              <w:top w:val="nil"/>
              <w:left w:val="nil"/>
              <w:bottom w:val="single" w:sz="4" w:space="0" w:color="auto"/>
              <w:right w:val="single" w:sz="4" w:space="0" w:color="auto"/>
            </w:tcBorders>
            <w:shd w:val="clear" w:color="000000" w:fill="FFFFFF"/>
            <w:noWrap/>
            <w:vAlign w:val="center"/>
            <w:hideMark/>
          </w:tcPr>
          <w:p w14:paraId="7EF83A8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13EA538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F93B0C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7FF1550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6857B0C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BFA6E02"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260367B6"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20</w:t>
            </w:r>
          </w:p>
        </w:tc>
        <w:tc>
          <w:tcPr>
            <w:tcW w:w="915" w:type="pct"/>
            <w:tcBorders>
              <w:top w:val="nil"/>
              <w:left w:val="nil"/>
              <w:bottom w:val="single" w:sz="4" w:space="0" w:color="auto"/>
              <w:right w:val="single" w:sz="4" w:space="0" w:color="auto"/>
            </w:tcBorders>
            <w:shd w:val="clear" w:color="000000" w:fill="FFFFFF"/>
            <w:vAlign w:val="center"/>
            <w:hideMark/>
          </w:tcPr>
          <w:p w14:paraId="6BAE7D2B" w14:textId="77777777" w:rsidR="0007172D" w:rsidRPr="00C63883" w:rsidRDefault="0007172D" w:rsidP="00B12328">
            <w:pPr>
              <w:spacing w:before="0"/>
              <w:ind w:left="0"/>
              <w:jc w:val="left"/>
              <w:rPr>
                <w:rFonts w:ascii="Times New Roman" w:hAnsi="Times New Roman"/>
                <w:szCs w:val="22"/>
                <w:lang w:eastAsia="fr-FR"/>
              </w:rPr>
            </w:pPr>
            <w:proofErr w:type="spellStart"/>
            <w:r w:rsidRPr="0007172D">
              <w:rPr>
                <w:rFonts w:ascii="DokChampa" w:hAnsi="DokChampa" w:cs="DokChampa"/>
                <w:szCs w:val="22"/>
                <w:lang w:val="fr-FR" w:eastAsia="fr-FR"/>
              </w:rPr>
              <w:t>ລັດວິສາຫະກິດ</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ໄປສະນີລາວ</w:t>
            </w:r>
            <w:proofErr w:type="spellEnd"/>
            <w:r w:rsidRPr="00C63883">
              <w:rPr>
                <w:rFonts w:ascii="Times New Roman" w:hAnsi="Times New Roman"/>
                <w:szCs w:val="22"/>
                <w:lang w:eastAsia="fr-FR"/>
              </w:rPr>
              <w:br/>
              <w:t xml:space="preserve">Lao Post </w:t>
            </w:r>
            <w:proofErr w:type="gramStart"/>
            <w:r w:rsidRPr="00C63883">
              <w:rPr>
                <w:rFonts w:ascii="Times New Roman" w:hAnsi="Times New Roman"/>
                <w:szCs w:val="22"/>
                <w:lang w:eastAsia="fr-FR"/>
              </w:rPr>
              <w:t>State  Enterprise</w:t>
            </w:r>
            <w:proofErr w:type="gramEnd"/>
          </w:p>
        </w:tc>
        <w:tc>
          <w:tcPr>
            <w:tcW w:w="250" w:type="pct"/>
            <w:tcBorders>
              <w:top w:val="nil"/>
              <w:left w:val="nil"/>
              <w:bottom w:val="single" w:sz="4" w:space="0" w:color="auto"/>
              <w:right w:val="single" w:sz="4" w:space="0" w:color="auto"/>
            </w:tcBorders>
            <w:shd w:val="clear" w:color="auto" w:fill="auto"/>
            <w:noWrap/>
            <w:vAlign w:val="center"/>
            <w:hideMark/>
          </w:tcPr>
          <w:p w14:paraId="2004C279"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71A56C8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9,971,359,056 </w:t>
            </w:r>
          </w:p>
        </w:tc>
        <w:tc>
          <w:tcPr>
            <w:tcW w:w="542" w:type="pct"/>
            <w:tcBorders>
              <w:top w:val="nil"/>
              <w:left w:val="nil"/>
              <w:bottom w:val="single" w:sz="4" w:space="0" w:color="auto"/>
              <w:right w:val="single" w:sz="4" w:space="0" w:color="auto"/>
            </w:tcBorders>
            <w:shd w:val="clear" w:color="auto" w:fill="auto"/>
            <w:noWrap/>
            <w:vAlign w:val="center"/>
            <w:hideMark/>
          </w:tcPr>
          <w:p w14:paraId="724074D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3,026,450,296 </w:t>
            </w:r>
          </w:p>
        </w:tc>
        <w:tc>
          <w:tcPr>
            <w:tcW w:w="624" w:type="pct"/>
            <w:tcBorders>
              <w:top w:val="nil"/>
              <w:left w:val="nil"/>
              <w:bottom w:val="single" w:sz="4" w:space="0" w:color="auto"/>
              <w:right w:val="single" w:sz="4" w:space="0" w:color="auto"/>
            </w:tcBorders>
            <w:shd w:val="clear" w:color="auto" w:fill="auto"/>
            <w:noWrap/>
            <w:vAlign w:val="center"/>
            <w:hideMark/>
          </w:tcPr>
          <w:p w14:paraId="2DCE5BC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78,867,519 </w:t>
            </w:r>
          </w:p>
        </w:tc>
        <w:tc>
          <w:tcPr>
            <w:tcW w:w="252" w:type="pct"/>
            <w:tcBorders>
              <w:top w:val="nil"/>
              <w:left w:val="nil"/>
              <w:bottom w:val="single" w:sz="4" w:space="0" w:color="auto"/>
              <w:right w:val="single" w:sz="4" w:space="0" w:color="auto"/>
            </w:tcBorders>
            <w:shd w:val="clear" w:color="000000" w:fill="FFFFFF"/>
            <w:noWrap/>
            <w:vAlign w:val="center"/>
            <w:hideMark/>
          </w:tcPr>
          <w:p w14:paraId="60A2CF4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0F5F02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60A74C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A2E34F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09B265D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A437D3C" w14:textId="77777777" w:rsidTr="00B12328">
        <w:trPr>
          <w:trHeight w:val="648"/>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15B0855"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lastRenderedPageBreak/>
              <w:t>21</w:t>
            </w:r>
          </w:p>
        </w:tc>
        <w:tc>
          <w:tcPr>
            <w:tcW w:w="915" w:type="pct"/>
            <w:tcBorders>
              <w:top w:val="nil"/>
              <w:left w:val="nil"/>
              <w:bottom w:val="single" w:sz="4" w:space="0" w:color="auto"/>
              <w:right w:val="single" w:sz="4" w:space="0" w:color="auto"/>
            </w:tcBorders>
            <w:shd w:val="clear" w:color="auto" w:fill="auto"/>
            <w:vAlign w:val="center"/>
            <w:hideMark/>
          </w:tcPr>
          <w:p w14:paraId="4C5B9B44"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ທາງລົດໄຟແຫ່ງຊາດລາວ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ບ</w:t>
            </w:r>
            <w:r w:rsidRPr="0007172D">
              <w:rPr>
                <w:rFonts w:ascii="Times New Roman" w:hAnsi="Times New Roman"/>
                <w:szCs w:val="22"/>
                <w:lang w:val="fr-FR" w:eastAsia="fr-FR"/>
              </w:rPr>
              <w:t>.</w:t>
            </w:r>
            <w:r w:rsidRPr="0007172D">
              <w:rPr>
                <w:rFonts w:ascii="DokChampa" w:hAnsi="DokChampa" w:cs="DokChampa"/>
                <w:szCs w:val="22"/>
                <w:lang w:val="fr-FR" w:eastAsia="fr-FR"/>
              </w:rPr>
              <w:t>ສ</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ທາງລົດໄປລາວ</w:t>
            </w:r>
            <w:r w:rsidRPr="0007172D">
              <w:rPr>
                <w:rFonts w:ascii="Times New Roman" w:hAnsi="Times New Roman"/>
                <w:szCs w:val="22"/>
                <w:lang w:val="fr-FR" w:eastAsia="fr-FR"/>
              </w:rPr>
              <w:t>-</w:t>
            </w:r>
            <w:r w:rsidRPr="0007172D">
              <w:rPr>
                <w:rFonts w:ascii="DokChampa" w:hAnsi="DokChampa" w:cs="DokChampa"/>
                <w:szCs w:val="22"/>
                <w:lang w:val="fr-FR" w:eastAsia="fr-FR"/>
              </w:rPr>
              <w:t>ຈີນ</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t>)</w:t>
            </w:r>
            <w:r w:rsidRPr="0007172D">
              <w:rPr>
                <w:rFonts w:ascii="Times New Roman" w:hAnsi="Times New Roman"/>
                <w:szCs w:val="22"/>
                <w:lang w:val="fr-FR" w:eastAsia="fr-FR"/>
              </w:rPr>
              <w:br/>
              <w:t xml:space="preserve">Lao National </w:t>
            </w:r>
            <w:proofErr w:type="spellStart"/>
            <w:r w:rsidRPr="0007172D">
              <w:rPr>
                <w:rFonts w:ascii="Times New Roman" w:hAnsi="Times New Roman"/>
                <w:szCs w:val="22"/>
                <w:lang w:val="fr-FR" w:eastAsia="fr-FR"/>
              </w:rPr>
              <w:t>Raiway</w:t>
            </w:r>
            <w:proofErr w:type="spellEnd"/>
            <w:r w:rsidRPr="0007172D">
              <w:rPr>
                <w:rFonts w:ascii="Times New Roman" w:hAnsi="Times New Roman"/>
                <w:szCs w:val="22"/>
                <w:lang w:val="fr-FR" w:eastAsia="fr-FR"/>
              </w:rPr>
              <w:t xml:space="preserve"> Enterprise (Lao-China Railway Ltd.,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w:t>
            </w:r>
          </w:p>
        </w:tc>
        <w:tc>
          <w:tcPr>
            <w:tcW w:w="250" w:type="pct"/>
            <w:tcBorders>
              <w:top w:val="nil"/>
              <w:left w:val="nil"/>
              <w:bottom w:val="single" w:sz="4" w:space="0" w:color="auto"/>
              <w:right w:val="single" w:sz="4" w:space="0" w:color="auto"/>
            </w:tcBorders>
            <w:shd w:val="clear" w:color="auto" w:fill="auto"/>
            <w:noWrap/>
            <w:vAlign w:val="center"/>
            <w:hideMark/>
          </w:tcPr>
          <w:p w14:paraId="7160593D"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184C7BB0"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4931D29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17691240"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34EDCC7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21CA837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712264F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4F873CE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auto" w:fill="auto"/>
            <w:noWrap/>
            <w:vAlign w:val="center"/>
            <w:hideMark/>
          </w:tcPr>
          <w:p w14:paraId="1239461D" w14:textId="77777777" w:rsidR="0007172D" w:rsidRPr="005F673D" w:rsidRDefault="0007172D" w:rsidP="00B12328">
            <w:pPr>
              <w:spacing w:before="0"/>
              <w:ind w:left="0"/>
              <w:jc w:val="left"/>
              <w:rPr>
                <w:rFonts w:ascii="Times New Roman" w:hAnsi="Times New Roman"/>
                <w:sz w:val="16"/>
                <w:szCs w:val="16"/>
                <w:lang w:val="fr-FR" w:eastAsia="fr-FR"/>
              </w:rPr>
            </w:pPr>
            <w:proofErr w:type="spellStart"/>
            <w:proofErr w:type="gramStart"/>
            <w:r w:rsidRPr="005F673D">
              <w:rPr>
                <w:rFonts w:ascii="Times New Roman" w:hAnsi="Times New Roman"/>
                <w:sz w:val="16"/>
                <w:szCs w:val="16"/>
                <w:lang w:val="fr-FR" w:eastAsia="fr-FR"/>
              </w:rPr>
              <w:t>newly</w:t>
            </w:r>
            <w:proofErr w:type="spellEnd"/>
            <w:proofErr w:type="gram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established</w:t>
            </w:r>
            <w:proofErr w:type="spell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in</w:t>
            </w:r>
            <w:proofErr w:type="spellEnd"/>
            <w:r w:rsidRPr="005F673D">
              <w:rPr>
                <w:rFonts w:ascii="Times New Roman" w:hAnsi="Times New Roman"/>
                <w:sz w:val="16"/>
                <w:szCs w:val="16"/>
                <w:lang w:val="fr-FR" w:eastAsia="fr-FR"/>
              </w:rPr>
              <w:t xml:space="preserve"> 2016-2017</w:t>
            </w:r>
          </w:p>
        </w:tc>
      </w:tr>
      <w:tr w:rsidR="00B12328" w:rsidRPr="005F673D" w14:paraId="2309F106"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4A283133"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22</w:t>
            </w:r>
          </w:p>
        </w:tc>
        <w:tc>
          <w:tcPr>
            <w:tcW w:w="915" w:type="pct"/>
            <w:tcBorders>
              <w:top w:val="nil"/>
              <w:left w:val="nil"/>
              <w:bottom w:val="single" w:sz="4" w:space="0" w:color="auto"/>
              <w:right w:val="single" w:sz="4" w:space="0" w:color="auto"/>
            </w:tcBorders>
            <w:shd w:val="clear" w:color="000000" w:fill="FFFFFF"/>
            <w:vAlign w:val="center"/>
            <w:hideMark/>
          </w:tcPr>
          <w:p w14:paraId="02F45988"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ທະນາຄານ</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ພັດທະນາລາວ</w:t>
            </w:r>
            <w:proofErr w:type="spellEnd"/>
            <w:r w:rsidRPr="0016027E">
              <w:rPr>
                <w:rFonts w:ascii="Times New Roman" w:hAnsi="Times New Roman"/>
                <w:szCs w:val="22"/>
                <w:lang w:val="en-MY" w:eastAsia="fr-FR"/>
              </w:rPr>
              <w:br/>
              <w:t>Lao Development Bank</w:t>
            </w:r>
          </w:p>
        </w:tc>
        <w:tc>
          <w:tcPr>
            <w:tcW w:w="250" w:type="pct"/>
            <w:tcBorders>
              <w:top w:val="nil"/>
              <w:left w:val="nil"/>
              <w:bottom w:val="single" w:sz="4" w:space="0" w:color="auto"/>
              <w:right w:val="single" w:sz="4" w:space="0" w:color="auto"/>
            </w:tcBorders>
            <w:shd w:val="clear" w:color="auto" w:fill="auto"/>
            <w:noWrap/>
            <w:vAlign w:val="center"/>
            <w:hideMark/>
          </w:tcPr>
          <w:p w14:paraId="731B6E60"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7E664D0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-1,105,689,443,821 </w:t>
            </w:r>
          </w:p>
        </w:tc>
        <w:tc>
          <w:tcPr>
            <w:tcW w:w="542" w:type="pct"/>
            <w:tcBorders>
              <w:top w:val="nil"/>
              <w:left w:val="nil"/>
              <w:bottom w:val="single" w:sz="4" w:space="0" w:color="auto"/>
              <w:right w:val="single" w:sz="4" w:space="0" w:color="auto"/>
            </w:tcBorders>
            <w:shd w:val="clear" w:color="auto" w:fill="auto"/>
            <w:noWrap/>
            <w:vAlign w:val="center"/>
            <w:hideMark/>
          </w:tcPr>
          <w:p w14:paraId="35A571D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227,867,000,000 </w:t>
            </w:r>
          </w:p>
        </w:tc>
        <w:tc>
          <w:tcPr>
            <w:tcW w:w="624" w:type="pct"/>
            <w:tcBorders>
              <w:top w:val="nil"/>
              <w:left w:val="nil"/>
              <w:bottom w:val="single" w:sz="4" w:space="0" w:color="auto"/>
              <w:right w:val="single" w:sz="4" w:space="0" w:color="auto"/>
            </w:tcBorders>
            <w:shd w:val="clear" w:color="auto" w:fill="auto"/>
            <w:noWrap/>
            <w:vAlign w:val="center"/>
            <w:hideMark/>
          </w:tcPr>
          <w:p w14:paraId="270D016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1,520,407,289,816 </w:t>
            </w:r>
          </w:p>
        </w:tc>
        <w:tc>
          <w:tcPr>
            <w:tcW w:w="252" w:type="pct"/>
            <w:tcBorders>
              <w:top w:val="nil"/>
              <w:left w:val="nil"/>
              <w:bottom w:val="single" w:sz="4" w:space="0" w:color="auto"/>
              <w:right w:val="single" w:sz="4" w:space="0" w:color="auto"/>
            </w:tcBorders>
            <w:shd w:val="clear" w:color="000000" w:fill="FFFFFF"/>
            <w:noWrap/>
            <w:vAlign w:val="center"/>
            <w:hideMark/>
          </w:tcPr>
          <w:p w14:paraId="38FC6E8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472989F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F9E767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1D3278E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345459E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33ADE2F"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4F70418E"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23</w:t>
            </w:r>
          </w:p>
        </w:tc>
        <w:tc>
          <w:tcPr>
            <w:tcW w:w="915" w:type="pct"/>
            <w:tcBorders>
              <w:top w:val="nil"/>
              <w:left w:val="nil"/>
              <w:bottom w:val="single" w:sz="4" w:space="0" w:color="auto"/>
              <w:right w:val="single" w:sz="4" w:space="0" w:color="auto"/>
            </w:tcBorders>
            <w:shd w:val="clear" w:color="000000" w:fill="FFFFFF"/>
            <w:vAlign w:val="center"/>
            <w:hideMark/>
          </w:tcPr>
          <w:p w14:paraId="208FBE47"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ທະນາຄານ</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ສົ່ງເສີມກະສິກໍາ</w:t>
            </w:r>
            <w:proofErr w:type="spellEnd"/>
            <w:r w:rsidRPr="0007172D">
              <w:rPr>
                <w:rFonts w:ascii="Times New Roman" w:hAnsi="Times New Roman"/>
                <w:szCs w:val="22"/>
                <w:lang w:val="fr-FR" w:eastAsia="fr-FR"/>
              </w:rPr>
              <w:br/>
              <w:t xml:space="preserve">Agriculture Promotion Bank </w:t>
            </w:r>
          </w:p>
        </w:tc>
        <w:tc>
          <w:tcPr>
            <w:tcW w:w="250" w:type="pct"/>
            <w:tcBorders>
              <w:top w:val="nil"/>
              <w:left w:val="nil"/>
              <w:bottom w:val="single" w:sz="4" w:space="0" w:color="auto"/>
              <w:right w:val="single" w:sz="4" w:space="0" w:color="auto"/>
            </w:tcBorders>
            <w:shd w:val="clear" w:color="auto" w:fill="auto"/>
            <w:noWrap/>
            <w:vAlign w:val="center"/>
            <w:hideMark/>
          </w:tcPr>
          <w:p w14:paraId="45836D87"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5E0DB5AC"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-2,466,251,020,000 </w:t>
            </w:r>
          </w:p>
        </w:tc>
        <w:tc>
          <w:tcPr>
            <w:tcW w:w="542" w:type="pct"/>
            <w:tcBorders>
              <w:top w:val="nil"/>
              <w:left w:val="nil"/>
              <w:bottom w:val="single" w:sz="4" w:space="0" w:color="auto"/>
              <w:right w:val="single" w:sz="4" w:space="0" w:color="auto"/>
            </w:tcBorders>
            <w:shd w:val="clear" w:color="auto" w:fill="auto"/>
            <w:noWrap/>
            <w:vAlign w:val="center"/>
            <w:hideMark/>
          </w:tcPr>
          <w:p w14:paraId="4EFF7B5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168,689,000,000 </w:t>
            </w:r>
          </w:p>
        </w:tc>
        <w:tc>
          <w:tcPr>
            <w:tcW w:w="624" w:type="pct"/>
            <w:tcBorders>
              <w:top w:val="nil"/>
              <w:left w:val="nil"/>
              <w:bottom w:val="single" w:sz="4" w:space="0" w:color="auto"/>
              <w:right w:val="single" w:sz="4" w:space="0" w:color="auto"/>
            </w:tcBorders>
            <w:shd w:val="clear" w:color="auto" w:fill="auto"/>
            <w:noWrap/>
            <w:vAlign w:val="center"/>
            <w:hideMark/>
          </w:tcPr>
          <w:p w14:paraId="3A2AF1F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691,754,450,000 </w:t>
            </w:r>
          </w:p>
        </w:tc>
        <w:tc>
          <w:tcPr>
            <w:tcW w:w="252" w:type="pct"/>
            <w:tcBorders>
              <w:top w:val="nil"/>
              <w:left w:val="nil"/>
              <w:bottom w:val="single" w:sz="4" w:space="0" w:color="auto"/>
              <w:right w:val="single" w:sz="4" w:space="0" w:color="auto"/>
            </w:tcBorders>
            <w:shd w:val="clear" w:color="000000" w:fill="FFFFFF"/>
            <w:noWrap/>
            <w:vAlign w:val="center"/>
            <w:hideMark/>
          </w:tcPr>
          <w:p w14:paraId="1C90C61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90CB09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76DF157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748B38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6B1C2EC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0EF60CD"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46A87EA"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24</w:t>
            </w:r>
          </w:p>
        </w:tc>
        <w:tc>
          <w:tcPr>
            <w:tcW w:w="915" w:type="pct"/>
            <w:tcBorders>
              <w:top w:val="nil"/>
              <w:left w:val="nil"/>
              <w:bottom w:val="single" w:sz="4" w:space="0" w:color="auto"/>
              <w:right w:val="single" w:sz="4" w:space="0" w:color="auto"/>
            </w:tcBorders>
            <w:shd w:val="clear" w:color="000000" w:fill="FFFFFF"/>
            <w:vAlign w:val="center"/>
            <w:hideMark/>
          </w:tcPr>
          <w:p w14:paraId="35ED09DB" w14:textId="77777777" w:rsidR="0007172D" w:rsidRPr="00C63883" w:rsidRDefault="0007172D" w:rsidP="00B12328">
            <w:pPr>
              <w:spacing w:before="0"/>
              <w:ind w:left="0"/>
              <w:jc w:val="left"/>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ການບິນລາວ</w:t>
            </w:r>
            <w:proofErr w:type="spellEnd"/>
            <w:r w:rsidRPr="00C63883">
              <w:rPr>
                <w:rFonts w:ascii="Times New Roman" w:hAnsi="Times New Roman"/>
                <w:szCs w:val="22"/>
                <w:lang w:eastAsia="fr-FR"/>
              </w:rPr>
              <w:br/>
              <w:t xml:space="preserve">Lao Aviation State Owned Enterprise </w:t>
            </w:r>
          </w:p>
        </w:tc>
        <w:tc>
          <w:tcPr>
            <w:tcW w:w="250" w:type="pct"/>
            <w:tcBorders>
              <w:top w:val="nil"/>
              <w:left w:val="nil"/>
              <w:bottom w:val="single" w:sz="4" w:space="0" w:color="auto"/>
              <w:right w:val="single" w:sz="4" w:space="0" w:color="auto"/>
            </w:tcBorders>
            <w:shd w:val="clear" w:color="auto" w:fill="auto"/>
            <w:noWrap/>
            <w:vAlign w:val="center"/>
            <w:hideMark/>
          </w:tcPr>
          <w:p w14:paraId="619FD51F"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4BBFF9C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(586,658.220,525) </w:t>
            </w:r>
          </w:p>
        </w:tc>
        <w:tc>
          <w:tcPr>
            <w:tcW w:w="542" w:type="pct"/>
            <w:tcBorders>
              <w:top w:val="nil"/>
              <w:left w:val="nil"/>
              <w:bottom w:val="single" w:sz="4" w:space="0" w:color="auto"/>
              <w:right w:val="single" w:sz="4" w:space="0" w:color="auto"/>
            </w:tcBorders>
            <w:shd w:val="clear" w:color="auto" w:fill="auto"/>
            <w:noWrap/>
            <w:vAlign w:val="center"/>
            <w:hideMark/>
          </w:tcPr>
          <w:p w14:paraId="1EDF0AC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182,124,396,974 </w:t>
            </w:r>
          </w:p>
        </w:tc>
        <w:tc>
          <w:tcPr>
            <w:tcW w:w="624" w:type="pct"/>
            <w:tcBorders>
              <w:top w:val="nil"/>
              <w:left w:val="nil"/>
              <w:bottom w:val="single" w:sz="4" w:space="0" w:color="auto"/>
              <w:right w:val="single" w:sz="4" w:space="0" w:color="auto"/>
            </w:tcBorders>
            <w:shd w:val="clear" w:color="auto" w:fill="auto"/>
            <w:noWrap/>
            <w:vAlign w:val="center"/>
            <w:hideMark/>
          </w:tcPr>
          <w:p w14:paraId="6DAC93C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853,860,220,245 </w:t>
            </w:r>
          </w:p>
        </w:tc>
        <w:tc>
          <w:tcPr>
            <w:tcW w:w="252" w:type="pct"/>
            <w:tcBorders>
              <w:top w:val="nil"/>
              <w:left w:val="nil"/>
              <w:bottom w:val="single" w:sz="4" w:space="0" w:color="auto"/>
              <w:right w:val="single" w:sz="4" w:space="0" w:color="auto"/>
            </w:tcBorders>
            <w:shd w:val="clear" w:color="000000" w:fill="FFFFFF"/>
            <w:noWrap/>
            <w:vAlign w:val="center"/>
            <w:hideMark/>
          </w:tcPr>
          <w:p w14:paraId="10AE61A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0CE5499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34409D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743AE9A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1322965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23097E6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A616B57"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25</w:t>
            </w:r>
          </w:p>
        </w:tc>
        <w:tc>
          <w:tcPr>
            <w:tcW w:w="915" w:type="pct"/>
            <w:tcBorders>
              <w:top w:val="nil"/>
              <w:left w:val="nil"/>
              <w:bottom w:val="single" w:sz="4" w:space="0" w:color="auto"/>
              <w:right w:val="single" w:sz="4" w:space="0" w:color="auto"/>
            </w:tcBorders>
            <w:shd w:val="clear" w:color="000000" w:fill="FFFFFF"/>
            <w:vAlign w:val="center"/>
            <w:hideMark/>
          </w:tcPr>
          <w:p w14:paraId="365FE4C3"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ຂົນສົ່ງນໍ້າມັນເຊື້ອໄຟ</w:t>
            </w:r>
            <w:proofErr w:type="spellEnd"/>
            <w:r w:rsidRPr="0007172D">
              <w:rPr>
                <w:rFonts w:ascii="Times New Roman" w:hAnsi="Times New Roman"/>
                <w:szCs w:val="22"/>
                <w:lang w:val="fr-FR" w:eastAsia="fr-FR"/>
              </w:rPr>
              <w:br/>
              <w:t xml:space="preserve">Lao Fuel Transport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17D7E5DC"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5099D44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18,422,433,975 </w:t>
            </w:r>
          </w:p>
        </w:tc>
        <w:tc>
          <w:tcPr>
            <w:tcW w:w="542" w:type="pct"/>
            <w:tcBorders>
              <w:top w:val="nil"/>
              <w:left w:val="nil"/>
              <w:bottom w:val="single" w:sz="4" w:space="0" w:color="auto"/>
              <w:right w:val="single" w:sz="4" w:space="0" w:color="auto"/>
            </w:tcBorders>
            <w:shd w:val="clear" w:color="auto" w:fill="auto"/>
            <w:noWrap/>
            <w:vAlign w:val="center"/>
            <w:hideMark/>
          </w:tcPr>
          <w:p w14:paraId="387294B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20,842,820,939 </w:t>
            </w:r>
          </w:p>
        </w:tc>
        <w:tc>
          <w:tcPr>
            <w:tcW w:w="624" w:type="pct"/>
            <w:tcBorders>
              <w:top w:val="nil"/>
              <w:left w:val="nil"/>
              <w:bottom w:val="single" w:sz="4" w:space="0" w:color="auto"/>
              <w:right w:val="single" w:sz="4" w:space="0" w:color="auto"/>
            </w:tcBorders>
            <w:shd w:val="clear" w:color="auto" w:fill="auto"/>
            <w:noWrap/>
            <w:vAlign w:val="center"/>
            <w:hideMark/>
          </w:tcPr>
          <w:p w14:paraId="1EBF3AC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20,138,679,327 </w:t>
            </w:r>
          </w:p>
        </w:tc>
        <w:tc>
          <w:tcPr>
            <w:tcW w:w="252" w:type="pct"/>
            <w:tcBorders>
              <w:top w:val="nil"/>
              <w:left w:val="nil"/>
              <w:bottom w:val="single" w:sz="4" w:space="0" w:color="auto"/>
              <w:right w:val="single" w:sz="4" w:space="0" w:color="auto"/>
            </w:tcBorders>
            <w:shd w:val="clear" w:color="000000" w:fill="FFFFFF"/>
            <w:noWrap/>
            <w:vAlign w:val="center"/>
            <w:hideMark/>
          </w:tcPr>
          <w:p w14:paraId="293E63B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9836C1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1D7AD8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A295D8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4FF5C81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0097D7D5"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E433F23"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26</w:t>
            </w:r>
          </w:p>
        </w:tc>
        <w:tc>
          <w:tcPr>
            <w:tcW w:w="915" w:type="pct"/>
            <w:tcBorders>
              <w:top w:val="nil"/>
              <w:left w:val="nil"/>
              <w:bottom w:val="single" w:sz="4" w:space="0" w:color="auto"/>
              <w:right w:val="single" w:sz="4" w:space="0" w:color="auto"/>
            </w:tcBorders>
            <w:shd w:val="clear" w:color="000000" w:fill="FFFFFF"/>
            <w:vAlign w:val="center"/>
            <w:hideMark/>
          </w:tcPr>
          <w:p w14:paraId="34D9F603"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ກໍ່ສ້າງ</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ແລະ</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ຕິດຕັ້ງໄຟຟ້າ</w:t>
            </w:r>
            <w:proofErr w:type="spellEnd"/>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Electrical</w:t>
            </w:r>
            <w:proofErr w:type="spellEnd"/>
            <w:r w:rsidRPr="0007172D">
              <w:rPr>
                <w:rFonts w:ascii="Times New Roman" w:hAnsi="Times New Roman"/>
                <w:szCs w:val="22"/>
                <w:lang w:val="fr-FR" w:eastAsia="fr-FR"/>
              </w:rPr>
              <w:t xml:space="preserve"> Construction and Installation Enterprise </w:t>
            </w:r>
          </w:p>
        </w:tc>
        <w:tc>
          <w:tcPr>
            <w:tcW w:w="250" w:type="pct"/>
            <w:tcBorders>
              <w:top w:val="nil"/>
              <w:left w:val="nil"/>
              <w:bottom w:val="single" w:sz="4" w:space="0" w:color="auto"/>
              <w:right w:val="single" w:sz="4" w:space="0" w:color="auto"/>
            </w:tcBorders>
            <w:shd w:val="clear" w:color="000000" w:fill="FFFFFF"/>
            <w:vAlign w:val="center"/>
            <w:hideMark/>
          </w:tcPr>
          <w:p w14:paraId="28BF91D4"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vAlign w:val="center"/>
            <w:hideMark/>
          </w:tcPr>
          <w:p w14:paraId="584A497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53,115,503,837 </w:t>
            </w:r>
          </w:p>
        </w:tc>
        <w:tc>
          <w:tcPr>
            <w:tcW w:w="542" w:type="pct"/>
            <w:tcBorders>
              <w:top w:val="nil"/>
              <w:left w:val="nil"/>
              <w:bottom w:val="single" w:sz="4" w:space="0" w:color="auto"/>
              <w:right w:val="single" w:sz="4" w:space="0" w:color="auto"/>
            </w:tcBorders>
            <w:shd w:val="clear" w:color="auto" w:fill="auto"/>
            <w:vAlign w:val="center"/>
            <w:hideMark/>
          </w:tcPr>
          <w:p w14:paraId="34F0E65F"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53,115,503,837 </w:t>
            </w:r>
          </w:p>
        </w:tc>
        <w:tc>
          <w:tcPr>
            <w:tcW w:w="624" w:type="pct"/>
            <w:tcBorders>
              <w:top w:val="nil"/>
              <w:left w:val="nil"/>
              <w:bottom w:val="single" w:sz="4" w:space="0" w:color="auto"/>
              <w:right w:val="single" w:sz="4" w:space="0" w:color="auto"/>
            </w:tcBorders>
            <w:shd w:val="clear" w:color="auto" w:fill="auto"/>
            <w:vAlign w:val="center"/>
            <w:hideMark/>
          </w:tcPr>
          <w:p w14:paraId="18C28E5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-37,667,518,273 </w:t>
            </w:r>
          </w:p>
        </w:tc>
        <w:tc>
          <w:tcPr>
            <w:tcW w:w="252" w:type="pct"/>
            <w:tcBorders>
              <w:top w:val="nil"/>
              <w:left w:val="nil"/>
              <w:bottom w:val="single" w:sz="4" w:space="0" w:color="auto"/>
              <w:right w:val="single" w:sz="4" w:space="0" w:color="auto"/>
            </w:tcBorders>
            <w:shd w:val="clear" w:color="000000" w:fill="FFFFFF"/>
            <w:noWrap/>
            <w:vAlign w:val="center"/>
            <w:hideMark/>
          </w:tcPr>
          <w:p w14:paraId="7ADAC86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36466DA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6EAA5D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32E83B9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1241C7B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8E50A92"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C3FAEC4"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27</w:t>
            </w:r>
          </w:p>
        </w:tc>
        <w:tc>
          <w:tcPr>
            <w:tcW w:w="915" w:type="pct"/>
            <w:tcBorders>
              <w:top w:val="nil"/>
              <w:left w:val="nil"/>
              <w:bottom w:val="single" w:sz="4" w:space="0" w:color="auto"/>
              <w:right w:val="nil"/>
            </w:tcBorders>
            <w:shd w:val="clear" w:color="000000" w:fill="FFFFFF"/>
            <w:vAlign w:val="center"/>
            <w:hideMark/>
          </w:tcPr>
          <w:p w14:paraId="12206B60"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ລາວຂາອອກ</w:t>
            </w:r>
            <w:proofErr w:type="spellEnd"/>
            <w:r w:rsidRPr="0016027E">
              <w:rPr>
                <w:rFonts w:ascii="Times New Roman" w:hAnsi="Times New Roman"/>
                <w:szCs w:val="22"/>
                <w:lang w:val="en-MY" w:eastAsia="fr-FR"/>
              </w:rPr>
              <w:t>-</w:t>
            </w:r>
            <w:proofErr w:type="spellStart"/>
            <w:r w:rsidRPr="0007172D">
              <w:rPr>
                <w:rFonts w:ascii="DokChampa" w:hAnsi="DokChampa" w:cs="DokChampa"/>
                <w:szCs w:val="22"/>
                <w:lang w:val="fr-FR" w:eastAsia="fr-FR"/>
              </w:rPr>
              <w:t>ຂາເຂົ້າ</w:t>
            </w:r>
            <w:proofErr w:type="spellEnd"/>
            <w:r w:rsidRPr="0016027E">
              <w:rPr>
                <w:rFonts w:ascii="Times New Roman" w:hAnsi="Times New Roman"/>
                <w:szCs w:val="22"/>
                <w:lang w:val="en-MY" w:eastAsia="fr-FR"/>
              </w:rPr>
              <w:br/>
              <w:t>Exports and Imports State Enterprise</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00C3FC79"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79B9631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270,794,801 </w:t>
            </w:r>
          </w:p>
        </w:tc>
        <w:tc>
          <w:tcPr>
            <w:tcW w:w="542" w:type="pct"/>
            <w:tcBorders>
              <w:top w:val="nil"/>
              <w:left w:val="nil"/>
              <w:bottom w:val="single" w:sz="4" w:space="0" w:color="auto"/>
              <w:right w:val="single" w:sz="4" w:space="0" w:color="auto"/>
            </w:tcBorders>
            <w:shd w:val="clear" w:color="auto" w:fill="auto"/>
            <w:noWrap/>
            <w:vAlign w:val="center"/>
            <w:hideMark/>
          </w:tcPr>
          <w:p w14:paraId="581AEE27"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1,613,390,021 </w:t>
            </w:r>
          </w:p>
        </w:tc>
        <w:tc>
          <w:tcPr>
            <w:tcW w:w="624" w:type="pct"/>
            <w:tcBorders>
              <w:top w:val="nil"/>
              <w:left w:val="nil"/>
              <w:bottom w:val="single" w:sz="4" w:space="0" w:color="auto"/>
              <w:right w:val="single" w:sz="4" w:space="0" w:color="auto"/>
            </w:tcBorders>
            <w:shd w:val="clear" w:color="auto" w:fill="auto"/>
            <w:noWrap/>
            <w:vAlign w:val="center"/>
            <w:hideMark/>
          </w:tcPr>
          <w:p w14:paraId="1C2F252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317,415,478 </w:t>
            </w:r>
          </w:p>
        </w:tc>
        <w:tc>
          <w:tcPr>
            <w:tcW w:w="252" w:type="pct"/>
            <w:tcBorders>
              <w:top w:val="nil"/>
              <w:left w:val="nil"/>
              <w:bottom w:val="single" w:sz="4" w:space="0" w:color="auto"/>
              <w:right w:val="single" w:sz="4" w:space="0" w:color="auto"/>
            </w:tcBorders>
            <w:shd w:val="clear" w:color="000000" w:fill="FFFFFF"/>
            <w:noWrap/>
            <w:vAlign w:val="center"/>
            <w:hideMark/>
          </w:tcPr>
          <w:p w14:paraId="57B16B5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4C6EB89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EACABE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514CCE4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0A93886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780A4986"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5D3687D"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28</w:t>
            </w:r>
          </w:p>
        </w:tc>
        <w:tc>
          <w:tcPr>
            <w:tcW w:w="915" w:type="pct"/>
            <w:tcBorders>
              <w:top w:val="nil"/>
              <w:left w:val="nil"/>
              <w:bottom w:val="single" w:sz="4" w:space="0" w:color="auto"/>
              <w:right w:val="single" w:sz="4" w:space="0" w:color="auto"/>
            </w:tcBorders>
            <w:shd w:val="clear" w:color="000000" w:fill="FFFFFF"/>
            <w:vAlign w:val="center"/>
            <w:hideMark/>
          </w:tcPr>
          <w:p w14:paraId="7A5C815D"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ທະນາຄານ</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ນະໂຍບາຍ</w:t>
            </w:r>
            <w:proofErr w:type="spellEnd"/>
            <w:r w:rsidRPr="0007172D">
              <w:rPr>
                <w:rFonts w:ascii="Times New Roman" w:hAnsi="Times New Roman"/>
                <w:szCs w:val="22"/>
                <w:lang w:val="fr-FR" w:eastAsia="fr-FR"/>
              </w:rPr>
              <w:br/>
              <w:t>Policy Bank</w:t>
            </w:r>
          </w:p>
        </w:tc>
        <w:tc>
          <w:tcPr>
            <w:tcW w:w="250" w:type="pct"/>
            <w:tcBorders>
              <w:top w:val="nil"/>
              <w:left w:val="nil"/>
              <w:bottom w:val="single" w:sz="4" w:space="0" w:color="auto"/>
              <w:right w:val="single" w:sz="4" w:space="0" w:color="auto"/>
            </w:tcBorders>
            <w:shd w:val="clear" w:color="auto" w:fill="auto"/>
            <w:noWrap/>
            <w:vAlign w:val="center"/>
            <w:hideMark/>
          </w:tcPr>
          <w:p w14:paraId="49DBB396"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0C85636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(630,977,049,704) </w:t>
            </w:r>
          </w:p>
        </w:tc>
        <w:tc>
          <w:tcPr>
            <w:tcW w:w="542" w:type="pct"/>
            <w:tcBorders>
              <w:top w:val="nil"/>
              <w:left w:val="nil"/>
              <w:bottom w:val="single" w:sz="4" w:space="0" w:color="auto"/>
              <w:right w:val="single" w:sz="4" w:space="0" w:color="auto"/>
            </w:tcBorders>
            <w:shd w:val="clear" w:color="auto" w:fill="auto"/>
            <w:noWrap/>
            <w:vAlign w:val="center"/>
            <w:hideMark/>
          </w:tcPr>
          <w:p w14:paraId="74440F9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250,864,254,011 </w:t>
            </w:r>
          </w:p>
        </w:tc>
        <w:tc>
          <w:tcPr>
            <w:tcW w:w="624" w:type="pct"/>
            <w:tcBorders>
              <w:top w:val="nil"/>
              <w:left w:val="nil"/>
              <w:bottom w:val="single" w:sz="4" w:space="0" w:color="auto"/>
              <w:right w:val="single" w:sz="4" w:space="0" w:color="auto"/>
            </w:tcBorders>
            <w:shd w:val="clear" w:color="auto" w:fill="auto"/>
            <w:noWrap/>
            <w:vAlign w:val="center"/>
            <w:hideMark/>
          </w:tcPr>
          <w:p w14:paraId="7216AFC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315,991,715,821 </w:t>
            </w:r>
          </w:p>
        </w:tc>
        <w:tc>
          <w:tcPr>
            <w:tcW w:w="252" w:type="pct"/>
            <w:tcBorders>
              <w:top w:val="nil"/>
              <w:left w:val="nil"/>
              <w:bottom w:val="single" w:sz="4" w:space="0" w:color="auto"/>
              <w:right w:val="single" w:sz="4" w:space="0" w:color="auto"/>
            </w:tcBorders>
            <w:shd w:val="clear" w:color="000000" w:fill="FFFFFF"/>
            <w:noWrap/>
            <w:vAlign w:val="center"/>
            <w:hideMark/>
          </w:tcPr>
          <w:p w14:paraId="6B63423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9F0CDE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617726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4C8DAE3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72606B8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70788DF4" w14:textId="77777777" w:rsidTr="00B12328">
        <w:trPr>
          <w:trHeight w:val="1119"/>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DB3831B"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29</w:t>
            </w:r>
          </w:p>
        </w:tc>
        <w:tc>
          <w:tcPr>
            <w:tcW w:w="915" w:type="pct"/>
            <w:tcBorders>
              <w:top w:val="nil"/>
              <w:left w:val="nil"/>
              <w:bottom w:val="single" w:sz="4" w:space="0" w:color="auto"/>
              <w:right w:val="single" w:sz="4" w:space="0" w:color="auto"/>
            </w:tcBorders>
            <w:shd w:val="clear" w:color="000000" w:fill="FFFFFF"/>
            <w:vAlign w:val="center"/>
            <w:hideMark/>
          </w:tcPr>
          <w:p w14:paraId="2AB96C2A"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ໄຟຟ້າລາວ</w:t>
            </w:r>
            <w:proofErr w:type="spellEnd"/>
            <w:r w:rsidRPr="0007172D">
              <w:rPr>
                <w:rFonts w:ascii="Times New Roman" w:hAnsi="Times New Roman"/>
                <w:szCs w:val="22"/>
                <w:lang w:val="fr-FR" w:eastAsia="fr-FR"/>
              </w:rPr>
              <w:br/>
              <w:t>Electricité du Laos</w:t>
            </w:r>
          </w:p>
        </w:tc>
        <w:tc>
          <w:tcPr>
            <w:tcW w:w="250" w:type="pct"/>
            <w:tcBorders>
              <w:top w:val="nil"/>
              <w:left w:val="nil"/>
              <w:bottom w:val="single" w:sz="4" w:space="0" w:color="auto"/>
              <w:right w:val="single" w:sz="4" w:space="0" w:color="auto"/>
            </w:tcBorders>
            <w:shd w:val="clear" w:color="000000" w:fill="FFFFFF"/>
            <w:vAlign w:val="center"/>
            <w:hideMark/>
          </w:tcPr>
          <w:p w14:paraId="26775A6E"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vAlign w:val="center"/>
            <w:hideMark/>
          </w:tcPr>
          <w:p w14:paraId="4BD4F94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38,043,654,192,152 </w:t>
            </w:r>
          </w:p>
        </w:tc>
        <w:tc>
          <w:tcPr>
            <w:tcW w:w="542" w:type="pct"/>
            <w:tcBorders>
              <w:top w:val="nil"/>
              <w:left w:val="nil"/>
              <w:bottom w:val="single" w:sz="4" w:space="0" w:color="auto"/>
              <w:right w:val="single" w:sz="4" w:space="0" w:color="auto"/>
            </w:tcBorders>
            <w:shd w:val="clear" w:color="auto" w:fill="auto"/>
            <w:vAlign w:val="center"/>
            <w:hideMark/>
          </w:tcPr>
          <w:p w14:paraId="446B6E3C"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735,975,532,006 </w:t>
            </w:r>
          </w:p>
        </w:tc>
        <w:tc>
          <w:tcPr>
            <w:tcW w:w="624" w:type="pct"/>
            <w:tcBorders>
              <w:top w:val="nil"/>
              <w:left w:val="nil"/>
              <w:bottom w:val="single" w:sz="4" w:space="0" w:color="auto"/>
              <w:right w:val="single" w:sz="4" w:space="0" w:color="auto"/>
            </w:tcBorders>
            <w:shd w:val="clear" w:color="auto" w:fill="auto"/>
            <w:vAlign w:val="center"/>
            <w:hideMark/>
          </w:tcPr>
          <w:p w14:paraId="6870C70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5,463,700,047,111 </w:t>
            </w:r>
          </w:p>
        </w:tc>
        <w:tc>
          <w:tcPr>
            <w:tcW w:w="252" w:type="pct"/>
            <w:tcBorders>
              <w:top w:val="nil"/>
              <w:left w:val="nil"/>
              <w:bottom w:val="single" w:sz="4" w:space="0" w:color="auto"/>
              <w:right w:val="single" w:sz="4" w:space="0" w:color="auto"/>
            </w:tcBorders>
            <w:shd w:val="clear" w:color="000000" w:fill="FFFFFF"/>
            <w:noWrap/>
            <w:vAlign w:val="center"/>
            <w:hideMark/>
          </w:tcPr>
          <w:p w14:paraId="4990C34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19FF27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02605F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4DBEBD4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2971092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05396D32"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BEACEB6"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30</w:t>
            </w:r>
          </w:p>
        </w:tc>
        <w:tc>
          <w:tcPr>
            <w:tcW w:w="915" w:type="pct"/>
            <w:tcBorders>
              <w:top w:val="nil"/>
              <w:left w:val="nil"/>
              <w:bottom w:val="single" w:sz="4" w:space="0" w:color="auto"/>
              <w:right w:val="single" w:sz="4" w:space="0" w:color="auto"/>
            </w:tcBorders>
            <w:shd w:val="clear" w:color="000000" w:fill="FFFFFF"/>
            <w:vAlign w:val="center"/>
            <w:hideMark/>
          </w:tcPr>
          <w:p w14:paraId="5A090CBC"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ດາວທຽມລາວ</w:t>
            </w:r>
            <w:proofErr w:type="spellEnd"/>
            <w:r w:rsidRPr="0007172D">
              <w:rPr>
                <w:rFonts w:ascii="Times New Roman" w:hAnsi="Times New Roman"/>
                <w:szCs w:val="22"/>
                <w:lang w:val="fr-FR" w:eastAsia="fr-FR"/>
              </w:rPr>
              <w:br/>
            </w:r>
            <w:r w:rsidRPr="0007172D">
              <w:rPr>
                <w:rFonts w:ascii="Times New Roman" w:hAnsi="Times New Roman"/>
                <w:szCs w:val="22"/>
                <w:lang w:val="fr-FR" w:eastAsia="fr-FR"/>
              </w:rPr>
              <w:lastRenderedPageBreak/>
              <w:t>Lao Satellite State Enterprise</w:t>
            </w:r>
          </w:p>
        </w:tc>
        <w:tc>
          <w:tcPr>
            <w:tcW w:w="250" w:type="pct"/>
            <w:tcBorders>
              <w:top w:val="nil"/>
              <w:left w:val="nil"/>
              <w:bottom w:val="single" w:sz="4" w:space="0" w:color="auto"/>
              <w:right w:val="single" w:sz="4" w:space="0" w:color="auto"/>
            </w:tcBorders>
            <w:shd w:val="clear" w:color="auto" w:fill="auto"/>
            <w:noWrap/>
            <w:vAlign w:val="center"/>
            <w:hideMark/>
          </w:tcPr>
          <w:p w14:paraId="283A625D"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lastRenderedPageBreak/>
              <w:t>100%</w:t>
            </w:r>
          </w:p>
        </w:tc>
        <w:tc>
          <w:tcPr>
            <w:tcW w:w="583" w:type="pct"/>
            <w:tcBorders>
              <w:top w:val="nil"/>
              <w:left w:val="nil"/>
              <w:bottom w:val="single" w:sz="4" w:space="0" w:color="auto"/>
              <w:right w:val="single" w:sz="4" w:space="0" w:color="auto"/>
            </w:tcBorders>
            <w:shd w:val="clear" w:color="auto" w:fill="auto"/>
            <w:noWrap/>
            <w:vAlign w:val="center"/>
            <w:hideMark/>
          </w:tcPr>
          <w:p w14:paraId="62DC49FF"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380FAF07"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4CBA6EE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273D086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B774C2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AB04E2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38B20E0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auto" w:fill="auto"/>
            <w:noWrap/>
            <w:vAlign w:val="center"/>
            <w:hideMark/>
          </w:tcPr>
          <w:p w14:paraId="21D1B5D5" w14:textId="77777777" w:rsidR="0007172D" w:rsidRPr="005F673D" w:rsidRDefault="0007172D" w:rsidP="00B12328">
            <w:pPr>
              <w:spacing w:before="0"/>
              <w:ind w:left="0"/>
              <w:jc w:val="left"/>
              <w:rPr>
                <w:rFonts w:ascii="Times New Roman" w:hAnsi="Times New Roman"/>
                <w:sz w:val="16"/>
                <w:szCs w:val="16"/>
                <w:lang w:val="fr-FR" w:eastAsia="fr-FR"/>
              </w:rPr>
            </w:pPr>
            <w:proofErr w:type="spellStart"/>
            <w:proofErr w:type="gramStart"/>
            <w:r w:rsidRPr="005F673D">
              <w:rPr>
                <w:rFonts w:ascii="Times New Roman" w:hAnsi="Times New Roman"/>
                <w:sz w:val="16"/>
                <w:szCs w:val="16"/>
                <w:lang w:val="fr-FR" w:eastAsia="fr-FR"/>
              </w:rPr>
              <w:t>newly</w:t>
            </w:r>
            <w:proofErr w:type="spellEnd"/>
            <w:proofErr w:type="gram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established</w:t>
            </w:r>
            <w:proofErr w:type="spell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in</w:t>
            </w:r>
            <w:proofErr w:type="spellEnd"/>
            <w:r w:rsidRPr="005F673D">
              <w:rPr>
                <w:rFonts w:ascii="Times New Roman" w:hAnsi="Times New Roman"/>
                <w:sz w:val="16"/>
                <w:szCs w:val="16"/>
                <w:lang w:val="fr-FR" w:eastAsia="fr-FR"/>
              </w:rPr>
              <w:t xml:space="preserve"> </w:t>
            </w:r>
            <w:r w:rsidRPr="005F673D">
              <w:rPr>
                <w:rFonts w:ascii="Times New Roman" w:hAnsi="Times New Roman"/>
                <w:sz w:val="16"/>
                <w:szCs w:val="16"/>
                <w:lang w:val="fr-FR" w:eastAsia="fr-FR"/>
              </w:rPr>
              <w:lastRenderedPageBreak/>
              <w:t>2016-2017</w:t>
            </w:r>
          </w:p>
        </w:tc>
      </w:tr>
      <w:tr w:rsidR="00B12328" w:rsidRPr="005F673D" w14:paraId="0A87EC51"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71ECF37"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lastRenderedPageBreak/>
              <w:t>31</w:t>
            </w:r>
          </w:p>
        </w:tc>
        <w:tc>
          <w:tcPr>
            <w:tcW w:w="915" w:type="pct"/>
            <w:tcBorders>
              <w:top w:val="nil"/>
              <w:left w:val="nil"/>
              <w:bottom w:val="single" w:sz="4" w:space="0" w:color="auto"/>
              <w:right w:val="single" w:sz="4" w:space="0" w:color="auto"/>
            </w:tcBorders>
            <w:shd w:val="clear" w:color="000000" w:fill="FFFFFF"/>
            <w:vAlign w:val="center"/>
            <w:hideMark/>
          </w:tcPr>
          <w:p w14:paraId="44001F5C"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ບໍລິການ</w:t>
            </w:r>
            <w:proofErr w:type="spell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ສະຖານທູດ</w:t>
            </w:r>
            <w:proofErr w:type="spellEnd"/>
            <w:r w:rsidRPr="0016027E">
              <w:rPr>
                <w:rFonts w:ascii="Times New Roman" w:hAnsi="Times New Roman"/>
                <w:szCs w:val="22"/>
                <w:lang w:val="en-MY" w:eastAsia="fr-FR"/>
              </w:rPr>
              <w:br/>
              <w:t>Enterprise for Diplomatic Services</w:t>
            </w:r>
          </w:p>
        </w:tc>
        <w:tc>
          <w:tcPr>
            <w:tcW w:w="250" w:type="pct"/>
            <w:tcBorders>
              <w:top w:val="nil"/>
              <w:left w:val="nil"/>
              <w:bottom w:val="single" w:sz="4" w:space="0" w:color="auto"/>
              <w:right w:val="single" w:sz="4" w:space="0" w:color="auto"/>
            </w:tcBorders>
            <w:shd w:val="clear" w:color="auto" w:fill="auto"/>
            <w:noWrap/>
            <w:vAlign w:val="center"/>
            <w:hideMark/>
          </w:tcPr>
          <w:p w14:paraId="53BFF6F8"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06726D2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6ED30C1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3183F020"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2D9FDBC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68BE7D0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6ECFC11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3330AFF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6DDB20D8" w14:textId="77777777" w:rsidR="0007172D" w:rsidRPr="005F673D" w:rsidRDefault="0007172D" w:rsidP="00B12328">
            <w:pPr>
              <w:spacing w:before="0"/>
              <w:ind w:left="0"/>
              <w:jc w:val="center"/>
              <w:rPr>
                <w:rFonts w:ascii="Times New Roman" w:hAnsi="Times New Roman"/>
                <w:sz w:val="16"/>
                <w:szCs w:val="16"/>
                <w:lang w:val="fr-FR" w:eastAsia="fr-FR"/>
              </w:rPr>
            </w:pPr>
            <w:proofErr w:type="spellStart"/>
            <w:proofErr w:type="gramStart"/>
            <w:r w:rsidRPr="005F673D">
              <w:rPr>
                <w:rFonts w:ascii="DokChampa" w:hAnsi="DokChampa" w:cs="DokChampa"/>
                <w:sz w:val="16"/>
                <w:szCs w:val="16"/>
                <w:lang w:val="fr-FR" w:eastAsia="fr-FR"/>
              </w:rPr>
              <w:t>ຫັນເປັນລັດບໍລິຫານ</w:t>
            </w:r>
            <w:proofErr w:type="spellEnd"/>
            <w:proofErr w:type="gramEnd"/>
          </w:p>
        </w:tc>
      </w:tr>
      <w:tr w:rsidR="00B12328" w:rsidRPr="005F673D" w14:paraId="57B886D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1B819DFE"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32</w:t>
            </w:r>
          </w:p>
        </w:tc>
        <w:tc>
          <w:tcPr>
            <w:tcW w:w="915" w:type="pct"/>
            <w:tcBorders>
              <w:top w:val="nil"/>
              <w:left w:val="nil"/>
              <w:bottom w:val="single" w:sz="4" w:space="0" w:color="auto"/>
              <w:right w:val="single" w:sz="4" w:space="0" w:color="auto"/>
            </w:tcBorders>
            <w:shd w:val="clear" w:color="000000" w:fill="FFFFFF"/>
            <w:vAlign w:val="center"/>
            <w:hideMark/>
          </w:tcPr>
          <w:p w14:paraId="5696E673"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ກອງທຶນປົກປ້ອງຜູ້ຝາກເງິນ</w:t>
            </w:r>
            <w:proofErr w:type="spellEnd"/>
            <w:proofErr w:type="gramEnd"/>
            <w:r w:rsidRPr="0016027E">
              <w:rPr>
                <w:rFonts w:ascii="Times New Roman" w:hAnsi="Times New Roman"/>
                <w:szCs w:val="22"/>
                <w:lang w:val="en-MY" w:eastAsia="fr-FR"/>
              </w:rPr>
              <w:br/>
              <w:t>Depositors Protection Fund</w:t>
            </w:r>
          </w:p>
        </w:tc>
        <w:tc>
          <w:tcPr>
            <w:tcW w:w="250" w:type="pct"/>
            <w:tcBorders>
              <w:top w:val="nil"/>
              <w:left w:val="nil"/>
              <w:bottom w:val="single" w:sz="4" w:space="0" w:color="auto"/>
              <w:right w:val="single" w:sz="4" w:space="0" w:color="auto"/>
            </w:tcBorders>
            <w:shd w:val="clear" w:color="auto" w:fill="auto"/>
            <w:noWrap/>
            <w:vAlign w:val="center"/>
            <w:hideMark/>
          </w:tcPr>
          <w:p w14:paraId="7613A70F"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6AFCF01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0494B0E7"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5753471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30DB078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5DBCE5D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2CB39F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397C453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6F778865" w14:textId="77777777" w:rsidR="0007172D" w:rsidRPr="005F673D" w:rsidRDefault="0007172D" w:rsidP="00B12328">
            <w:pPr>
              <w:spacing w:before="0"/>
              <w:ind w:left="0"/>
              <w:jc w:val="center"/>
              <w:rPr>
                <w:rFonts w:ascii="Times New Roman" w:hAnsi="Times New Roman"/>
                <w:sz w:val="16"/>
                <w:szCs w:val="16"/>
                <w:lang w:val="fr-FR" w:eastAsia="fr-FR"/>
              </w:rPr>
            </w:pPr>
            <w:proofErr w:type="spellStart"/>
            <w:proofErr w:type="gramStart"/>
            <w:r w:rsidRPr="005F673D">
              <w:rPr>
                <w:rFonts w:ascii="DokChampa" w:hAnsi="DokChampa" w:cs="DokChampa"/>
                <w:sz w:val="16"/>
                <w:szCs w:val="16"/>
                <w:lang w:val="fr-FR" w:eastAsia="fr-FR"/>
              </w:rPr>
              <w:t>ຫັນເປັນລັດບໍລິຫານ</w:t>
            </w:r>
            <w:proofErr w:type="spellEnd"/>
            <w:proofErr w:type="gramEnd"/>
          </w:p>
        </w:tc>
      </w:tr>
      <w:tr w:rsidR="00B12328" w:rsidRPr="005F673D" w14:paraId="679B68ED"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D1A0BEC"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33</w:t>
            </w:r>
          </w:p>
        </w:tc>
        <w:tc>
          <w:tcPr>
            <w:tcW w:w="915" w:type="pct"/>
            <w:tcBorders>
              <w:top w:val="nil"/>
              <w:left w:val="nil"/>
              <w:bottom w:val="single" w:sz="4" w:space="0" w:color="auto"/>
              <w:right w:val="single" w:sz="4" w:space="0" w:color="auto"/>
            </w:tcBorders>
            <w:shd w:val="clear" w:color="auto" w:fill="auto"/>
            <w:vAlign w:val="center"/>
            <w:hideMark/>
          </w:tcPr>
          <w:p w14:paraId="4B483573"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ພັດທະນາກະສິກໍາ</w:t>
            </w:r>
            <w:proofErr w:type="spellEnd"/>
            <w:r w:rsidRPr="0007172D">
              <w:rPr>
                <w:rFonts w:ascii="Times New Roman" w:hAnsi="Times New Roman"/>
                <w:szCs w:val="22"/>
                <w:lang w:val="fr-FR" w:eastAsia="fr-FR"/>
              </w:rPr>
              <w:br/>
              <w:t xml:space="preserve">Agriculture </w:t>
            </w:r>
            <w:proofErr w:type="spellStart"/>
            <w:r w:rsidRPr="0007172D">
              <w:rPr>
                <w:rFonts w:ascii="Times New Roman" w:hAnsi="Times New Roman"/>
                <w:szCs w:val="22"/>
                <w:lang w:val="fr-FR" w:eastAsia="fr-FR"/>
              </w:rPr>
              <w:t>Development</w:t>
            </w:r>
            <w:proofErr w:type="spellEnd"/>
            <w:r w:rsidRPr="0007172D">
              <w:rPr>
                <w:rFonts w:ascii="Times New Roman" w:hAnsi="Times New Roman"/>
                <w:szCs w:val="22"/>
                <w:lang w:val="fr-FR" w:eastAsia="fr-FR"/>
              </w:rPr>
              <w:t xml:space="preserve"> Enterprise</w:t>
            </w:r>
          </w:p>
        </w:tc>
        <w:tc>
          <w:tcPr>
            <w:tcW w:w="250" w:type="pct"/>
            <w:tcBorders>
              <w:top w:val="nil"/>
              <w:left w:val="nil"/>
              <w:bottom w:val="single" w:sz="4" w:space="0" w:color="auto"/>
              <w:right w:val="single" w:sz="4" w:space="0" w:color="auto"/>
            </w:tcBorders>
            <w:shd w:val="clear" w:color="auto" w:fill="auto"/>
            <w:noWrap/>
            <w:vAlign w:val="center"/>
            <w:hideMark/>
          </w:tcPr>
          <w:p w14:paraId="2C375904"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625EB8E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66E9716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24B1632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4436837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7A5F8A4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E48E29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0D2AA7F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auto" w:fill="auto"/>
            <w:noWrap/>
            <w:vAlign w:val="center"/>
            <w:hideMark/>
          </w:tcPr>
          <w:p w14:paraId="387B2732" w14:textId="77777777" w:rsidR="0007172D" w:rsidRPr="005F673D" w:rsidRDefault="0007172D" w:rsidP="00B12328">
            <w:pPr>
              <w:spacing w:before="0"/>
              <w:ind w:left="0"/>
              <w:jc w:val="left"/>
              <w:rPr>
                <w:rFonts w:ascii="Times New Roman" w:hAnsi="Times New Roman"/>
                <w:sz w:val="16"/>
                <w:szCs w:val="16"/>
                <w:lang w:val="fr-FR" w:eastAsia="fr-FR"/>
              </w:rPr>
            </w:pPr>
            <w:proofErr w:type="spellStart"/>
            <w:proofErr w:type="gramStart"/>
            <w:r w:rsidRPr="005F673D">
              <w:rPr>
                <w:rFonts w:ascii="Times New Roman" w:hAnsi="Times New Roman"/>
                <w:sz w:val="16"/>
                <w:szCs w:val="16"/>
                <w:lang w:val="fr-FR" w:eastAsia="fr-FR"/>
              </w:rPr>
              <w:t>newly</w:t>
            </w:r>
            <w:proofErr w:type="spellEnd"/>
            <w:proofErr w:type="gram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established</w:t>
            </w:r>
            <w:proofErr w:type="spell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in</w:t>
            </w:r>
            <w:proofErr w:type="spellEnd"/>
            <w:r w:rsidRPr="005F673D">
              <w:rPr>
                <w:rFonts w:ascii="Times New Roman" w:hAnsi="Times New Roman"/>
                <w:sz w:val="16"/>
                <w:szCs w:val="16"/>
                <w:lang w:val="fr-FR" w:eastAsia="fr-FR"/>
              </w:rPr>
              <w:t xml:space="preserve"> 2017-2018</w:t>
            </w:r>
          </w:p>
        </w:tc>
      </w:tr>
      <w:tr w:rsidR="00B12328" w:rsidRPr="005F673D" w14:paraId="597FA393"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0153C0A"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34</w:t>
            </w:r>
          </w:p>
        </w:tc>
        <w:tc>
          <w:tcPr>
            <w:tcW w:w="915" w:type="pct"/>
            <w:tcBorders>
              <w:top w:val="nil"/>
              <w:left w:val="nil"/>
              <w:bottom w:val="single" w:sz="4" w:space="0" w:color="auto"/>
              <w:right w:val="single" w:sz="4" w:space="0" w:color="auto"/>
            </w:tcBorders>
            <w:shd w:val="clear" w:color="auto" w:fill="auto"/>
            <w:vAlign w:val="center"/>
            <w:hideMark/>
          </w:tcPr>
          <w:p w14:paraId="59AD33B5"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ສໍາຫລວດ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ອອກແບບ</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ແລະ</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ກໍ່ສ້າງທາງນໍ້າ</w:t>
            </w:r>
            <w:proofErr w:type="spellEnd"/>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Waterways</w:t>
            </w:r>
            <w:proofErr w:type="spellEnd"/>
            <w:r w:rsidRPr="0007172D">
              <w:rPr>
                <w:rFonts w:ascii="Times New Roman" w:hAnsi="Times New Roman"/>
                <w:szCs w:val="22"/>
                <w:lang w:val="fr-FR" w:eastAsia="fr-FR"/>
              </w:rPr>
              <w:t xml:space="preserve"> Survey, Design and Construction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64A58C0E"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3DFAE51B"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5D34057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2FC36D9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77502A3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59719E6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76D6EEC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2E93DAF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7944A520"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02BEB10B"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10B32E6C"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35</w:t>
            </w:r>
          </w:p>
        </w:tc>
        <w:tc>
          <w:tcPr>
            <w:tcW w:w="915" w:type="pct"/>
            <w:tcBorders>
              <w:top w:val="nil"/>
              <w:left w:val="nil"/>
              <w:bottom w:val="single" w:sz="4" w:space="0" w:color="auto"/>
              <w:right w:val="single" w:sz="4" w:space="0" w:color="auto"/>
            </w:tcBorders>
            <w:shd w:val="clear" w:color="000000" w:fill="FFFFFF"/>
            <w:vAlign w:val="center"/>
            <w:hideMark/>
          </w:tcPr>
          <w:p w14:paraId="4508ADEA"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ສະຫນອງວັດຖຸເຕັກນິກ</w:t>
            </w:r>
            <w:proofErr w:type="spellEnd"/>
            <w:r w:rsidRPr="0016027E">
              <w:rPr>
                <w:rFonts w:ascii="Times New Roman" w:hAnsi="Times New Roman"/>
                <w:szCs w:val="22"/>
                <w:lang w:val="en-MY" w:eastAsia="fr-FR"/>
              </w:rPr>
              <w:br/>
              <w:t>Lao Technical Materials Supply Company</w:t>
            </w:r>
          </w:p>
        </w:tc>
        <w:tc>
          <w:tcPr>
            <w:tcW w:w="250" w:type="pct"/>
            <w:tcBorders>
              <w:top w:val="nil"/>
              <w:left w:val="nil"/>
              <w:bottom w:val="single" w:sz="4" w:space="0" w:color="auto"/>
              <w:right w:val="single" w:sz="4" w:space="0" w:color="auto"/>
            </w:tcBorders>
            <w:shd w:val="clear" w:color="auto" w:fill="auto"/>
            <w:noWrap/>
            <w:vAlign w:val="center"/>
            <w:hideMark/>
          </w:tcPr>
          <w:p w14:paraId="7904CB30"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47F3E0D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7205108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single" w:sz="4" w:space="0" w:color="auto"/>
              <w:right w:val="single" w:sz="4" w:space="0" w:color="auto"/>
            </w:tcBorders>
            <w:shd w:val="clear" w:color="auto" w:fill="auto"/>
            <w:noWrap/>
            <w:vAlign w:val="center"/>
            <w:hideMark/>
          </w:tcPr>
          <w:p w14:paraId="47584AB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2136F42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5441FD7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2A5DB5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2FDD081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4D8BAED3"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000EBAC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89AA50C"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36</w:t>
            </w:r>
          </w:p>
        </w:tc>
        <w:tc>
          <w:tcPr>
            <w:tcW w:w="915" w:type="pct"/>
            <w:tcBorders>
              <w:top w:val="nil"/>
              <w:left w:val="nil"/>
              <w:bottom w:val="single" w:sz="4" w:space="0" w:color="auto"/>
              <w:right w:val="single" w:sz="4" w:space="0" w:color="auto"/>
            </w:tcBorders>
            <w:shd w:val="clear" w:color="000000" w:fill="FFFFFF"/>
            <w:vAlign w:val="center"/>
            <w:hideMark/>
          </w:tcPr>
          <w:p w14:paraId="0FBAA417"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ໂຮງພິມຫນຸ່ມລາວ</w:t>
            </w:r>
            <w:proofErr w:type="spellEnd"/>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Noumlao</w:t>
            </w:r>
            <w:proofErr w:type="spellEnd"/>
            <w:r w:rsidRPr="0007172D">
              <w:rPr>
                <w:rFonts w:ascii="Times New Roman" w:hAnsi="Times New Roman"/>
                <w:szCs w:val="22"/>
                <w:lang w:val="fr-FR" w:eastAsia="fr-FR"/>
              </w:rPr>
              <w:t xml:space="preserve"> Printing House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0635D1F6"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59C4886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2,058,046,254 </w:t>
            </w:r>
          </w:p>
        </w:tc>
        <w:tc>
          <w:tcPr>
            <w:tcW w:w="542" w:type="pct"/>
            <w:tcBorders>
              <w:top w:val="nil"/>
              <w:left w:val="nil"/>
              <w:bottom w:val="single" w:sz="4" w:space="0" w:color="auto"/>
              <w:right w:val="single" w:sz="4" w:space="0" w:color="auto"/>
            </w:tcBorders>
            <w:shd w:val="clear" w:color="auto" w:fill="auto"/>
            <w:noWrap/>
            <w:vAlign w:val="center"/>
            <w:hideMark/>
          </w:tcPr>
          <w:p w14:paraId="63B1E6E7"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2,333,956,781 </w:t>
            </w:r>
          </w:p>
        </w:tc>
        <w:tc>
          <w:tcPr>
            <w:tcW w:w="624" w:type="pct"/>
            <w:tcBorders>
              <w:top w:val="nil"/>
              <w:left w:val="nil"/>
              <w:bottom w:val="single" w:sz="4" w:space="0" w:color="auto"/>
              <w:right w:val="single" w:sz="4" w:space="0" w:color="auto"/>
            </w:tcBorders>
            <w:shd w:val="clear" w:color="auto" w:fill="auto"/>
            <w:noWrap/>
            <w:vAlign w:val="center"/>
            <w:hideMark/>
          </w:tcPr>
          <w:p w14:paraId="3AF4260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3,324,371,006 </w:t>
            </w:r>
          </w:p>
        </w:tc>
        <w:tc>
          <w:tcPr>
            <w:tcW w:w="252" w:type="pct"/>
            <w:tcBorders>
              <w:top w:val="nil"/>
              <w:left w:val="nil"/>
              <w:bottom w:val="single" w:sz="4" w:space="0" w:color="auto"/>
              <w:right w:val="single" w:sz="4" w:space="0" w:color="auto"/>
            </w:tcBorders>
            <w:shd w:val="clear" w:color="000000" w:fill="FFFFFF"/>
            <w:noWrap/>
            <w:vAlign w:val="center"/>
            <w:hideMark/>
          </w:tcPr>
          <w:p w14:paraId="43649D6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05F7931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5D1EFC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1E8A81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35866648"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2E764308"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01FA62D"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37</w:t>
            </w:r>
          </w:p>
        </w:tc>
        <w:tc>
          <w:tcPr>
            <w:tcW w:w="915" w:type="pct"/>
            <w:tcBorders>
              <w:top w:val="nil"/>
              <w:left w:val="nil"/>
              <w:bottom w:val="single" w:sz="4" w:space="0" w:color="auto"/>
              <w:right w:val="single" w:sz="4" w:space="0" w:color="auto"/>
            </w:tcBorders>
            <w:shd w:val="clear" w:color="000000" w:fill="FFFFFF"/>
            <w:vAlign w:val="center"/>
            <w:hideMark/>
          </w:tcPr>
          <w:p w14:paraId="6936F64C"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ຂົນສົ່ງທາງບົກ</w:t>
            </w:r>
            <w:proofErr w:type="spellEnd"/>
            <w:r w:rsidRPr="0016027E">
              <w:rPr>
                <w:rFonts w:ascii="Times New Roman" w:hAnsi="Times New Roman"/>
                <w:szCs w:val="22"/>
                <w:lang w:val="en-MY" w:eastAsia="fr-FR"/>
              </w:rPr>
              <w:t>-</w:t>
            </w:r>
            <w:proofErr w:type="spellStart"/>
            <w:r w:rsidRPr="0007172D">
              <w:rPr>
                <w:rFonts w:ascii="DokChampa" w:hAnsi="DokChampa" w:cs="DokChampa"/>
                <w:szCs w:val="22"/>
                <w:lang w:val="fr-FR" w:eastAsia="fr-FR"/>
              </w:rPr>
              <w:t>ທາງນໍ້າ</w:t>
            </w:r>
            <w:proofErr w:type="spellEnd"/>
            <w:r w:rsidRPr="0016027E">
              <w:rPr>
                <w:rFonts w:ascii="Times New Roman" w:hAnsi="Times New Roman"/>
                <w:szCs w:val="22"/>
                <w:lang w:val="en-MY" w:eastAsia="fr-FR"/>
              </w:rPr>
              <w:br/>
              <w:t xml:space="preserve">State Owned Enterprise for Inland and Waterway Transport </w:t>
            </w:r>
          </w:p>
        </w:tc>
        <w:tc>
          <w:tcPr>
            <w:tcW w:w="250" w:type="pct"/>
            <w:tcBorders>
              <w:top w:val="nil"/>
              <w:left w:val="nil"/>
              <w:bottom w:val="single" w:sz="4" w:space="0" w:color="auto"/>
              <w:right w:val="single" w:sz="4" w:space="0" w:color="auto"/>
            </w:tcBorders>
            <w:shd w:val="clear" w:color="auto" w:fill="auto"/>
            <w:noWrap/>
            <w:vAlign w:val="center"/>
            <w:hideMark/>
          </w:tcPr>
          <w:p w14:paraId="7C93A2F0"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46DECF8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28,044,905,926 </w:t>
            </w:r>
          </w:p>
        </w:tc>
        <w:tc>
          <w:tcPr>
            <w:tcW w:w="542" w:type="pct"/>
            <w:tcBorders>
              <w:top w:val="nil"/>
              <w:left w:val="nil"/>
              <w:bottom w:val="single" w:sz="4" w:space="0" w:color="auto"/>
              <w:right w:val="single" w:sz="4" w:space="0" w:color="auto"/>
            </w:tcBorders>
            <w:shd w:val="clear" w:color="auto" w:fill="auto"/>
            <w:noWrap/>
            <w:vAlign w:val="center"/>
            <w:hideMark/>
          </w:tcPr>
          <w:p w14:paraId="6CCBDE6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2,274,915,975 </w:t>
            </w:r>
          </w:p>
        </w:tc>
        <w:tc>
          <w:tcPr>
            <w:tcW w:w="624" w:type="pct"/>
            <w:tcBorders>
              <w:top w:val="nil"/>
              <w:left w:val="nil"/>
              <w:bottom w:val="single" w:sz="4" w:space="0" w:color="auto"/>
              <w:right w:val="single" w:sz="4" w:space="0" w:color="auto"/>
            </w:tcBorders>
            <w:shd w:val="clear" w:color="auto" w:fill="auto"/>
            <w:noWrap/>
            <w:vAlign w:val="center"/>
            <w:hideMark/>
          </w:tcPr>
          <w:p w14:paraId="641F30D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4,976,618,636 </w:t>
            </w:r>
          </w:p>
        </w:tc>
        <w:tc>
          <w:tcPr>
            <w:tcW w:w="252" w:type="pct"/>
            <w:tcBorders>
              <w:top w:val="nil"/>
              <w:left w:val="nil"/>
              <w:bottom w:val="single" w:sz="4" w:space="0" w:color="auto"/>
              <w:right w:val="single" w:sz="4" w:space="0" w:color="auto"/>
            </w:tcBorders>
            <w:shd w:val="clear" w:color="000000" w:fill="FFFFFF"/>
            <w:noWrap/>
            <w:vAlign w:val="center"/>
            <w:hideMark/>
          </w:tcPr>
          <w:p w14:paraId="1BA2716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41E5D54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933387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2D091D5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51B88294"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4E85193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9F64687"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38</w:t>
            </w:r>
          </w:p>
        </w:tc>
        <w:tc>
          <w:tcPr>
            <w:tcW w:w="915" w:type="pct"/>
            <w:tcBorders>
              <w:top w:val="nil"/>
              <w:left w:val="nil"/>
              <w:bottom w:val="single" w:sz="4" w:space="0" w:color="auto"/>
              <w:right w:val="single" w:sz="4" w:space="0" w:color="auto"/>
            </w:tcBorders>
            <w:shd w:val="clear" w:color="auto" w:fill="auto"/>
            <w:vAlign w:val="center"/>
            <w:hideMark/>
          </w:tcPr>
          <w:p w14:paraId="47FC5A7F"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ນໍ້າມັນເຊື້ອໄຟດາຟີ</w:t>
            </w:r>
            <w:proofErr w:type="spellEnd"/>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Dafi</w:t>
            </w:r>
            <w:proofErr w:type="spellEnd"/>
            <w:r w:rsidRPr="0007172D">
              <w:rPr>
                <w:rFonts w:ascii="Times New Roman" w:hAnsi="Times New Roman"/>
                <w:szCs w:val="22"/>
                <w:lang w:val="fr-FR" w:eastAsia="fr-FR"/>
              </w:rPr>
              <w:t xml:space="preserve"> fuel Enterprise</w:t>
            </w:r>
          </w:p>
        </w:tc>
        <w:tc>
          <w:tcPr>
            <w:tcW w:w="250" w:type="pct"/>
            <w:tcBorders>
              <w:top w:val="nil"/>
              <w:left w:val="nil"/>
              <w:bottom w:val="single" w:sz="4" w:space="0" w:color="auto"/>
              <w:right w:val="single" w:sz="4" w:space="0" w:color="auto"/>
            </w:tcBorders>
            <w:shd w:val="clear" w:color="auto" w:fill="auto"/>
            <w:noWrap/>
            <w:vAlign w:val="center"/>
            <w:hideMark/>
          </w:tcPr>
          <w:p w14:paraId="37288F7B"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2A15374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542" w:type="pct"/>
            <w:tcBorders>
              <w:top w:val="nil"/>
              <w:left w:val="nil"/>
              <w:bottom w:val="single" w:sz="4" w:space="0" w:color="auto"/>
              <w:right w:val="single" w:sz="4" w:space="0" w:color="auto"/>
            </w:tcBorders>
            <w:shd w:val="clear" w:color="auto" w:fill="auto"/>
            <w:noWrap/>
            <w:vAlign w:val="center"/>
            <w:hideMark/>
          </w:tcPr>
          <w:p w14:paraId="0AF57CB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624" w:type="pct"/>
            <w:tcBorders>
              <w:top w:val="nil"/>
              <w:left w:val="nil"/>
              <w:bottom w:val="single" w:sz="4" w:space="0" w:color="auto"/>
              <w:right w:val="single" w:sz="4" w:space="0" w:color="auto"/>
            </w:tcBorders>
            <w:shd w:val="clear" w:color="auto" w:fill="auto"/>
            <w:noWrap/>
            <w:vAlign w:val="center"/>
            <w:hideMark/>
          </w:tcPr>
          <w:p w14:paraId="06BEA35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2" w:type="pct"/>
            <w:tcBorders>
              <w:top w:val="nil"/>
              <w:left w:val="nil"/>
              <w:bottom w:val="single" w:sz="4" w:space="0" w:color="auto"/>
              <w:right w:val="single" w:sz="4" w:space="0" w:color="auto"/>
            </w:tcBorders>
            <w:shd w:val="clear" w:color="000000" w:fill="FFFFFF"/>
            <w:noWrap/>
            <w:vAlign w:val="center"/>
            <w:hideMark/>
          </w:tcPr>
          <w:p w14:paraId="5A8C39A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508CDD1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709926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5541EF8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5D8EE8C8"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48800E93"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3256E01"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lastRenderedPageBreak/>
              <w:t>39</w:t>
            </w:r>
          </w:p>
        </w:tc>
        <w:tc>
          <w:tcPr>
            <w:tcW w:w="915" w:type="pct"/>
            <w:tcBorders>
              <w:top w:val="nil"/>
              <w:left w:val="nil"/>
              <w:bottom w:val="single" w:sz="4" w:space="0" w:color="auto"/>
              <w:right w:val="single" w:sz="4" w:space="0" w:color="auto"/>
            </w:tcBorders>
            <w:shd w:val="clear" w:color="000000" w:fill="FFFFFF"/>
            <w:vAlign w:val="center"/>
            <w:hideMark/>
          </w:tcPr>
          <w:p w14:paraId="2DFA1573"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ໂຮງງານຝຸ່ນຊີວະພາບດົງຊຽງດີ</w:t>
            </w:r>
            <w:proofErr w:type="spellEnd"/>
            <w:r w:rsidRPr="0007172D">
              <w:rPr>
                <w:rFonts w:ascii="Times New Roman" w:hAnsi="Times New Roman"/>
                <w:szCs w:val="22"/>
                <w:lang w:val="fr-FR" w:eastAsia="fr-FR"/>
              </w:rPr>
              <w:br/>
              <w:t xml:space="preserve">Dong </w:t>
            </w:r>
            <w:proofErr w:type="spellStart"/>
            <w:r w:rsidRPr="0007172D">
              <w:rPr>
                <w:rFonts w:ascii="Times New Roman" w:hAnsi="Times New Roman"/>
                <w:szCs w:val="22"/>
                <w:lang w:val="fr-FR" w:eastAsia="fr-FR"/>
              </w:rPr>
              <w:t>Xiengdy</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Organic</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Fertilizer</w:t>
            </w:r>
            <w:proofErr w:type="spellEnd"/>
            <w:r w:rsidRPr="0007172D">
              <w:rPr>
                <w:rFonts w:ascii="Times New Roman" w:hAnsi="Times New Roman"/>
                <w:szCs w:val="22"/>
                <w:lang w:val="fr-FR" w:eastAsia="fr-FR"/>
              </w:rPr>
              <w:t xml:space="preserve"> Enterprise</w:t>
            </w:r>
          </w:p>
        </w:tc>
        <w:tc>
          <w:tcPr>
            <w:tcW w:w="250" w:type="pct"/>
            <w:tcBorders>
              <w:top w:val="nil"/>
              <w:left w:val="nil"/>
              <w:bottom w:val="single" w:sz="4" w:space="0" w:color="auto"/>
              <w:right w:val="single" w:sz="4" w:space="0" w:color="auto"/>
            </w:tcBorders>
            <w:shd w:val="clear" w:color="auto" w:fill="auto"/>
            <w:noWrap/>
            <w:vAlign w:val="center"/>
            <w:hideMark/>
          </w:tcPr>
          <w:p w14:paraId="6E15A4A2"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auto" w:fill="auto"/>
            <w:noWrap/>
            <w:vAlign w:val="center"/>
            <w:hideMark/>
          </w:tcPr>
          <w:p w14:paraId="4F59BC1C"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(100,987,740) </w:t>
            </w:r>
          </w:p>
        </w:tc>
        <w:tc>
          <w:tcPr>
            <w:tcW w:w="542" w:type="pct"/>
            <w:tcBorders>
              <w:top w:val="nil"/>
              <w:left w:val="nil"/>
              <w:bottom w:val="single" w:sz="4" w:space="0" w:color="auto"/>
              <w:right w:val="single" w:sz="4" w:space="0" w:color="auto"/>
            </w:tcBorders>
            <w:shd w:val="clear" w:color="auto" w:fill="auto"/>
            <w:noWrap/>
            <w:vAlign w:val="center"/>
            <w:hideMark/>
          </w:tcPr>
          <w:p w14:paraId="40924F5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2,291,673,340 </w:t>
            </w:r>
          </w:p>
        </w:tc>
        <w:tc>
          <w:tcPr>
            <w:tcW w:w="624" w:type="pct"/>
            <w:tcBorders>
              <w:top w:val="nil"/>
              <w:left w:val="nil"/>
              <w:bottom w:val="single" w:sz="4" w:space="0" w:color="auto"/>
              <w:right w:val="single" w:sz="4" w:space="0" w:color="auto"/>
            </w:tcBorders>
            <w:shd w:val="clear" w:color="auto" w:fill="auto"/>
            <w:noWrap/>
            <w:vAlign w:val="center"/>
            <w:hideMark/>
          </w:tcPr>
          <w:p w14:paraId="47F9CBC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310,537,000 </w:t>
            </w:r>
          </w:p>
        </w:tc>
        <w:tc>
          <w:tcPr>
            <w:tcW w:w="252" w:type="pct"/>
            <w:tcBorders>
              <w:top w:val="nil"/>
              <w:left w:val="nil"/>
              <w:bottom w:val="single" w:sz="4" w:space="0" w:color="auto"/>
              <w:right w:val="single" w:sz="4" w:space="0" w:color="auto"/>
            </w:tcBorders>
            <w:shd w:val="clear" w:color="000000" w:fill="FFFFFF"/>
            <w:noWrap/>
            <w:vAlign w:val="center"/>
            <w:hideMark/>
          </w:tcPr>
          <w:p w14:paraId="550AE2E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1DAFF42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235C75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42D52A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39C7FEA0"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3145BDA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3BBFE0F"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40</w:t>
            </w:r>
          </w:p>
        </w:tc>
        <w:tc>
          <w:tcPr>
            <w:tcW w:w="915" w:type="pct"/>
            <w:tcBorders>
              <w:top w:val="nil"/>
              <w:left w:val="nil"/>
              <w:bottom w:val="single" w:sz="4" w:space="0" w:color="auto"/>
              <w:right w:val="single" w:sz="4" w:space="0" w:color="auto"/>
            </w:tcBorders>
            <w:shd w:val="clear" w:color="000000" w:fill="FFFFFF"/>
            <w:vAlign w:val="center"/>
            <w:hideMark/>
          </w:tcPr>
          <w:p w14:paraId="0E0E6B6E" w14:textId="77777777" w:rsidR="0007172D" w:rsidRPr="00C63883" w:rsidRDefault="0007172D" w:rsidP="00B12328">
            <w:pPr>
              <w:spacing w:before="0"/>
              <w:ind w:left="0"/>
              <w:jc w:val="left"/>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ລັດວິສາຫະກິດ</w:t>
            </w:r>
            <w:proofErr w:type="spellEnd"/>
            <w:proofErr w:type="gram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ຝ້າຍລາວ</w:t>
            </w:r>
            <w:proofErr w:type="spellEnd"/>
            <w:r w:rsidRPr="00C63883">
              <w:rPr>
                <w:rFonts w:ascii="Times New Roman" w:hAnsi="Times New Roman"/>
                <w:szCs w:val="22"/>
                <w:lang w:eastAsia="fr-FR"/>
              </w:rPr>
              <w:br/>
              <w:t>Lao Cotton Enterprise</w:t>
            </w:r>
          </w:p>
        </w:tc>
        <w:tc>
          <w:tcPr>
            <w:tcW w:w="250" w:type="pct"/>
            <w:tcBorders>
              <w:top w:val="nil"/>
              <w:left w:val="nil"/>
              <w:bottom w:val="single" w:sz="4" w:space="0" w:color="auto"/>
              <w:right w:val="single" w:sz="4" w:space="0" w:color="auto"/>
            </w:tcBorders>
            <w:shd w:val="clear" w:color="000000" w:fill="FFFFFF"/>
            <w:vAlign w:val="center"/>
            <w:hideMark/>
          </w:tcPr>
          <w:p w14:paraId="5A3C16AD"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100%</w:t>
            </w:r>
          </w:p>
        </w:tc>
        <w:tc>
          <w:tcPr>
            <w:tcW w:w="583" w:type="pct"/>
            <w:tcBorders>
              <w:top w:val="nil"/>
              <w:left w:val="nil"/>
              <w:bottom w:val="single" w:sz="4" w:space="0" w:color="auto"/>
              <w:right w:val="single" w:sz="4" w:space="0" w:color="auto"/>
            </w:tcBorders>
            <w:shd w:val="clear" w:color="000000" w:fill="FFFFFF"/>
            <w:vAlign w:val="center"/>
            <w:hideMark/>
          </w:tcPr>
          <w:p w14:paraId="4E3EE22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5,757,217,498 </w:t>
            </w:r>
          </w:p>
        </w:tc>
        <w:tc>
          <w:tcPr>
            <w:tcW w:w="542" w:type="pct"/>
            <w:tcBorders>
              <w:top w:val="nil"/>
              <w:left w:val="nil"/>
              <w:bottom w:val="single" w:sz="4" w:space="0" w:color="auto"/>
              <w:right w:val="single" w:sz="4" w:space="0" w:color="auto"/>
            </w:tcBorders>
            <w:shd w:val="clear" w:color="000000" w:fill="FFFFFF"/>
            <w:vAlign w:val="center"/>
            <w:hideMark/>
          </w:tcPr>
          <w:p w14:paraId="5D7612C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4,542,813,768 </w:t>
            </w:r>
          </w:p>
        </w:tc>
        <w:tc>
          <w:tcPr>
            <w:tcW w:w="624" w:type="pct"/>
            <w:tcBorders>
              <w:top w:val="nil"/>
              <w:left w:val="nil"/>
              <w:bottom w:val="single" w:sz="4" w:space="0" w:color="auto"/>
              <w:right w:val="single" w:sz="4" w:space="0" w:color="auto"/>
            </w:tcBorders>
            <w:shd w:val="clear" w:color="000000" w:fill="FFFFFF"/>
            <w:vAlign w:val="center"/>
            <w:hideMark/>
          </w:tcPr>
          <w:p w14:paraId="15BB7A1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2,703,897,628 </w:t>
            </w:r>
          </w:p>
        </w:tc>
        <w:tc>
          <w:tcPr>
            <w:tcW w:w="252" w:type="pct"/>
            <w:tcBorders>
              <w:top w:val="nil"/>
              <w:left w:val="nil"/>
              <w:bottom w:val="single" w:sz="4" w:space="0" w:color="auto"/>
              <w:right w:val="single" w:sz="4" w:space="0" w:color="auto"/>
            </w:tcBorders>
            <w:shd w:val="clear" w:color="000000" w:fill="FFFFFF"/>
            <w:noWrap/>
            <w:vAlign w:val="center"/>
            <w:hideMark/>
          </w:tcPr>
          <w:p w14:paraId="5447B2B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5DA0526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6A86022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320E3A2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66D9169F"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6208C0D8"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B89C573"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41</w:t>
            </w:r>
          </w:p>
        </w:tc>
        <w:tc>
          <w:tcPr>
            <w:tcW w:w="915" w:type="pct"/>
            <w:tcBorders>
              <w:top w:val="nil"/>
              <w:left w:val="nil"/>
              <w:bottom w:val="single" w:sz="4" w:space="0" w:color="auto"/>
              <w:right w:val="single" w:sz="4" w:space="0" w:color="auto"/>
            </w:tcBorders>
            <w:shd w:val="clear" w:color="000000" w:fill="FFFFFF"/>
            <w:vAlign w:val="center"/>
            <w:hideMark/>
          </w:tcPr>
          <w:p w14:paraId="4F68AA70"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ລັດວິສາຫະກິດລາວ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ໂທລະຄົມມະນາຄົມ</w:t>
            </w:r>
            <w:proofErr w:type="spellEnd"/>
            <w:r w:rsidRPr="0007172D">
              <w:rPr>
                <w:rFonts w:ascii="Times New Roman" w:hAnsi="Times New Roman"/>
                <w:szCs w:val="22"/>
                <w:lang w:val="fr-FR" w:eastAsia="fr-FR"/>
              </w:rPr>
              <w:br/>
              <w:t xml:space="preserve">Lao </w:t>
            </w:r>
            <w:proofErr w:type="spellStart"/>
            <w:r w:rsidRPr="0007172D">
              <w:rPr>
                <w:rFonts w:ascii="Times New Roman" w:hAnsi="Times New Roman"/>
                <w:szCs w:val="22"/>
                <w:lang w:val="fr-FR" w:eastAsia="fr-FR"/>
              </w:rPr>
              <w:t>Telecommunication</w:t>
            </w:r>
            <w:proofErr w:type="spellEnd"/>
            <w:r w:rsidRPr="0007172D">
              <w:rPr>
                <w:rFonts w:ascii="Times New Roman" w:hAnsi="Times New Roman"/>
                <w:szCs w:val="22"/>
                <w:lang w:val="fr-FR" w:eastAsia="fr-FR"/>
              </w:rPr>
              <w:t xml:space="preserve"> Enterprise </w:t>
            </w:r>
          </w:p>
        </w:tc>
        <w:tc>
          <w:tcPr>
            <w:tcW w:w="250" w:type="pct"/>
            <w:tcBorders>
              <w:top w:val="nil"/>
              <w:left w:val="nil"/>
              <w:bottom w:val="single" w:sz="4" w:space="0" w:color="auto"/>
              <w:right w:val="single" w:sz="4" w:space="0" w:color="auto"/>
            </w:tcBorders>
            <w:shd w:val="clear" w:color="auto" w:fill="auto"/>
            <w:noWrap/>
            <w:vAlign w:val="center"/>
            <w:hideMark/>
          </w:tcPr>
          <w:p w14:paraId="7D5F6679"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51%</w:t>
            </w:r>
          </w:p>
        </w:tc>
        <w:tc>
          <w:tcPr>
            <w:tcW w:w="583" w:type="pct"/>
            <w:tcBorders>
              <w:top w:val="nil"/>
              <w:left w:val="nil"/>
              <w:bottom w:val="single" w:sz="4" w:space="0" w:color="auto"/>
              <w:right w:val="single" w:sz="4" w:space="0" w:color="auto"/>
            </w:tcBorders>
            <w:shd w:val="clear" w:color="auto" w:fill="auto"/>
            <w:noWrap/>
            <w:vAlign w:val="center"/>
            <w:hideMark/>
          </w:tcPr>
          <w:p w14:paraId="4FEB1D5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1,920,155,212,860 </w:t>
            </w:r>
          </w:p>
        </w:tc>
        <w:tc>
          <w:tcPr>
            <w:tcW w:w="542" w:type="pct"/>
            <w:tcBorders>
              <w:top w:val="nil"/>
              <w:left w:val="nil"/>
              <w:bottom w:val="single" w:sz="4" w:space="0" w:color="auto"/>
              <w:right w:val="single" w:sz="4" w:space="0" w:color="auto"/>
            </w:tcBorders>
            <w:shd w:val="clear" w:color="auto" w:fill="auto"/>
            <w:noWrap/>
            <w:vAlign w:val="center"/>
            <w:hideMark/>
          </w:tcPr>
          <w:p w14:paraId="09D1E70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119,788,063,875 </w:t>
            </w:r>
          </w:p>
        </w:tc>
        <w:tc>
          <w:tcPr>
            <w:tcW w:w="624" w:type="pct"/>
            <w:tcBorders>
              <w:top w:val="nil"/>
              <w:left w:val="nil"/>
              <w:bottom w:val="single" w:sz="4" w:space="0" w:color="auto"/>
              <w:right w:val="single" w:sz="4" w:space="0" w:color="auto"/>
            </w:tcBorders>
            <w:shd w:val="clear" w:color="auto" w:fill="auto"/>
            <w:noWrap/>
            <w:vAlign w:val="center"/>
            <w:hideMark/>
          </w:tcPr>
          <w:p w14:paraId="5498CF8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1,529,313,972,081 </w:t>
            </w:r>
          </w:p>
        </w:tc>
        <w:tc>
          <w:tcPr>
            <w:tcW w:w="252" w:type="pct"/>
            <w:tcBorders>
              <w:top w:val="nil"/>
              <w:left w:val="nil"/>
              <w:bottom w:val="single" w:sz="4" w:space="0" w:color="auto"/>
              <w:right w:val="single" w:sz="4" w:space="0" w:color="auto"/>
            </w:tcBorders>
            <w:shd w:val="clear" w:color="000000" w:fill="FFFFFF"/>
            <w:noWrap/>
            <w:vAlign w:val="center"/>
            <w:hideMark/>
          </w:tcPr>
          <w:p w14:paraId="055D918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1A3F58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A100D7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4E0A58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093C1BF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A2BFCCC"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4DB0593"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42</w:t>
            </w:r>
          </w:p>
        </w:tc>
        <w:tc>
          <w:tcPr>
            <w:tcW w:w="915" w:type="pct"/>
            <w:tcBorders>
              <w:top w:val="nil"/>
              <w:left w:val="nil"/>
              <w:bottom w:val="single" w:sz="4" w:space="0" w:color="auto"/>
              <w:right w:val="single" w:sz="4" w:space="0" w:color="auto"/>
            </w:tcBorders>
            <w:shd w:val="clear" w:color="000000" w:fill="FFFFFF"/>
            <w:vAlign w:val="center"/>
            <w:hideMark/>
          </w:tcPr>
          <w:p w14:paraId="6171897B" w14:textId="77777777" w:rsidR="0007172D" w:rsidRPr="0016027E" w:rsidRDefault="0007172D" w:rsidP="00B12328">
            <w:pPr>
              <w:spacing w:before="0"/>
              <w:ind w:left="0"/>
              <w:jc w:val="left"/>
              <w:rPr>
                <w:rFonts w:ascii="Times New Roman" w:hAnsi="Times New Roman"/>
                <w:szCs w:val="22"/>
                <w:lang w:val="en-MY"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ບໍລິການອາຄານສະຫມາມບິນ</w:t>
            </w:r>
            <w:proofErr w:type="spellEnd"/>
            <w:r w:rsidRPr="0016027E">
              <w:rPr>
                <w:rFonts w:ascii="Times New Roman" w:hAnsi="Times New Roman"/>
                <w:szCs w:val="22"/>
                <w:lang w:val="en-MY" w:eastAsia="fr-FR"/>
              </w:rPr>
              <w:t xml:space="preserve"> </w:t>
            </w:r>
            <w:proofErr w:type="spellStart"/>
            <w:r w:rsidRPr="0007172D">
              <w:rPr>
                <w:rFonts w:ascii="DokChampa" w:hAnsi="DokChampa" w:cs="DokChampa"/>
                <w:szCs w:val="22"/>
                <w:lang w:val="fr-FR" w:eastAsia="fr-FR"/>
              </w:rPr>
              <w:t>ຈໍາກັດ</w:t>
            </w:r>
            <w:proofErr w:type="spellEnd"/>
            <w:r w:rsidRPr="0016027E">
              <w:rPr>
                <w:rFonts w:ascii="Times New Roman" w:hAnsi="Times New Roman"/>
                <w:szCs w:val="22"/>
                <w:lang w:val="en-MY" w:eastAsia="fr-FR"/>
              </w:rPr>
              <w:br/>
              <w:t>Airport Terminal Building Service Company</w:t>
            </w:r>
          </w:p>
        </w:tc>
        <w:tc>
          <w:tcPr>
            <w:tcW w:w="250" w:type="pct"/>
            <w:tcBorders>
              <w:top w:val="nil"/>
              <w:left w:val="nil"/>
              <w:bottom w:val="single" w:sz="4" w:space="0" w:color="auto"/>
              <w:right w:val="single" w:sz="4" w:space="0" w:color="auto"/>
            </w:tcBorders>
            <w:shd w:val="clear" w:color="auto" w:fill="auto"/>
            <w:noWrap/>
            <w:vAlign w:val="center"/>
            <w:hideMark/>
          </w:tcPr>
          <w:p w14:paraId="5BB40C8C"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51%</w:t>
            </w:r>
          </w:p>
        </w:tc>
        <w:tc>
          <w:tcPr>
            <w:tcW w:w="583" w:type="pct"/>
            <w:tcBorders>
              <w:top w:val="nil"/>
              <w:left w:val="nil"/>
              <w:bottom w:val="single" w:sz="4" w:space="0" w:color="auto"/>
              <w:right w:val="single" w:sz="4" w:space="0" w:color="auto"/>
            </w:tcBorders>
            <w:shd w:val="clear" w:color="auto" w:fill="auto"/>
            <w:noWrap/>
            <w:vAlign w:val="center"/>
            <w:hideMark/>
          </w:tcPr>
          <w:p w14:paraId="2552410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48,979,592,000 </w:t>
            </w:r>
          </w:p>
        </w:tc>
        <w:tc>
          <w:tcPr>
            <w:tcW w:w="542" w:type="pct"/>
            <w:tcBorders>
              <w:top w:val="nil"/>
              <w:left w:val="nil"/>
              <w:bottom w:val="single" w:sz="4" w:space="0" w:color="auto"/>
              <w:right w:val="single" w:sz="4" w:space="0" w:color="auto"/>
            </w:tcBorders>
            <w:shd w:val="clear" w:color="auto" w:fill="auto"/>
            <w:noWrap/>
            <w:vAlign w:val="center"/>
            <w:hideMark/>
          </w:tcPr>
          <w:p w14:paraId="5F95B88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48,979,592,000 </w:t>
            </w:r>
          </w:p>
        </w:tc>
        <w:tc>
          <w:tcPr>
            <w:tcW w:w="624" w:type="pct"/>
            <w:tcBorders>
              <w:top w:val="nil"/>
              <w:left w:val="nil"/>
              <w:bottom w:val="single" w:sz="4" w:space="0" w:color="auto"/>
              <w:right w:val="single" w:sz="4" w:space="0" w:color="auto"/>
            </w:tcBorders>
            <w:shd w:val="clear" w:color="auto" w:fill="auto"/>
            <w:noWrap/>
            <w:vAlign w:val="center"/>
            <w:hideMark/>
          </w:tcPr>
          <w:p w14:paraId="0DD41C9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1,787,047,367 </w:t>
            </w:r>
          </w:p>
        </w:tc>
        <w:tc>
          <w:tcPr>
            <w:tcW w:w="252" w:type="pct"/>
            <w:tcBorders>
              <w:top w:val="nil"/>
              <w:left w:val="nil"/>
              <w:bottom w:val="single" w:sz="4" w:space="0" w:color="auto"/>
              <w:right w:val="single" w:sz="4" w:space="0" w:color="auto"/>
            </w:tcBorders>
            <w:shd w:val="clear" w:color="000000" w:fill="FFFFFF"/>
            <w:noWrap/>
            <w:vAlign w:val="center"/>
            <w:hideMark/>
          </w:tcPr>
          <w:p w14:paraId="1D59534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06DD7C4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79F5785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5915DB6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368EAA6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29F3A9CD"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248DED9C"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43</w:t>
            </w:r>
          </w:p>
        </w:tc>
        <w:tc>
          <w:tcPr>
            <w:tcW w:w="915" w:type="pct"/>
            <w:tcBorders>
              <w:top w:val="nil"/>
              <w:left w:val="nil"/>
              <w:bottom w:val="single" w:sz="4" w:space="0" w:color="auto"/>
              <w:right w:val="single" w:sz="4" w:space="0" w:color="auto"/>
            </w:tcBorders>
            <w:shd w:val="clear" w:color="000000" w:fill="FFFFFF"/>
            <w:vAlign w:val="center"/>
            <w:hideMark/>
          </w:tcPr>
          <w:p w14:paraId="73E148CB" w14:textId="77777777" w:rsidR="0007172D" w:rsidRPr="00C63883" w:rsidRDefault="0007172D" w:rsidP="00B12328">
            <w:pPr>
              <w:spacing w:before="0"/>
              <w:ind w:left="0"/>
              <w:jc w:val="left"/>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ລາວ</w:t>
            </w:r>
            <w:proofErr w:type="spellEnd"/>
            <w:r w:rsidRPr="00C63883">
              <w:rPr>
                <w:rFonts w:ascii="Times New Roman" w:hAnsi="Times New Roman"/>
                <w:szCs w:val="22"/>
                <w:lang w:eastAsia="fr-FR"/>
              </w:rPr>
              <w:t>-</w:t>
            </w:r>
            <w:proofErr w:type="spellStart"/>
            <w:r w:rsidRPr="0007172D">
              <w:rPr>
                <w:rFonts w:ascii="DokChampa" w:hAnsi="DokChampa" w:cs="DokChampa"/>
                <w:szCs w:val="22"/>
                <w:lang w:val="fr-FR" w:eastAsia="fr-FR"/>
              </w:rPr>
              <w:t>ຍີ່ປຸ່ນບໍລິການອາຄານສະໝາມບິນຈຳກັດ</w:t>
            </w:r>
            <w:proofErr w:type="spellEnd"/>
            <w:r w:rsidRPr="00C63883">
              <w:rPr>
                <w:rFonts w:ascii="Times New Roman" w:hAnsi="Times New Roman"/>
                <w:szCs w:val="22"/>
                <w:lang w:eastAsia="fr-FR"/>
              </w:rPr>
              <w:br/>
              <w:t xml:space="preserve">Lao-Japan Company for Terminal </w:t>
            </w:r>
            <w:proofErr w:type="spellStart"/>
            <w:r w:rsidRPr="00C63883">
              <w:rPr>
                <w:rFonts w:ascii="Times New Roman" w:hAnsi="Times New Roman"/>
                <w:szCs w:val="22"/>
                <w:lang w:eastAsia="fr-FR"/>
              </w:rPr>
              <w:t>Buildding</w:t>
            </w:r>
            <w:proofErr w:type="spellEnd"/>
            <w:r w:rsidRPr="00C63883">
              <w:rPr>
                <w:rFonts w:ascii="Times New Roman" w:hAnsi="Times New Roman"/>
                <w:szCs w:val="22"/>
                <w:lang w:eastAsia="fr-FR"/>
              </w:rPr>
              <w:t xml:space="preserve"> and Airport Service </w:t>
            </w:r>
          </w:p>
        </w:tc>
        <w:tc>
          <w:tcPr>
            <w:tcW w:w="250" w:type="pct"/>
            <w:tcBorders>
              <w:top w:val="nil"/>
              <w:left w:val="nil"/>
              <w:bottom w:val="single" w:sz="4" w:space="0" w:color="auto"/>
              <w:right w:val="single" w:sz="4" w:space="0" w:color="auto"/>
            </w:tcBorders>
            <w:shd w:val="clear" w:color="auto" w:fill="auto"/>
            <w:noWrap/>
            <w:vAlign w:val="center"/>
            <w:hideMark/>
          </w:tcPr>
          <w:p w14:paraId="24B28CC2"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70%</w:t>
            </w:r>
          </w:p>
        </w:tc>
        <w:tc>
          <w:tcPr>
            <w:tcW w:w="583" w:type="pct"/>
            <w:tcBorders>
              <w:top w:val="nil"/>
              <w:left w:val="nil"/>
              <w:bottom w:val="single" w:sz="4" w:space="0" w:color="auto"/>
              <w:right w:val="single" w:sz="4" w:space="0" w:color="auto"/>
            </w:tcBorders>
            <w:shd w:val="clear" w:color="auto" w:fill="auto"/>
            <w:noWrap/>
            <w:vAlign w:val="center"/>
            <w:hideMark/>
          </w:tcPr>
          <w:p w14:paraId="70CEAF70"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12,225,000,000 </w:t>
            </w:r>
          </w:p>
        </w:tc>
        <w:tc>
          <w:tcPr>
            <w:tcW w:w="542" w:type="pct"/>
            <w:tcBorders>
              <w:top w:val="nil"/>
              <w:left w:val="nil"/>
              <w:bottom w:val="single" w:sz="4" w:space="0" w:color="auto"/>
              <w:right w:val="single" w:sz="4" w:space="0" w:color="auto"/>
            </w:tcBorders>
            <w:shd w:val="clear" w:color="auto" w:fill="auto"/>
            <w:noWrap/>
            <w:vAlign w:val="center"/>
            <w:hideMark/>
          </w:tcPr>
          <w:p w14:paraId="442D480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8,150,000,000 </w:t>
            </w:r>
          </w:p>
        </w:tc>
        <w:tc>
          <w:tcPr>
            <w:tcW w:w="624" w:type="pct"/>
            <w:tcBorders>
              <w:top w:val="nil"/>
              <w:left w:val="nil"/>
              <w:bottom w:val="single" w:sz="4" w:space="0" w:color="auto"/>
              <w:right w:val="single" w:sz="4" w:space="0" w:color="auto"/>
            </w:tcBorders>
            <w:shd w:val="clear" w:color="auto" w:fill="auto"/>
            <w:noWrap/>
            <w:vAlign w:val="center"/>
            <w:hideMark/>
          </w:tcPr>
          <w:p w14:paraId="18314DE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47,277,563,346 </w:t>
            </w:r>
          </w:p>
        </w:tc>
        <w:tc>
          <w:tcPr>
            <w:tcW w:w="252" w:type="pct"/>
            <w:tcBorders>
              <w:top w:val="nil"/>
              <w:left w:val="nil"/>
              <w:bottom w:val="single" w:sz="4" w:space="0" w:color="auto"/>
              <w:right w:val="single" w:sz="4" w:space="0" w:color="auto"/>
            </w:tcBorders>
            <w:shd w:val="clear" w:color="000000" w:fill="FFFFFF"/>
            <w:noWrap/>
            <w:vAlign w:val="center"/>
            <w:hideMark/>
          </w:tcPr>
          <w:p w14:paraId="3687299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A53F51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1EEBF7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3F33E39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4AFDE6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6B80F176"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3C5E08A"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44</w:t>
            </w:r>
          </w:p>
        </w:tc>
        <w:tc>
          <w:tcPr>
            <w:tcW w:w="915" w:type="pct"/>
            <w:tcBorders>
              <w:top w:val="nil"/>
              <w:left w:val="nil"/>
              <w:bottom w:val="single" w:sz="4" w:space="0" w:color="auto"/>
              <w:right w:val="single" w:sz="4" w:space="0" w:color="auto"/>
            </w:tcBorders>
            <w:shd w:val="clear" w:color="000000" w:fill="FFFFFF"/>
            <w:vAlign w:val="center"/>
            <w:hideMark/>
          </w:tcPr>
          <w:p w14:paraId="5943B10C"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ທະນາຄານ</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ການຄ້າຕ່າງປະເທດລາວ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ມະຫາຊົນ</w:t>
            </w:r>
            <w:proofErr w:type="spellEnd"/>
            <w:r w:rsidRPr="0007172D">
              <w:rPr>
                <w:rFonts w:ascii="Times New Roman" w:hAnsi="Times New Roman"/>
                <w:szCs w:val="22"/>
                <w:lang w:val="fr-FR" w:eastAsia="fr-FR"/>
              </w:rPr>
              <w:br/>
              <w:t xml:space="preserve">Public Banque pour le Commerce Extérieur Lao </w:t>
            </w:r>
          </w:p>
        </w:tc>
        <w:tc>
          <w:tcPr>
            <w:tcW w:w="250" w:type="pct"/>
            <w:tcBorders>
              <w:top w:val="nil"/>
              <w:left w:val="nil"/>
              <w:bottom w:val="single" w:sz="4" w:space="0" w:color="auto"/>
              <w:right w:val="single" w:sz="4" w:space="0" w:color="auto"/>
            </w:tcBorders>
            <w:shd w:val="clear" w:color="auto" w:fill="auto"/>
            <w:noWrap/>
            <w:vAlign w:val="center"/>
            <w:hideMark/>
          </w:tcPr>
          <w:p w14:paraId="14EC0BED"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51%</w:t>
            </w:r>
          </w:p>
        </w:tc>
        <w:tc>
          <w:tcPr>
            <w:tcW w:w="583" w:type="pct"/>
            <w:tcBorders>
              <w:top w:val="nil"/>
              <w:left w:val="nil"/>
              <w:bottom w:val="single" w:sz="4" w:space="0" w:color="auto"/>
              <w:right w:val="single" w:sz="4" w:space="0" w:color="auto"/>
            </w:tcBorders>
            <w:shd w:val="clear" w:color="auto" w:fill="auto"/>
            <w:noWrap/>
            <w:vAlign w:val="center"/>
            <w:hideMark/>
          </w:tcPr>
          <w:p w14:paraId="3E92528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1 ,</w:t>
            </w:r>
            <w:proofErr w:type="gramEnd"/>
            <w:r w:rsidRPr="005F673D">
              <w:rPr>
                <w:rFonts w:ascii="Times New Roman" w:hAnsi="Times New Roman"/>
                <w:sz w:val="16"/>
                <w:szCs w:val="16"/>
                <w:lang w:val="fr-FR" w:eastAsia="fr-FR"/>
              </w:rPr>
              <w:t xml:space="preserve">475,428,560,000 </w:t>
            </w:r>
          </w:p>
        </w:tc>
        <w:tc>
          <w:tcPr>
            <w:tcW w:w="542" w:type="pct"/>
            <w:tcBorders>
              <w:top w:val="nil"/>
              <w:left w:val="nil"/>
              <w:bottom w:val="single" w:sz="4" w:space="0" w:color="auto"/>
              <w:right w:val="single" w:sz="4" w:space="0" w:color="auto"/>
            </w:tcBorders>
            <w:shd w:val="clear" w:color="auto" w:fill="auto"/>
            <w:noWrap/>
            <w:vAlign w:val="center"/>
            <w:hideMark/>
          </w:tcPr>
          <w:p w14:paraId="0E74A6D7"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682,888,000,000 </w:t>
            </w:r>
          </w:p>
        </w:tc>
        <w:tc>
          <w:tcPr>
            <w:tcW w:w="624" w:type="pct"/>
            <w:tcBorders>
              <w:top w:val="nil"/>
              <w:left w:val="nil"/>
              <w:bottom w:val="single" w:sz="4" w:space="0" w:color="auto"/>
              <w:right w:val="single" w:sz="4" w:space="0" w:color="auto"/>
            </w:tcBorders>
            <w:shd w:val="clear" w:color="auto" w:fill="auto"/>
            <w:noWrap/>
            <w:vAlign w:val="center"/>
            <w:hideMark/>
          </w:tcPr>
          <w:p w14:paraId="2C31368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9,639,161,065,666 </w:t>
            </w:r>
          </w:p>
        </w:tc>
        <w:tc>
          <w:tcPr>
            <w:tcW w:w="252" w:type="pct"/>
            <w:tcBorders>
              <w:top w:val="nil"/>
              <w:left w:val="nil"/>
              <w:bottom w:val="single" w:sz="4" w:space="0" w:color="auto"/>
              <w:right w:val="single" w:sz="4" w:space="0" w:color="auto"/>
            </w:tcBorders>
            <w:shd w:val="clear" w:color="000000" w:fill="FFFFFF"/>
            <w:noWrap/>
            <w:vAlign w:val="center"/>
            <w:hideMark/>
          </w:tcPr>
          <w:p w14:paraId="7705001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15E1CE5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2B5EB3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80CC63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D1CF8C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80C3F48"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4CBC2FC8"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45</w:t>
            </w:r>
          </w:p>
        </w:tc>
        <w:tc>
          <w:tcPr>
            <w:tcW w:w="915" w:type="pct"/>
            <w:tcBorders>
              <w:top w:val="nil"/>
              <w:left w:val="nil"/>
              <w:bottom w:val="single" w:sz="4" w:space="0" w:color="auto"/>
              <w:right w:val="single" w:sz="4" w:space="0" w:color="auto"/>
            </w:tcBorders>
            <w:shd w:val="clear" w:color="000000" w:fill="FFFFFF"/>
            <w:vAlign w:val="center"/>
            <w:hideMark/>
          </w:tcPr>
          <w:p w14:paraId="6A81E57E" w14:textId="77777777" w:rsidR="0007172D" w:rsidRPr="00C63883" w:rsidRDefault="0007172D" w:rsidP="00B12328">
            <w:pPr>
              <w:spacing w:before="0"/>
              <w:ind w:left="0"/>
              <w:jc w:val="left"/>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ສະຕາໂທລະຄົມ</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ຈໍາກັດ</w:t>
            </w:r>
            <w:proofErr w:type="spellEnd"/>
            <w:r w:rsidRPr="00C63883">
              <w:rPr>
                <w:rFonts w:ascii="Times New Roman" w:hAnsi="Times New Roman"/>
                <w:szCs w:val="22"/>
                <w:lang w:eastAsia="fr-FR"/>
              </w:rPr>
              <w:br/>
              <w:t>Star Telecommunication Company</w:t>
            </w:r>
          </w:p>
        </w:tc>
        <w:tc>
          <w:tcPr>
            <w:tcW w:w="250" w:type="pct"/>
            <w:tcBorders>
              <w:top w:val="nil"/>
              <w:left w:val="nil"/>
              <w:bottom w:val="single" w:sz="4" w:space="0" w:color="auto"/>
              <w:right w:val="nil"/>
            </w:tcBorders>
            <w:shd w:val="clear" w:color="auto" w:fill="auto"/>
            <w:noWrap/>
            <w:vAlign w:val="center"/>
            <w:hideMark/>
          </w:tcPr>
          <w:p w14:paraId="144E0AD0"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51%</w:t>
            </w:r>
          </w:p>
        </w:tc>
        <w:tc>
          <w:tcPr>
            <w:tcW w:w="583" w:type="pct"/>
            <w:tcBorders>
              <w:top w:val="nil"/>
              <w:left w:val="single" w:sz="4" w:space="0" w:color="auto"/>
              <w:bottom w:val="single" w:sz="4" w:space="0" w:color="auto"/>
              <w:right w:val="nil"/>
            </w:tcBorders>
            <w:shd w:val="clear" w:color="auto" w:fill="auto"/>
            <w:noWrap/>
            <w:vAlign w:val="center"/>
            <w:hideMark/>
          </w:tcPr>
          <w:p w14:paraId="1101809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1,092,286,516,175 </w:t>
            </w:r>
          </w:p>
        </w:tc>
        <w:tc>
          <w:tcPr>
            <w:tcW w:w="542" w:type="pct"/>
            <w:tcBorders>
              <w:top w:val="nil"/>
              <w:left w:val="single" w:sz="4" w:space="0" w:color="auto"/>
              <w:bottom w:val="single" w:sz="4" w:space="0" w:color="auto"/>
              <w:right w:val="nil"/>
            </w:tcBorders>
            <w:shd w:val="clear" w:color="auto" w:fill="auto"/>
            <w:noWrap/>
            <w:vAlign w:val="center"/>
            <w:hideMark/>
          </w:tcPr>
          <w:p w14:paraId="01AEEF1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504,688,801,019 </w:t>
            </w:r>
          </w:p>
        </w:tc>
        <w:tc>
          <w:tcPr>
            <w:tcW w:w="624" w:type="pct"/>
            <w:tcBorders>
              <w:top w:val="nil"/>
              <w:left w:val="single" w:sz="4" w:space="0" w:color="auto"/>
              <w:bottom w:val="single" w:sz="4" w:space="0" w:color="auto"/>
              <w:right w:val="nil"/>
            </w:tcBorders>
            <w:shd w:val="clear" w:color="auto" w:fill="auto"/>
            <w:noWrap/>
            <w:vAlign w:val="center"/>
            <w:hideMark/>
          </w:tcPr>
          <w:p w14:paraId="2F16C46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1 ,</w:t>
            </w:r>
            <w:proofErr w:type="gramEnd"/>
            <w:r w:rsidRPr="005F673D">
              <w:rPr>
                <w:rFonts w:ascii="Times New Roman" w:hAnsi="Times New Roman"/>
                <w:sz w:val="16"/>
                <w:szCs w:val="16"/>
                <w:lang w:val="fr-FR" w:eastAsia="fr-FR"/>
              </w:rPr>
              <w:t xml:space="preserve">227,967,322,423 </w:t>
            </w:r>
          </w:p>
        </w:tc>
        <w:tc>
          <w:tcPr>
            <w:tcW w:w="252" w:type="pct"/>
            <w:tcBorders>
              <w:top w:val="nil"/>
              <w:left w:val="single" w:sz="4" w:space="0" w:color="auto"/>
              <w:bottom w:val="single" w:sz="4" w:space="0" w:color="auto"/>
              <w:right w:val="single" w:sz="4" w:space="0" w:color="auto"/>
            </w:tcBorders>
            <w:shd w:val="clear" w:color="000000" w:fill="FFFFFF"/>
            <w:noWrap/>
            <w:vAlign w:val="center"/>
            <w:hideMark/>
          </w:tcPr>
          <w:p w14:paraId="1778AF9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0BF4B8A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65CAA1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BF73DB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0707F9F1"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79669A32"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68E497DA"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46</w:t>
            </w:r>
          </w:p>
        </w:tc>
        <w:tc>
          <w:tcPr>
            <w:tcW w:w="915" w:type="pct"/>
            <w:tcBorders>
              <w:top w:val="nil"/>
              <w:left w:val="nil"/>
              <w:bottom w:val="single" w:sz="4" w:space="0" w:color="auto"/>
              <w:right w:val="single" w:sz="4" w:space="0" w:color="auto"/>
            </w:tcBorders>
            <w:shd w:val="clear" w:color="000000" w:fill="FFFFFF"/>
            <w:vAlign w:val="center"/>
            <w:hideMark/>
          </w:tcPr>
          <w:p w14:paraId="24A27936"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ອີທີແອລ</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ມະຫາຊົນ</w:t>
            </w:r>
            <w:proofErr w:type="spellEnd"/>
            <w:r w:rsidRPr="0007172D">
              <w:rPr>
                <w:rFonts w:ascii="Times New Roman" w:hAnsi="Times New Roman"/>
                <w:szCs w:val="22"/>
                <w:lang w:val="fr-FR" w:eastAsia="fr-FR"/>
              </w:rPr>
              <w:br/>
              <w:t xml:space="preserve">Public ETL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0810DF7E"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49%</w:t>
            </w:r>
          </w:p>
        </w:tc>
        <w:tc>
          <w:tcPr>
            <w:tcW w:w="583" w:type="pct"/>
            <w:tcBorders>
              <w:top w:val="nil"/>
              <w:left w:val="nil"/>
              <w:bottom w:val="single" w:sz="4" w:space="0" w:color="auto"/>
              <w:right w:val="single" w:sz="4" w:space="0" w:color="auto"/>
            </w:tcBorders>
            <w:shd w:val="clear" w:color="auto" w:fill="auto"/>
            <w:noWrap/>
            <w:vAlign w:val="center"/>
            <w:hideMark/>
          </w:tcPr>
          <w:p w14:paraId="0A5A943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230,765,349,336 </w:t>
            </w:r>
          </w:p>
        </w:tc>
        <w:tc>
          <w:tcPr>
            <w:tcW w:w="542" w:type="pct"/>
            <w:tcBorders>
              <w:top w:val="nil"/>
              <w:left w:val="nil"/>
              <w:bottom w:val="single" w:sz="4" w:space="0" w:color="auto"/>
              <w:right w:val="single" w:sz="4" w:space="0" w:color="auto"/>
            </w:tcBorders>
            <w:shd w:val="clear" w:color="auto" w:fill="auto"/>
            <w:noWrap/>
            <w:vAlign w:val="center"/>
            <w:hideMark/>
          </w:tcPr>
          <w:p w14:paraId="4FF467E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637,763,000,000 </w:t>
            </w:r>
          </w:p>
        </w:tc>
        <w:tc>
          <w:tcPr>
            <w:tcW w:w="624" w:type="pct"/>
            <w:tcBorders>
              <w:top w:val="nil"/>
              <w:left w:val="nil"/>
              <w:bottom w:val="single" w:sz="4" w:space="0" w:color="auto"/>
              <w:right w:val="single" w:sz="4" w:space="0" w:color="auto"/>
            </w:tcBorders>
            <w:shd w:val="clear" w:color="auto" w:fill="auto"/>
            <w:noWrap/>
            <w:vAlign w:val="center"/>
            <w:hideMark/>
          </w:tcPr>
          <w:p w14:paraId="6E430107"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291,352,992,358 </w:t>
            </w:r>
          </w:p>
        </w:tc>
        <w:tc>
          <w:tcPr>
            <w:tcW w:w="252" w:type="pct"/>
            <w:tcBorders>
              <w:top w:val="nil"/>
              <w:left w:val="nil"/>
              <w:bottom w:val="single" w:sz="4" w:space="0" w:color="auto"/>
              <w:right w:val="single" w:sz="4" w:space="0" w:color="auto"/>
            </w:tcBorders>
            <w:shd w:val="clear" w:color="000000" w:fill="FFFFFF"/>
            <w:noWrap/>
            <w:vAlign w:val="center"/>
            <w:hideMark/>
          </w:tcPr>
          <w:p w14:paraId="1B8B49E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499EED2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70FD8B0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49CC31F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39A4914A" w14:textId="77777777" w:rsidR="0007172D" w:rsidRPr="005F673D" w:rsidRDefault="0007172D" w:rsidP="00B12328">
            <w:pPr>
              <w:spacing w:before="0"/>
              <w:ind w:left="0"/>
              <w:jc w:val="left"/>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12F632F1"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03679F4"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lastRenderedPageBreak/>
              <w:t>47</w:t>
            </w:r>
          </w:p>
        </w:tc>
        <w:tc>
          <w:tcPr>
            <w:tcW w:w="915" w:type="pct"/>
            <w:tcBorders>
              <w:top w:val="nil"/>
              <w:left w:val="nil"/>
              <w:bottom w:val="single" w:sz="4" w:space="0" w:color="auto"/>
              <w:right w:val="single" w:sz="4" w:space="0" w:color="auto"/>
            </w:tcBorders>
            <w:shd w:val="clear" w:color="000000" w:fill="FFFFFF"/>
            <w:vAlign w:val="center"/>
            <w:hideMark/>
          </w:tcPr>
          <w:p w14:paraId="74F18757" w14:textId="77777777" w:rsidR="0007172D" w:rsidRPr="00FD2AD9"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FD2AD9">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ເບຍລາວ</w:t>
            </w:r>
            <w:proofErr w:type="spellEnd"/>
            <w:r w:rsidRPr="00FD2AD9">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FD2AD9">
              <w:rPr>
                <w:rFonts w:ascii="Times New Roman" w:hAnsi="Times New Roman"/>
                <w:szCs w:val="22"/>
                <w:lang w:val="fr-FR" w:eastAsia="fr-FR"/>
              </w:rPr>
              <w:br/>
              <w:t xml:space="preserve">Lao </w:t>
            </w:r>
            <w:proofErr w:type="spellStart"/>
            <w:r w:rsidRPr="00FD2AD9">
              <w:rPr>
                <w:rFonts w:ascii="Times New Roman" w:hAnsi="Times New Roman"/>
                <w:szCs w:val="22"/>
                <w:lang w:val="fr-FR" w:eastAsia="fr-FR"/>
              </w:rPr>
              <w:t>Brewery</w:t>
            </w:r>
            <w:proofErr w:type="spellEnd"/>
            <w:r w:rsidRPr="00FD2AD9">
              <w:rPr>
                <w:rFonts w:ascii="Times New Roman" w:hAnsi="Times New Roman"/>
                <w:szCs w:val="22"/>
                <w:lang w:val="fr-FR" w:eastAsia="fr-FR"/>
              </w:rPr>
              <w:t xml:space="preserve"> </w:t>
            </w:r>
            <w:proofErr w:type="spellStart"/>
            <w:r w:rsidRPr="00FD2AD9">
              <w:rPr>
                <w:rFonts w:ascii="Times New Roman" w:hAnsi="Times New Roman"/>
                <w:szCs w:val="22"/>
                <w:lang w:val="fr-FR" w:eastAsia="fr-FR"/>
              </w:rPr>
              <w:t>Company</w:t>
            </w:r>
            <w:proofErr w:type="spellEnd"/>
            <w:r w:rsidRPr="00FD2AD9">
              <w:rPr>
                <w:rFonts w:ascii="Times New Roman" w:hAnsi="Times New Roman"/>
                <w:szCs w:val="22"/>
                <w:lang w:val="fr-FR" w:eastAsia="fr-FR"/>
              </w:rPr>
              <w:t xml:space="preserve"> Ltd.</w:t>
            </w:r>
          </w:p>
        </w:tc>
        <w:tc>
          <w:tcPr>
            <w:tcW w:w="250" w:type="pct"/>
            <w:tcBorders>
              <w:top w:val="nil"/>
              <w:left w:val="nil"/>
              <w:bottom w:val="single" w:sz="4" w:space="0" w:color="auto"/>
              <w:right w:val="single" w:sz="4" w:space="0" w:color="auto"/>
            </w:tcBorders>
            <w:shd w:val="clear" w:color="auto" w:fill="auto"/>
            <w:noWrap/>
            <w:vAlign w:val="center"/>
            <w:hideMark/>
          </w:tcPr>
          <w:p w14:paraId="70E1FEA0"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29%</w:t>
            </w:r>
          </w:p>
        </w:tc>
        <w:tc>
          <w:tcPr>
            <w:tcW w:w="583" w:type="pct"/>
            <w:tcBorders>
              <w:top w:val="nil"/>
              <w:left w:val="nil"/>
              <w:bottom w:val="single" w:sz="4" w:space="0" w:color="auto"/>
              <w:right w:val="single" w:sz="4" w:space="0" w:color="auto"/>
            </w:tcBorders>
            <w:shd w:val="clear" w:color="auto" w:fill="auto"/>
            <w:noWrap/>
            <w:vAlign w:val="center"/>
            <w:hideMark/>
          </w:tcPr>
          <w:p w14:paraId="28F2413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1,371,887,590,447 </w:t>
            </w:r>
          </w:p>
        </w:tc>
        <w:tc>
          <w:tcPr>
            <w:tcW w:w="542" w:type="pct"/>
            <w:tcBorders>
              <w:top w:val="nil"/>
              <w:left w:val="nil"/>
              <w:bottom w:val="single" w:sz="4" w:space="0" w:color="auto"/>
              <w:right w:val="single" w:sz="4" w:space="0" w:color="auto"/>
            </w:tcBorders>
            <w:shd w:val="clear" w:color="auto" w:fill="auto"/>
            <w:noWrap/>
            <w:vAlign w:val="center"/>
            <w:hideMark/>
          </w:tcPr>
          <w:p w14:paraId="70BD26B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16,848,000,000 </w:t>
            </w:r>
          </w:p>
        </w:tc>
        <w:tc>
          <w:tcPr>
            <w:tcW w:w="624" w:type="pct"/>
            <w:tcBorders>
              <w:top w:val="nil"/>
              <w:left w:val="nil"/>
              <w:bottom w:val="single" w:sz="4" w:space="0" w:color="auto"/>
              <w:right w:val="single" w:sz="4" w:space="0" w:color="auto"/>
            </w:tcBorders>
            <w:shd w:val="clear" w:color="auto" w:fill="auto"/>
            <w:noWrap/>
            <w:vAlign w:val="center"/>
            <w:hideMark/>
          </w:tcPr>
          <w:p w14:paraId="2382E963"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3,833,524,194,400 </w:t>
            </w:r>
          </w:p>
        </w:tc>
        <w:tc>
          <w:tcPr>
            <w:tcW w:w="252" w:type="pct"/>
            <w:tcBorders>
              <w:top w:val="nil"/>
              <w:left w:val="nil"/>
              <w:bottom w:val="single" w:sz="4" w:space="0" w:color="auto"/>
              <w:right w:val="single" w:sz="4" w:space="0" w:color="auto"/>
            </w:tcBorders>
            <w:shd w:val="clear" w:color="000000" w:fill="FFFFFF"/>
            <w:noWrap/>
            <w:vAlign w:val="center"/>
            <w:hideMark/>
          </w:tcPr>
          <w:p w14:paraId="704049B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6D58C7A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1F000F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F61356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7F4B9DE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FB9DA9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A0CF0B1"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48</w:t>
            </w:r>
          </w:p>
        </w:tc>
        <w:tc>
          <w:tcPr>
            <w:tcW w:w="915" w:type="pct"/>
            <w:tcBorders>
              <w:top w:val="nil"/>
              <w:left w:val="nil"/>
              <w:bottom w:val="single" w:sz="4" w:space="0" w:color="auto"/>
              <w:right w:val="single" w:sz="4" w:space="0" w:color="auto"/>
            </w:tcBorders>
            <w:shd w:val="clear" w:color="000000" w:fill="FFFFFF"/>
            <w:vAlign w:val="center"/>
            <w:hideMark/>
          </w:tcPr>
          <w:p w14:paraId="2D7A5F10"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ຢາສູບລາວ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br/>
              <w:t xml:space="preserve">Lao Cigarettes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Ltd.</w:t>
            </w:r>
          </w:p>
        </w:tc>
        <w:tc>
          <w:tcPr>
            <w:tcW w:w="250" w:type="pct"/>
            <w:tcBorders>
              <w:top w:val="nil"/>
              <w:left w:val="nil"/>
              <w:bottom w:val="single" w:sz="4" w:space="0" w:color="auto"/>
              <w:right w:val="single" w:sz="4" w:space="0" w:color="auto"/>
            </w:tcBorders>
            <w:shd w:val="clear" w:color="auto" w:fill="auto"/>
            <w:noWrap/>
            <w:vAlign w:val="center"/>
            <w:hideMark/>
          </w:tcPr>
          <w:p w14:paraId="4A9DBB75"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47%</w:t>
            </w:r>
          </w:p>
        </w:tc>
        <w:tc>
          <w:tcPr>
            <w:tcW w:w="583" w:type="pct"/>
            <w:tcBorders>
              <w:top w:val="nil"/>
              <w:left w:val="nil"/>
              <w:bottom w:val="single" w:sz="4" w:space="0" w:color="auto"/>
              <w:right w:val="single" w:sz="4" w:space="0" w:color="auto"/>
            </w:tcBorders>
            <w:shd w:val="clear" w:color="auto" w:fill="auto"/>
            <w:noWrap/>
            <w:vAlign w:val="center"/>
            <w:hideMark/>
          </w:tcPr>
          <w:p w14:paraId="202D5EC2"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417,881,635,553 </w:t>
            </w:r>
          </w:p>
        </w:tc>
        <w:tc>
          <w:tcPr>
            <w:tcW w:w="542" w:type="pct"/>
            <w:tcBorders>
              <w:top w:val="nil"/>
              <w:left w:val="nil"/>
              <w:bottom w:val="single" w:sz="4" w:space="0" w:color="auto"/>
              <w:right w:val="single" w:sz="4" w:space="0" w:color="auto"/>
            </w:tcBorders>
            <w:shd w:val="clear" w:color="auto" w:fill="auto"/>
            <w:noWrap/>
            <w:vAlign w:val="center"/>
            <w:hideMark/>
          </w:tcPr>
          <w:p w14:paraId="0798F77F"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100,156,770,000 </w:t>
            </w:r>
          </w:p>
        </w:tc>
        <w:tc>
          <w:tcPr>
            <w:tcW w:w="624" w:type="pct"/>
            <w:tcBorders>
              <w:top w:val="nil"/>
              <w:left w:val="nil"/>
              <w:bottom w:val="single" w:sz="4" w:space="0" w:color="auto"/>
              <w:right w:val="single" w:sz="4" w:space="0" w:color="auto"/>
            </w:tcBorders>
            <w:shd w:val="clear" w:color="auto" w:fill="auto"/>
            <w:noWrap/>
            <w:vAlign w:val="center"/>
            <w:hideMark/>
          </w:tcPr>
          <w:p w14:paraId="125B6D6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610,823,825,775 </w:t>
            </w:r>
          </w:p>
        </w:tc>
        <w:tc>
          <w:tcPr>
            <w:tcW w:w="252" w:type="pct"/>
            <w:tcBorders>
              <w:top w:val="nil"/>
              <w:left w:val="nil"/>
              <w:bottom w:val="single" w:sz="4" w:space="0" w:color="auto"/>
              <w:right w:val="single" w:sz="4" w:space="0" w:color="auto"/>
            </w:tcBorders>
            <w:shd w:val="clear" w:color="000000" w:fill="FFFFFF"/>
            <w:noWrap/>
            <w:vAlign w:val="center"/>
            <w:hideMark/>
          </w:tcPr>
          <w:p w14:paraId="5880A69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A84B69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05DABB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491D57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39B7EAD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759AED26"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80345BD"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49</w:t>
            </w:r>
          </w:p>
        </w:tc>
        <w:tc>
          <w:tcPr>
            <w:tcW w:w="915" w:type="pct"/>
            <w:tcBorders>
              <w:top w:val="nil"/>
              <w:left w:val="nil"/>
              <w:bottom w:val="single" w:sz="4" w:space="0" w:color="auto"/>
              <w:right w:val="single" w:sz="4" w:space="0" w:color="auto"/>
            </w:tcBorders>
            <w:shd w:val="clear" w:color="000000" w:fill="FFFFFF"/>
            <w:vAlign w:val="center"/>
            <w:hideMark/>
          </w:tcPr>
          <w:p w14:paraId="30976C08" w14:textId="77777777" w:rsidR="0007172D" w:rsidRPr="00C63883" w:rsidRDefault="0007172D" w:rsidP="00B12328">
            <w:pPr>
              <w:spacing w:before="0"/>
              <w:ind w:left="0"/>
              <w:jc w:val="left"/>
              <w:rPr>
                <w:rFonts w:ascii="Times New Roman" w:hAnsi="Times New Roman"/>
                <w:szCs w:val="22"/>
                <w:lang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ເຄຫາ</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ການຄ້າ</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ແມ່ຂອງ</w:t>
            </w:r>
            <w:proofErr w:type="spellEnd"/>
            <w:r w:rsidRPr="00C63883">
              <w:rPr>
                <w:rFonts w:ascii="Times New Roman" w:hAnsi="Times New Roman"/>
                <w:szCs w:val="22"/>
                <w:lang w:eastAsia="fr-FR"/>
              </w:rPr>
              <w:t xml:space="preserve"> </w:t>
            </w:r>
            <w:proofErr w:type="spellStart"/>
            <w:r w:rsidRPr="0007172D">
              <w:rPr>
                <w:rFonts w:ascii="DokChampa" w:hAnsi="DokChampa" w:cs="DokChampa"/>
                <w:szCs w:val="22"/>
                <w:lang w:val="fr-FR" w:eastAsia="fr-FR"/>
              </w:rPr>
              <w:t>ຈໍາກັດ</w:t>
            </w:r>
            <w:proofErr w:type="spellEnd"/>
            <w:r w:rsidRPr="00C63883">
              <w:rPr>
                <w:rFonts w:ascii="Times New Roman" w:hAnsi="Times New Roman"/>
                <w:szCs w:val="22"/>
                <w:lang w:eastAsia="fr-FR"/>
              </w:rPr>
              <w:br/>
              <w:t xml:space="preserve">Mekong Housings Trading Company Ltd </w:t>
            </w:r>
          </w:p>
        </w:tc>
        <w:tc>
          <w:tcPr>
            <w:tcW w:w="250" w:type="pct"/>
            <w:tcBorders>
              <w:top w:val="nil"/>
              <w:left w:val="nil"/>
              <w:bottom w:val="single" w:sz="4" w:space="0" w:color="auto"/>
              <w:right w:val="single" w:sz="4" w:space="0" w:color="auto"/>
            </w:tcBorders>
            <w:shd w:val="clear" w:color="auto" w:fill="auto"/>
            <w:noWrap/>
            <w:vAlign w:val="center"/>
            <w:hideMark/>
          </w:tcPr>
          <w:p w14:paraId="3C1838DC"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30%</w:t>
            </w:r>
          </w:p>
        </w:tc>
        <w:tc>
          <w:tcPr>
            <w:tcW w:w="583" w:type="pct"/>
            <w:tcBorders>
              <w:top w:val="nil"/>
              <w:left w:val="nil"/>
              <w:bottom w:val="single" w:sz="4" w:space="0" w:color="auto"/>
              <w:right w:val="single" w:sz="4" w:space="0" w:color="auto"/>
            </w:tcBorders>
            <w:shd w:val="clear" w:color="auto" w:fill="auto"/>
            <w:noWrap/>
            <w:vAlign w:val="center"/>
            <w:hideMark/>
          </w:tcPr>
          <w:p w14:paraId="084A347B"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17,405,501,140 </w:t>
            </w:r>
          </w:p>
        </w:tc>
        <w:tc>
          <w:tcPr>
            <w:tcW w:w="542" w:type="pct"/>
            <w:tcBorders>
              <w:top w:val="nil"/>
              <w:left w:val="nil"/>
              <w:bottom w:val="single" w:sz="4" w:space="0" w:color="auto"/>
              <w:right w:val="single" w:sz="4" w:space="0" w:color="auto"/>
            </w:tcBorders>
            <w:shd w:val="clear" w:color="auto" w:fill="auto"/>
            <w:noWrap/>
            <w:vAlign w:val="center"/>
            <w:hideMark/>
          </w:tcPr>
          <w:p w14:paraId="21CBFD0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972,000,000 </w:t>
            </w:r>
          </w:p>
        </w:tc>
        <w:tc>
          <w:tcPr>
            <w:tcW w:w="624" w:type="pct"/>
            <w:tcBorders>
              <w:top w:val="nil"/>
              <w:left w:val="nil"/>
              <w:bottom w:val="single" w:sz="4" w:space="0" w:color="auto"/>
              <w:right w:val="single" w:sz="4" w:space="0" w:color="auto"/>
            </w:tcBorders>
            <w:shd w:val="clear" w:color="auto" w:fill="auto"/>
            <w:noWrap/>
            <w:vAlign w:val="center"/>
            <w:hideMark/>
          </w:tcPr>
          <w:p w14:paraId="29B6745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13,096,375,888 </w:t>
            </w:r>
          </w:p>
        </w:tc>
        <w:tc>
          <w:tcPr>
            <w:tcW w:w="252" w:type="pct"/>
            <w:tcBorders>
              <w:top w:val="nil"/>
              <w:left w:val="nil"/>
              <w:bottom w:val="single" w:sz="4" w:space="0" w:color="auto"/>
              <w:right w:val="single" w:sz="4" w:space="0" w:color="auto"/>
            </w:tcBorders>
            <w:shd w:val="clear" w:color="000000" w:fill="FFFFFF"/>
            <w:noWrap/>
            <w:vAlign w:val="center"/>
            <w:hideMark/>
          </w:tcPr>
          <w:p w14:paraId="579A316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16629A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759322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3E5E26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752A5F6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ACC9DB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388B906"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50</w:t>
            </w:r>
          </w:p>
        </w:tc>
        <w:tc>
          <w:tcPr>
            <w:tcW w:w="915" w:type="pct"/>
            <w:tcBorders>
              <w:top w:val="nil"/>
              <w:left w:val="nil"/>
              <w:bottom w:val="single" w:sz="4" w:space="0" w:color="auto"/>
              <w:right w:val="single" w:sz="4" w:space="0" w:color="auto"/>
            </w:tcBorders>
            <w:shd w:val="clear" w:color="000000" w:fill="FFFFFF"/>
            <w:vAlign w:val="center"/>
            <w:hideMark/>
          </w:tcPr>
          <w:p w14:paraId="3F2EFC83"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ໂທລະພາບໃຊ້ສາຍລາວ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ຈຳກັດ</w:t>
            </w:r>
            <w:proofErr w:type="spellEnd"/>
            <w:r w:rsidRPr="0007172D">
              <w:rPr>
                <w:rFonts w:ascii="Times New Roman" w:hAnsi="Times New Roman"/>
                <w:szCs w:val="22"/>
                <w:lang w:val="fr-FR" w:eastAsia="fr-FR"/>
              </w:rPr>
              <w:br/>
              <w:t xml:space="preserve">Lao Cable TV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Ltd. </w:t>
            </w:r>
          </w:p>
        </w:tc>
        <w:tc>
          <w:tcPr>
            <w:tcW w:w="250" w:type="pct"/>
            <w:tcBorders>
              <w:top w:val="nil"/>
              <w:left w:val="nil"/>
              <w:bottom w:val="single" w:sz="4" w:space="0" w:color="auto"/>
              <w:right w:val="single" w:sz="4" w:space="0" w:color="auto"/>
            </w:tcBorders>
            <w:shd w:val="clear" w:color="auto" w:fill="auto"/>
            <w:noWrap/>
            <w:vAlign w:val="center"/>
            <w:hideMark/>
          </w:tcPr>
          <w:p w14:paraId="089A058F"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15%</w:t>
            </w:r>
          </w:p>
        </w:tc>
        <w:tc>
          <w:tcPr>
            <w:tcW w:w="583" w:type="pct"/>
            <w:tcBorders>
              <w:top w:val="nil"/>
              <w:left w:val="nil"/>
              <w:bottom w:val="single" w:sz="4" w:space="0" w:color="auto"/>
              <w:right w:val="single" w:sz="4" w:space="0" w:color="auto"/>
            </w:tcBorders>
            <w:shd w:val="clear" w:color="auto" w:fill="auto"/>
            <w:noWrap/>
            <w:vAlign w:val="center"/>
            <w:hideMark/>
          </w:tcPr>
          <w:p w14:paraId="17D3FBD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33,975,623,132 </w:t>
            </w:r>
          </w:p>
        </w:tc>
        <w:tc>
          <w:tcPr>
            <w:tcW w:w="542" w:type="pct"/>
            <w:tcBorders>
              <w:top w:val="nil"/>
              <w:left w:val="nil"/>
              <w:bottom w:val="single" w:sz="4" w:space="0" w:color="auto"/>
              <w:right w:val="single" w:sz="4" w:space="0" w:color="auto"/>
            </w:tcBorders>
            <w:shd w:val="clear" w:color="auto" w:fill="auto"/>
            <w:noWrap/>
            <w:vAlign w:val="center"/>
            <w:hideMark/>
          </w:tcPr>
          <w:p w14:paraId="3A7240F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16,143,996,620 </w:t>
            </w:r>
          </w:p>
        </w:tc>
        <w:tc>
          <w:tcPr>
            <w:tcW w:w="624" w:type="pct"/>
            <w:tcBorders>
              <w:top w:val="nil"/>
              <w:left w:val="nil"/>
              <w:bottom w:val="nil"/>
              <w:right w:val="nil"/>
            </w:tcBorders>
            <w:shd w:val="clear" w:color="auto" w:fill="auto"/>
            <w:noWrap/>
            <w:vAlign w:val="center"/>
            <w:hideMark/>
          </w:tcPr>
          <w:p w14:paraId="4C337BA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2,073,077,890 </w:t>
            </w:r>
          </w:p>
        </w:tc>
        <w:tc>
          <w:tcPr>
            <w:tcW w:w="252" w:type="pct"/>
            <w:tcBorders>
              <w:top w:val="nil"/>
              <w:left w:val="single" w:sz="4" w:space="0" w:color="auto"/>
              <w:bottom w:val="single" w:sz="4" w:space="0" w:color="auto"/>
              <w:right w:val="single" w:sz="4" w:space="0" w:color="auto"/>
            </w:tcBorders>
            <w:shd w:val="clear" w:color="000000" w:fill="FFFFFF"/>
            <w:noWrap/>
            <w:vAlign w:val="center"/>
            <w:hideMark/>
          </w:tcPr>
          <w:p w14:paraId="6E1C994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A31152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8065E3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758B83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41A0398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730AA316"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6CAE72B"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51</w:t>
            </w:r>
          </w:p>
        </w:tc>
        <w:tc>
          <w:tcPr>
            <w:tcW w:w="915" w:type="pct"/>
            <w:tcBorders>
              <w:top w:val="nil"/>
              <w:left w:val="nil"/>
              <w:bottom w:val="single" w:sz="4" w:space="0" w:color="auto"/>
              <w:right w:val="single" w:sz="4" w:space="0" w:color="auto"/>
            </w:tcBorders>
            <w:shd w:val="clear" w:color="000000" w:fill="FFFFFF"/>
            <w:vAlign w:val="center"/>
            <w:hideMark/>
          </w:tcPr>
          <w:p w14:paraId="41134239"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ອາລິອັນສ</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ປະກັນໄພລາວ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ຈຳກັດ</w:t>
            </w:r>
            <w:proofErr w:type="spellEnd"/>
            <w:r w:rsidRPr="0007172D">
              <w:rPr>
                <w:rFonts w:ascii="Times New Roman" w:hAnsi="Times New Roman"/>
                <w:szCs w:val="22"/>
                <w:lang w:val="fr-FR" w:eastAsia="fr-FR"/>
              </w:rPr>
              <w:br/>
              <w:t xml:space="preserve">Lao </w:t>
            </w:r>
            <w:proofErr w:type="spellStart"/>
            <w:r w:rsidRPr="0007172D">
              <w:rPr>
                <w:rFonts w:ascii="Times New Roman" w:hAnsi="Times New Roman"/>
                <w:szCs w:val="22"/>
                <w:lang w:val="fr-FR" w:eastAsia="fr-FR"/>
              </w:rPr>
              <w:t>Insurance</w:t>
            </w:r>
            <w:proofErr w:type="spellEnd"/>
            <w:r w:rsidRPr="0007172D">
              <w:rPr>
                <w:rFonts w:ascii="Times New Roman" w:hAnsi="Times New Roman"/>
                <w:szCs w:val="22"/>
                <w:lang w:val="fr-FR" w:eastAsia="fr-FR"/>
              </w:rPr>
              <w:t xml:space="preserve"> Co. Ltd.</w:t>
            </w:r>
          </w:p>
        </w:tc>
        <w:tc>
          <w:tcPr>
            <w:tcW w:w="250" w:type="pct"/>
            <w:tcBorders>
              <w:top w:val="nil"/>
              <w:left w:val="nil"/>
              <w:bottom w:val="single" w:sz="4" w:space="0" w:color="auto"/>
              <w:right w:val="single" w:sz="4" w:space="0" w:color="auto"/>
            </w:tcBorders>
            <w:shd w:val="clear" w:color="auto" w:fill="auto"/>
            <w:noWrap/>
            <w:vAlign w:val="center"/>
            <w:hideMark/>
          </w:tcPr>
          <w:p w14:paraId="1AE06A3D"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49%</w:t>
            </w:r>
          </w:p>
        </w:tc>
        <w:tc>
          <w:tcPr>
            <w:tcW w:w="583" w:type="pct"/>
            <w:tcBorders>
              <w:top w:val="nil"/>
              <w:left w:val="nil"/>
              <w:bottom w:val="single" w:sz="4" w:space="0" w:color="auto"/>
              <w:right w:val="single" w:sz="4" w:space="0" w:color="auto"/>
            </w:tcBorders>
            <w:shd w:val="clear" w:color="auto" w:fill="auto"/>
            <w:noWrap/>
            <w:vAlign w:val="center"/>
            <w:hideMark/>
          </w:tcPr>
          <w:p w14:paraId="2E585E5C"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476,491,264,616 </w:t>
            </w:r>
          </w:p>
        </w:tc>
        <w:tc>
          <w:tcPr>
            <w:tcW w:w="542" w:type="pct"/>
            <w:tcBorders>
              <w:top w:val="nil"/>
              <w:left w:val="nil"/>
              <w:bottom w:val="single" w:sz="4" w:space="0" w:color="auto"/>
              <w:right w:val="single" w:sz="4" w:space="0" w:color="auto"/>
            </w:tcBorders>
            <w:shd w:val="clear" w:color="auto" w:fill="auto"/>
            <w:noWrap/>
            <w:vAlign w:val="center"/>
            <w:hideMark/>
          </w:tcPr>
          <w:p w14:paraId="0F28ABB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1,813,040,000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65153F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589,429,292,168 </w:t>
            </w:r>
          </w:p>
        </w:tc>
        <w:tc>
          <w:tcPr>
            <w:tcW w:w="252" w:type="pct"/>
            <w:tcBorders>
              <w:top w:val="nil"/>
              <w:left w:val="nil"/>
              <w:bottom w:val="single" w:sz="4" w:space="0" w:color="auto"/>
              <w:right w:val="single" w:sz="4" w:space="0" w:color="auto"/>
            </w:tcBorders>
            <w:shd w:val="clear" w:color="000000" w:fill="FFFFFF"/>
            <w:noWrap/>
            <w:vAlign w:val="center"/>
            <w:hideMark/>
          </w:tcPr>
          <w:p w14:paraId="190F109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71FB120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7EF1C0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3B1282F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503742C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32319205"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7A1F836B"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52</w:t>
            </w:r>
          </w:p>
        </w:tc>
        <w:tc>
          <w:tcPr>
            <w:tcW w:w="915" w:type="pct"/>
            <w:tcBorders>
              <w:top w:val="nil"/>
              <w:left w:val="nil"/>
              <w:bottom w:val="single" w:sz="4" w:space="0" w:color="auto"/>
              <w:right w:val="nil"/>
            </w:tcBorders>
            <w:shd w:val="clear" w:color="auto" w:fill="auto"/>
            <w:vAlign w:val="center"/>
            <w:hideMark/>
          </w:tcPr>
          <w:p w14:paraId="2601869A"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ພັດທະນາ</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ຫີນປະເສີດລາວ</w:t>
            </w:r>
            <w:r w:rsidRPr="0007172D">
              <w:rPr>
                <w:rFonts w:ascii="Times New Roman" w:hAnsi="Times New Roman"/>
                <w:szCs w:val="22"/>
                <w:lang w:val="fr-FR" w:eastAsia="fr-FR"/>
              </w:rPr>
              <w:t>-</w:t>
            </w:r>
            <w:r w:rsidRPr="0007172D">
              <w:rPr>
                <w:rFonts w:ascii="DokChampa" w:hAnsi="DokChampa" w:cs="DokChampa"/>
                <w:szCs w:val="22"/>
                <w:lang w:val="fr-FR" w:eastAsia="fr-FR"/>
              </w:rPr>
              <w:t>ຈີນ</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br/>
              <w:t xml:space="preserve">Lao-China Stone </w:t>
            </w:r>
            <w:proofErr w:type="spellStart"/>
            <w:r w:rsidRPr="0007172D">
              <w:rPr>
                <w:rFonts w:ascii="Times New Roman" w:hAnsi="Times New Roman"/>
                <w:szCs w:val="22"/>
                <w:lang w:val="fr-FR" w:eastAsia="fr-FR"/>
              </w:rPr>
              <w:t>Development</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Ltd.,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14:paraId="2395769F"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40%</w:t>
            </w:r>
          </w:p>
        </w:tc>
        <w:tc>
          <w:tcPr>
            <w:tcW w:w="583" w:type="pct"/>
            <w:tcBorders>
              <w:top w:val="nil"/>
              <w:left w:val="nil"/>
              <w:bottom w:val="single" w:sz="4" w:space="0" w:color="auto"/>
              <w:right w:val="single" w:sz="4" w:space="0" w:color="auto"/>
            </w:tcBorders>
            <w:shd w:val="clear" w:color="auto" w:fill="auto"/>
            <w:vAlign w:val="center"/>
            <w:hideMark/>
          </w:tcPr>
          <w:p w14:paraId="37F47FD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52,764,941,275 </w:t>
            </w:r>
          </w:p>
        </w:tc>
        <w:tc>
          <w:tcPr>
            <w:tcW w:w="542" w:type="pct"/>
            <w:tcBorders>
              <w:top w:val="nil"/>
              <w:left w:val="nil"/>
              <w:bottom w:val="single" w:sz="4" w:space="0" w:color="auto"/>
              <w:right w:val="single" w:sz="4" w:space="0" w:color="auto"/>
            </w:tcBorders>
            <w:shd w:val="clear" w:color="auto" w:fill="auto"/>
            <w:vAlign w:val="center"/>
            <w:hideMark/>
          </w:tcPr>
          <w:p w14:paraId="39D918EC"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80,000,000,000 </w:t>
            </w:r>
          </w:p>
        </w:tc>
        <w:tc>
          <w:tcPr>
            <w:tcW w:w="624" w:type="pct"/>
            <w:tcBorders>
              <w:top w:val="nil"/>
              <w:left w:val="nil"/>
              <w:bottom w:val="single" w:sz="4" w:space="0" w:color="auto"/>
              <w:right w:val="single" w:sz="4" w:space="0" w:color="auto"/>
            </w:tcBorders>
            <w:shd w:val="clear" w:color="auto" w:fill="auto"/>
            <w:vAlign w:val="center"/>
            <w:hideMark/>
          </w:tcPr>
          <w:p w14:paraId="589DE9F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621,000 </w:t>
            </w:r>
          </w:p>
        </w:tc>
        <w:tc>
          <w:tcPr>
            <w:tcW w:w="252" w:type="pct"/>
            <w:tcBorders>
              <w:top w:val="nil"/>
              <w:left w:val="nil"/>
              <w:bottom w:val="single" w:sz="4" w:space="0" w:color="auto"/>
              <w:right w:val="single" w:sz="4" w:space="0" w:color="auto"/>
            </w:tcBorders>
            <w:shd w:val="clear" w:color="000000" w:fill="FFFFFF"/>
            <w:noWrap/>
            <w:vAlign w:val="center"/>
            <w:hideMark/>
          </w:tcPr>
          <w:p w14:paraId="3D2515C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52C1287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573B4243"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1769F20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auto" w:fill="auto"/>
            <w:noWrap/>
            <w:vAlign w:val="center"/>
            <w:hideMark/>
          </w:tcPr>
          <w:p w14:paraId="56771A1C" w14:textId="77777777" w:rsidR="0007172D" w:rsidRPr="005F673D" w:rsidRDefault="0007172D" w:rsidP="00B12328">
            <w:pPr>
              <w:spacing w:before="0"/>
              <w:ind w:left="0"/>
              <w:jc w:val="left"/>
              <w:rPr>
                <w:rFonts w:ascii="Times New Roman" w:hAnsi="Times New Roman"/>
                <w:sz w:val="16"/>
                <w:szCs w:val="16"/>
                <w:lang w:val="fr-FR" w:eastAsia="fr-FR"/>
              </w:rPr>
            </w:pPr>
            <w:proofErr w:type="spellStart"/>
            <w:proofErr w:type="gramStart"/>
            <w:r w:rsidRPr="005F673D">
              <w:rPr>
                <w:rFonts w:ascii="Times New Roman" w:hAnsi="Times New Roman"/>
                <w:sz w:val="16"/>
                <w:szCs w:val="16"/>
                <w:lang w:val="fr-FR" w:eastAsia="fr-FR"/>
              </w:rPr>
              <w:t>newly</w:t>
            </w:r>
            <w:proofErr w:type="spellEnd"/>
            <w:proofErr w:type="gram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established</w:t>
            </w:r>
            <w:proofErr w:type="spellEnd"/>
            <w:r w:rsidRPr="005F673D">
              <w:rPr>
                <w:rFonts w:ascii="Times New Roman" w:hAnsi="Times New Roman"/>
                <w:sz w:val="16"/>
                <w:szCs w:val="16"/>
                <w:lang w:val="fr-FR" w:eastAsia="fr-FR"/>
              </w:rPr>
              <w:t xml:space="preserve"> </w:t>
            </w:r>
            <w:proofErr w:type="spellStart"/>
            <w:r w:rsidRPr="005F673D">
              <w:rPr>
                <w:rFonts w:ascii="Times New Roman" w:hAnsi="Times New Roman"/>
                <w:sz w:val="16"/>
                <w:szCs w:val="16"/>
                <w:lang w:val="fr-FR" w:eastAsia="fr-FR"/>
              </w:rPr>
              <w:t>in</w:t>
            </w:r>
            <w:proofErr w:type="spellEnd"/>
            <w:r w:rsidRPr="005F673D">
              <w:rPr>
                <w:rFonts w:ascii="Times New Roman" w:hAnsi="Times New Roman"/>
                <w:sz w:val="16"/>
                <w:szCs w:val="16"/>
                <w:lang w:val="fr-FR" w:eastAsia="fr-FR"/>
              </w:rPr>
              <w:t xml:space="preserve"> 2016-2017</w:t>
            </w:r>
          </w:p>
        </w:tc>
      </w:tr>
      <w:tr w:rsidR="00B12328" w:rsidRPr="005F673D" w14:paraId="0346F8C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2BB883C"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53</w:t>
            </w:r>
          </w:p>
        </w:tc>
        <w:tc>
          <w:tcPr>
            <w:tcW w:w="915" w:type="pct"/>
            <w:tcBorders>
              <w:top w:val="nil"/>
              <w:left w:val="nil"/>
              <w:bottom w:val="single" w:sz="4" w:space="0" w:color="auto"/>
              <w:right w:val="single" w:sz="4" w:space="0" w:color="auto"/>
            </w:tcBorders>
            <w:shd w:val="clear" w:color="000000" w:fill="FFFFFF"/>
            <w:vAlign w:val="center"/>
            <w:hideMark/>
          </w:tcPr>
          <w:p w14:paraId="5F662509"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ເອັມເອັສໄອຈີ</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ປະກັນໄພ</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br/>
              <w:t xml:space="preserve">MSIG </w:t>
            </w:r>
            <w:proofErr w:type="spellStart"/>
            <w:r w:rsidRPr="0007172D">
              <w:rPr>
                <w:rFonts w:ascii="Times New Roman" w:hAnsi="Times New Roman"/>
                <w:szCs w:val="22"/>
                <w:lang w:val="fr-FR" w:eastAsia="fr-FR"/>
              </w:rPr>
              <w:t>Insurance</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(Laos)</w:t>
            </w:r>
          </w:p>
        </w:tc>
        <w:tc>
          <w:tcPr>
            <w:tcW w:w="250" w:type="pct"/>
            <w:tcBorders>
              <w:top w:val="nil"/>
              <w:left w:val="nil"/>
              <w:bottom w:val="single" w:sz="4" w:space="0" w:color="auto"/>
              <w:right w:val="single" w:sz="4" w:space="0" w:color="auto"/>
            </w:tcBorders>
            <w:shd w:val="clear" w:color="auto" w:fill="auto"/>
            <w:noWrap/>
            <w:vAlign w:val="center"/>
            <w:hideMark/>
          </w:tcPr>
          <w:p w14:paraId="6CA7AFCC"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49%</w:t>
            </w:r>
          </w:p>
        </w:tc>
        <w:tc>
          <w:tcPr>
            <w:tcW w:w="583" w:type="pct"/>
            <w:tcBorders>
              <w:top w:val="nil"/>
              <w:left w:val="nil"/>
              <w:bottom w:val="single" w:sz="4" w:space="0" w:color="auto"/>
              <w:right w:val="single" w:sz="4" w:space="0" w:color="auto"/>
            </w:tcBorders>
            <w:shd w:val="clear" w:color="auto" w:fill="auto"/>
            <w:noWrap/>
            <w:vAlign w:val="center"/>
            <w:hideMark/>
          </w:tcPr>
          <w:p w14:paraId="781003A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6,428,003,023 </w:t>
            </w:r>
          </w:p>
        </w:tc>
        <w:tc>
          <w:tcPr>
            <w:tcW w:w="542" w:type="pct"/>
            <w:tcBorders>
              <w:top w:val="nil"/>
              <w:left w:val="nil"/>
              <w:bottom w:val="single" w:sz="4" w:space="0" w:color="auto"/>
              <w:right w:val="single" w:sz="4" w:space="0" w:color="auto"/>
            </w:tcBorders>
            <w:shd w:val="clear" w:color="auto" w:fill="auto"/>
            <w:noWrap/>
            <w:vAlign w:val="center"/>
            <w:hideMark/>
          </w:tcPr>
          <w:p w14:paraId="196999F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10,325,056,000 </w:t>
            </w:r>
          </w:p>
        </w:tc>
        <w:tc>
          <w:tcPr>
            <w:tcW w:w="624" w:type="pct"/>
            <w:tcBorders>
              <w:top w:val="nil"/>
              <w:left w:val="nil"/>
              <w:bottom w:val="single" w:sz="4" w:space="0" w:color="auto"/>
              <w:right w:val="single" w:sz="4" w:space="0" w:color="auto"/>
            </w:tcBorders>
            <w:shd w:val="clear" w:color="auto" w:fill="auto"/>
            <w:noWrap/>
            <w:vAlign w:val="center"/>
            <w:hideMark/>
          </w:tcPr>
          <w:p w14:paraId="0343EF9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31,041,372,623 </w:t>
            </w:r>
          </w:p>
        </w:tc>
        <w:tc>
          <w:tcPr>
            <w:tcW w:w="252" w:type="pct"/>
            <w:tcBorders>
              <w:top w:val="nil"/>
              <w:left w:val="nil"/>
              <w:bottom w:val="single" w:sz="4" w:space="0" w:color="auto"/>
              <w:right w:val="single" w:sz="4" w:space="0" w:color="auto"/>
            </w:tcBorders>
            <w:shd w:val="clear" w:color="000000" w:fill="FFFFFF"/>
            <w:noWrap/>
            <w:vAlign w:val="center"/>
            <w:hideMark/>
          </w:tcPr>
          <w:p w14:paraId="604B7EC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4B4B42A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147FD0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0" w:type="pct"/>
            <w:tcBorders>
              <w:top w:val="nil"/>
              <w:left w:val="nil"/>
              <w:bottom w:val="single" w:sz="4" w:space="0" w:color="auto"/>
              <w:right w:val="single" w:sz="4" w:space="0" w:color="auto"/>
            </w:tcBorders>
            <w:shd w:val="clear" w:color="000000" w:fill="FFFFFF"/>
            <w:noWrap/>
            <w:vAlign w:val="center"/>
            <w:hideMark/>
          </w:tcPr>
          <w:p w14:paraId="61C27D2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noWrap/>
            <w:vAlign w:val="center"/>
            <w:hideMark/>
          </w:tcPr>
          <w:p w14:paraId="7D49622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F407720"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4C22A14"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54</w:t>
            </w:r>
          </w:p>
        </w:tc>
        <w:tc>
          <w:tcPr>
            <w:tcW w:w="915" w:type="pct"/>
            <w:tcBorders>
              <w:top w:val="nil"/>
              <w:left w:val="nil"/>
              <w:bottom w:val="single" w:sz="4" w:space="0" w:color="auto"/>
              <w:right w:val="single" w:sz="4" w:space="0" w:color="auto"/>
            </w:tcBorders>
            <w:shd w:val="clear" w:color="000000" w:fill="FFFFFF"/>
            <w:vAlign w:val="center"/>
            <w:hideMark/>
          </w:tcPr>
          <w:p w14:paraId="37D527EC" w14:textId="77777777" w:rsidR="0007172D" w:rsidRPr="0007172D" w:rsidRDefault="0007172D" w:rsidP="00B12328">
            <w:pPr>
              <w:spacing w:before="0"/>
              <w:ind w:left="0"/>
              <w:jc w:val="left"/>
              <w:rPr>
                <w:rFonts w:ascii="Times New Roman" w:hAnsi="Times New Roman"/>
                <w:szCs w:val="22"/>
                <w:lang w:val="fr-FR" w:eastAsia="fr-FR"/>
              </w:rPr>
            </w:pPr>
            <w:proofErr w:type="spellStart"/>
            <w:r w:rsidRPr="0007172D">
              <w:rPr>
                <w:rFonts w:ascii="DokChampa" w:hAnsi="DokChampa" w:cs="DokChampa"/>
                <w:szCs w:val="22"/>
                <w:lang w:val="fr-FR" w:eastAsia="fr-FR"/>
              </w:rPr>
              <w:t>ບໍລິສັດ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ລ້ານຊ້າງມິນິໂລນ</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Lanexang</w:t>
            </w:r>
            <w:proofErr w:type="spellEnd"/>
            <w:r w:rsidRPr="0007172D">
              <w:rPr>
                <w:rFonts w:ascii="Times New Roman" w:hAnsi="Times New Roman"/>
                <w:szCs w:val="22"/>
                <w:lang w:val="fr-FR" w:eastAsia="fr-FR"/>
              </w:rPr>
              <w:t xml:space="preserve"> </w:t>
            </w:r>
            <w:proofErr w:type="spellStart"/>
            <w:proofErr w:type="gramStart"/>
            <w:r w:rsidRPr="0007172D">
              <w:rPr>
                <w:rFonts w:ascii="Times New Roman" w:hAnsi="Times New Roman"/>
                <w:szCs w:val="22"/>
                <w:lang w:val="fr-FR" w:eastAsia="fr-FR"/>
              </w:rPr>
              <w:t>Minerals</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proofErr w:type="gramEnd"/>
            <w:r w:rsidRPr="0007172D">
              <w:rPr>
                <w:rFonts w:ascii="Times New Roman" w:hAnsi="Times New Roman"/>
                <w:szCs w:val="22"/>
                <w:lang w:val="fr-FR" w:eastAsia="fr-FR"/>
              </w:rPr>
              <w:t xml:space="preserve"> Ltd.</w:t>
            </w:r>
          </w:p>
        </w:tc>
        <w:tc>
          <w:tcPr>
            <w:tcW w:w="250" w:type="pct"/>
            <w:tcBorders>
              <w:top w:val="nil"/>
              <w:left w:val="nil"/>
              <w:bottom w:val="single" w:sz="4" w:space="0" w:color="auto"/>
              <w:right w:val="single" w:sz="4" w:space="0" w:color="auto"/>
            </w:tcBorders>
            <w:shd w:val="clear" w:color="auto" w:fill="auto"/>
            <w:noWrap/>
            <w:vAlign w:val="center"/>
            <w:hideMark/>
          </w:tcPr>
          <w:p w14:paraId="07694D5F"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w:t>
            </w:r>
          </w:p>
        </w:tc>
        <w:tc>
          <w:tcPr>
            <w:tcW w:w="583" w:type="pct"/>
            <w:tcBorders>
              <w:top w:val="nil"/>
              <w:left w:val="nil"/>
              <w:bottom w:val="single" w:sz="4" w:space="0" w:color="auto"/>
              <w:right w:val="single" w:sz="4" w:space="0" w:color="auto"/>
            </w:tcBorders>
            <w:shd w:val="clear" w:color="auto" w:fill="auto"/>
            <w:noWrap/>
            <w:vAlign w:val="center"/>
            <w:hideMark/>
          </w:tcPr>
          <w:p w14:paraId="6DC9F7AC"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4,850,571,600,000 </w:t>
            </w:r>
          </w:p>
        </w:tc>
        <w:tc>
          <w:tcPr>
            <w:tcW w:w="542" w:type="pct"/>
            <w:tcBorders>
              <w:top w:val="nil"/>
              <w:left w:val="nil"/>
              <w:bottom w:val="single" w:sz="4" w:space="0" w:color="auto"/>
              <w:right w:val="single" w:sz="4" w:space="0" w:color="auto"/>
            </w:tcBorders>
            <w:shd w:val="clear" w:color="auto" w:fill="auto"/>
            <w:noWrap/>
            <w:vAlign w:val="center"/>
            <w:hideMark/>
          </w:tcPr>
          <w:p w14:paraId="782F6A3B"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40,000,000,000 </w:t>
            </w:r>
          </w:p>
        </w:tc>
        <w:tc>
          <w:tcPr>
            <w:tcW w:w="624" w:type="pct"/>
            <w:tcBorders>
              <w:top w:val="nil"/>
              <w:left w:val="nil"/>
              <w:bottom w:val="single" w:sz="4" w:space="0" w:color="auto"/>
              <w:right w:val="single" w:sz="4" w:space="0" w:color="auto"/>
            </w:tcBorders>
            <w:shd w:val="clear" w:color="auto" w:fill="auto"/>
            <w:noWrap/>
            <w:vAlign w:val="center"/>
            <w:hideMark/>
          </w:tcPr>
          <w:p w14:paraId="4E0B573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3,286,956,729,597 </w:t>
            </w:r>
          </w:p>
        </w:tc>
        <w:tc>
          <w:tcPr>
            <w:tcW w:w="252" w:type="pct"/>
            <w:tcBorders>
              <w:top w:val="nil"/>
              <w:left w:val="nil"/>
              <w:bottom w:val="single" w:sz="4" w:space="0" w:color="auto"/>
              <w:right w:val="single" w:sz="4" w:space="0" w:color="auto"/>
            </w:tcBorders>
            <w:shd w:val="clear" w:color="000000" w:fill="FFFFFF"/>
            <w:noWrap/>
            <w:vAlign w:val="center"/>
            <w:hideMark/>
          </w:tcPr>
          <w:p w14:paraId="241E981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458" w:type="pct"/>
            <w:tcBorders>
              <w:top w:val="nil"/>
              <w:left w:val="nil"/>
              <w:bottom w:val="single" w:sz="4" w:space="0" w:color="auto"/>
              <w:right w:val="single" w:sz="4" w:space="0" w:color="auto"/>
            </w:tcBorders>
            <w:shd w:val="clear" w:color="auto" w:fill="auto"/>
            <w:noWrap/>
            <w:vAlign w:val="center"/>
            <w:hideMark/>
          </w:tcPr>
          <w:p w14:paraId="44BDE83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4482B73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5BA762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332" w:type="pct"/>
            <w:tcBorders>
              <w:top w:val="nil"/>
              <w:left w:val="nil"/>
              <w:bottom w:val="single" w:sz="4" w:space="0" w:color="auto"/>
              <w:right w:val="single" w:sz="4" w:space="0" w:color="auto"/>
            </w:tcBorders>
            <w:shd w:val="clear" w:color="000000" w:fill="FFFFFF"/>
            <w:noWrap/>
            <w:vAlign w:val="center"/>
            <w:hideMark/>
          </w:tcPr>
          <w:p w14:paraId="3D541F4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B12328" w:rsidRPr="005F673D" w14:paraId="5432D784"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4726F764"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55</w:t>
            </w:r>
          </w:p>
        </w:tc>
        <w:tc>
          <w:tcPr>
            <w:tcW w:w="915" w:type="pct"/>
            <w:tcBorders>
              <w:top w:val="nil"/>
              <w:left w:val="nil"/>
              <w:bottom w:val="single" w:sz="4" w:space="0" w:color="auto"/>
              <w:right w:val="single" w:sz="4" w:space="0" w:color="auto"/>
            </w:tcBorders>
            <w:shd w:val="clear" w:color="000000" w:fill="FFFFFF"/>
            <w:vAlign w:val="center"/>
            <w:hideMark/>
          </w:tcPr>
          <w:p w14:paraId="3CED9F54"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ທ່ອງທຽວລາວ</w:t>
            </w:r>
            <w:r w:rsidRPr="0007172D">
              <w:rPr>
                <w:rFonts w:ascii="Times New Roman" w:hAnsi="Times New Roman"/>
                <w:szCs w:val="22"/>
                <w:lang w:val="fr-FR" w:eastAsia="fr-FR"/>
              </w:rPr>
              <w:t>-</w:t>
            </w:r>
            <w:r w:rsidRPr="0007172D">
              <w:rPr>
                <w:rFonts w:ascii="DokChampa" w:hAnsi="DokChampa" w:cs="DokChampa"/>
                <w:szCs w:val="22"/>
                <w:lang w:val="fr-FR" w:eastAsia="fr-FR"/>
              </w:rPr>
              <w:t>ອິນເຕີ</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t xml:space="preserve"> </w:t>
            </w:r>
            <w:r w:rsidRPr="0007172D">
              <w:rPr>
                <w:rFonts w:ascii="Times New Roman" w:hAnsi="Times New Roman"/>
                <w:szCs w:val="22"/>
                <w:lang w:val="fr-FR" w:eastAsia="fr-FR"/>
              </w:rPr>
              <w:br/>
              <w:t xml:space="preserve">Lao-Inter </w:t>
            </w:r>
            <w:proofErr w:type="spellStart"/>
            <w:r w:rsidRPr="0007172D">
              <w:rPr>
                <w:rFonts w:ascii="Times New Roman" w:hAnsi="Times New Roman"/>
                <w:szCs w:val="22"/>
                <w:lang w:val="fr-FR" w:eastAsia="fr-FR"/>
              </w:rPr>
              <w:t>Tourism</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Ltd</w:t>
            </w:r>
          </w:p>
        </w:tc>
        <w:tc>
          <w:tcPr>
            <w:tcW w:w="250" w:type="pct"/>
            <w:tcBorders>
              <w:top w:val="nil"/>
              <w:left w:val="nil"/>
              <w:bottom w:val="single" w:sz="4" w:space="0" w:color="auto"/>
              <w:right w:val="single" w:sz="4" w:space="0" w:color="auto"/>
            </w:tcBorders>
            <w:shd w:val="clear" w:color="auto" w:fill="auto"/>
            <w:noWrap/>
            <w:vAlign w:val="center"/>
            <w:hideMark/>
          </w:tcPr>
          <w:p w14:paraId="030637DB"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49%</w:t>
            </w:r>
          </w:p>
        </w:tc>
        <w:tc>
          <w:tcPr>
            <w:tcW w:w="583" w:type="pct"/>
            <w:tcBorders>
              <w:top w:val="nil"/>
              <w:left w:val="nil"/>
              <w:bottom w:val="single" w:sz="4" w:space="0" w:color="auto"/>
              <w:right w:val="single" w:sz="4" w:space="0" w:color="auto"/>
            </w:tcBorders>
            <w:shd w:val="clear" w:color="auto" w:fill="auto"/>
            <w:noWrap/>
            <w:vAlign w:val="center"/>
            <w:hideMark/>
          </w:tcPr>
          <w:p w14:paraId="209973F9"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3A02DFC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nil"/>
              <w:left w:val="nil"/>
              <w:bottom w:val="nil"/>
              <w:right w:val="nil"/>
            </w:tcBorders>
            <w:shd w:val="clear" w:color="auto" w:fill="auto"/>
            <w:noWrap/>
            <w:vAlign w:val="center"/>
            <w:hideMark/>
          </w:tcPr>
          <w:p w14:paraId="1B4F378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single" w:sz="4" w:space="0" w:color="auto"/>
              <w:bottom w:val="single" w:sz="4" w:space="0" w:color="auto"/>
              <w:right w:val="single" w:sz="4" w:space="0" w:color="auto"/>
            </w:tcBorders>
            <w:shd w:val="clear" w:color="000000" w:fill="FFFFFF"/>
            <w:noWrap/>
            <w:vAlign w:val="center"/>
            <w:hideMark/>
          </w:tcPr>
          <w:p w14:paraId="4912CB6D"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7112FF1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00D033A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4E5A468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7850F0CD"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5FEA18C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D82C449"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lastRenderedPageBreak/>
              <w:t>56</w:t>
            </w:r>
          </w:p>
        </w:tc>
        <w:tc>
          <w:tcPr>
            <w:tcW w:w="915" w:type="pct"/>
            <w:tcBorders>
              <w:top w:val="nil"/>
              <w:left w:val="nil"/>
              <w:bottom w:val="single" w:sz="4" w:space="0" w:color="auto"/>
              <w:right w:val="single" w:sz="4" w:space="0" w:color="auto"/>
            </w:tcBorders>
            <w:shd w:val="clear" w:color="000000" w:fill="FFFFFF"/>
            <w:vAlign w:val="center"/>
            <w:hideMark/>
          </w:tcPr>
          <w:p w14:paraId="5CB0FC7C"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ເປໂຕຣລາວ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br/>
              <w:t xml:space="preserve">Lao Petro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0CD30455"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20%</w:t>
            </w:r>
          </w:p>
        </w:tc>
        <w:tc>
          <w:tcPr>
            <w:tcW w:w="583" w:type="pct"/>
            <w:tcBorders>
              <w:top w:val="nil"/>
              <w:left w:val="nil"/>
              <w:bottom w:val="single" w:sz="4" w:space="0" w:color="auto"/>
              <w:right w:val="single" w:sz="4" w:space="0" w:color="auto"/>
            </w:tcBorders>
            <w:shd w:val="clear" w:color="auto" w:fill="auto"/>
            <w:noWrap/>
            <w:vAlign w:val="center"/>
            <w:hideMark/>
          </w:tcPr>
          <w:p w14:paraId="1659D7D8"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0FBA3E55"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6F5F39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 </w:t>
            </w:r>
          </w:p>
        </w:tc>
        <w:tc>
          <w:tcPr>
            <w:tcW w:w="252" w:type="pct"/>
            <w:tcBorders>
              <w:top w:val="nil"/>
              <w:left w:val="nil"/>
              <w:bottom w:val="single" w:sz="4" w:space="0" w:color="auto"/>
              <w:right w:val="single" w:sz="4" w:space="0" w:color="auto"/>
            </w:tcBorders>
            <w:shd w:val="clear" w:color="000000" w:fill="FFFFFF"/>
            <w:noWrap/>
            <w:vAlign w:val="center"/>
            <w:hideMark/>
          </w:tcPr>
          <w:p w14:paraId="548E7784"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788BDB7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86E6BBF"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2F28553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395A7FEA"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3F46662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2C5BCA0"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57</w:t>
            </w:r>
          </w:p>
        </w:tc>
        <w:tc>
          <w:tcPr>
            <w:tcW w:w="915" w:type="pct"/>
            <w:tcBorders>
              <w:top w:val="nil"/>
              <w:left w:val="nil"/>
              <w:bottom w:val="single" w:sz="4" w:space="0" w:color="auto"/>
              <w:right w:val="single" w:sz="4" w:space="0" w:color="auto"/>
            </w:tcBorders>
            <w:shd w:val="clear" w:color="000000" w:fill="FFFFFF"/>
            <w:vAlign w:val="center"/>
            <w:hideMark/>
          </w:tcPr>
          <w:p w14:paraId="66E2054A"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ພູເບັ້ຍ</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ມາຍນິງ</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t xml:space="preserve"> </w:t>
            </w:r>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Phoubia</w:t>
            </w:r>
            <w:proofErr w:type="spellEnd"/>
            <w:r w:rsidRPr="0007172D">
              <w:rPr>
                <w:rFonts w:ascii="Times New Roman" w:hAnsi="Times New Roman"/>
                <w:szCs w:val="22"/>
                <w:lang w:val="fr-FR" w:eastAsia="fr-FR"/>
              </w:rPr>
              <w:t xml:space="preserve"> Mining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14:paraId="07F1C672"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10%</w:t>
            </w:r>
          </w:p>
        </w:tc>
        <w:tc>
          <w:tcPr>
            <w:tcW w:w="583" w:type="pct"/>
            <w:tcBorders>
              <w:top w:val="nil"/>
              <w:left w:val="nil"/>
              <w:bottom w:val="single" w:sz="4" w:space="0" w:color="auto"/>
              <w:right w:val="single" w:sz="4" w:space="0" w:color="auto"/>
            </w:tcBorders>
            <w:shd w:val="clear" w:color="auto" w:fill="auto"/>
            <w:noWrap/>
            <w:vAlign w:val="center"/>
            <w:hideMark/>
          </w:tcPr>
          <w:p w14:paraId="6156BFBB"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2,703,237,300,000 </w:t>
            </w:r>
          </w:p>
        </w:tc>
        <w:tc>
          <w:tcPr>
            <w:tcW w:w="542" w:type="pct"/>
            <w:tcBorders>
              <w:top w:val="nil"/>
              <w:left w:val="nil"/>
              <w:bottom w:val="single" w:sz="4" w:space="0" w:color="auto"/>
              <w:right w:val="single" w:sz="4" w:space="0" w:color="auto"/>
            </w:tcBorders>
            <w:shd w:val="clear" w:color="auto" w:fill="auto"/>
            <w:noWrap/>
            <w:vAlign w:val="center"/>
            <w:hideMark/>
          </w:tcPr>
          <w:p w14:paraId="58064B3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2,703,237,300,000 </w:t>
            </w:r>
          </w:p>
        </w:tc>
        <w:tc>
          <w:tcPr>
            <w:tcW w:w="624" w:type="pct"/>
            <w:tcBorders>
              <w:top w:val="nil"/>
              <w:left w:val="nil"/>
              <w:bottom w:val="single" w:sz="4" w:space="0" w:color="auto"/>
              <w:right w:val="single" w:sz="4" w:space="0" w:color="auto"/>
            </w:tcBorders>
            <w:shd w:val="clear" w:color="auto" w:fill="auto"/>
            <w:noWrap/>
            <w:vAlign w:val="center"/>
            <w:hideMark/>
          </w:tcPr>
          <w:p w14:paraId="048148F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5,016,790,800,000 </w:t>
            </w:r>
          </w:p>
        </w:tc>
        <w:tc>
          <w:tcPr>
            <w:tcW w:w="252" w:type="pct"/>
            <w:tcBorders>
              <w:top w:val="nil"/>
              <w:left w:val="nil"/>
              <w:bottom w:val="single" w:sz="4" w:space="0" w:color="auto"/>
              <w:right w:val="single" w:sz="4" w:space="0" w:color="auto"/>
            </w:tcBorders>
            <w:shd w:val="clear" w:color="000000" w:fill="FFFFFF"/>
            <w:noWrap/>
            <w:vAlign w:val="center"/>
            <w:hideMark/>
          </w:tcPr>
          <w:p w14:paraId="6ED9E5FA"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3858A06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3B0D8D1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11EB969C"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15FDA8EE"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5AAF5E75"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ACA197A"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58</w:t>
            </w:r>
          </w:p>
        </w:tc>
        <w:tc>
          <w:tcPr>
            <w:tcW w:w="915" w:type="pct"/>
            <w:tcBorders>
              <w:top w:val="nil"/>
              <w:left w:val="nil"/>
              <w:bottom w:val="single" w:sz="4" w:space="0" w:color="auto"/>
              <w:right w:val="single" w:sz="4" w:space="0" w:color="auto"/>
            </w:tcBorders>
            <w:shd w:val="clear" w:color="000000" w:fill="FFFFFF"/>
            <w:vAlign w:val="center"/>
            <w:hideMark/>
          </w:tcPr>
          <w:p w14:paraId="064003FD" w14:textId="77777777" w:rsidR="0007172D" w:rsidRPr="0007172D" w:rsidRDefault="0007172D" w:rsidP="00B12328">
            <w:pPr>
              <w:spacing w:before="0"/>
              <w:ind w:left="0"/>
              <w:jc w:val="left"/>
              <w:rPr>
                <w:rFonts w:ascii="Times New Roman" w:hAnsi="Times New Roman"/>
                <w:szCs w:val="22"/>
                <w:lang w:val="fr-FR" w:eastAsia="fr-FR"/>
              </w:rPr>
            </w:pPr>
            <w:proofErr w:type="spellStart"/>
            <w:r w:rsidRPr="0007172D">
              <w:rPr>
                <w:rFonts w:ascii="DokChampa" w:hAnsi="DokChampa" w:cs="DokChampa"/>
                <w:szCs w:val="22"/>
                <w:lang w:val="fr-FR" w:eastAsia="fr-FR"/>
              </w:rPr>
              <w:t>ບໍລິສັດ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ໂອຈິລາວປູກຕົ້ນໄມ</w:t>
            </w:r>
            <w:proofErr w:type="spellEnd"/>
            <w:r w:rsidRPr="0007172D">
              <w:rPr>
                <w:rFonts w:ascii="DokChampa" w:hAnsi="DokChampa" w:cs="DokChampa"/>
                <w:szCs w:val="22"/>
                <w:lang w:val="fr-FR" w:eastAsia="fr-FR"/>
              </w:rPr>
              <w:t>້</w:t>
            </w:r>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ຈຳກັດ</w:t>
            </w:r>
            <w:proofErr w:type="spellEnd"/>
            <w:r w:rsidRPr="0007172D">
              <w:rPr>
                <w:rFonts w:ascii="Times New Roman" w:hAnsi="Times New Roman"/>
                <w:szCs w:val="22"/>
                <w:lang w:val="fr-FR" w:eastAsia="fr-FR"/>
              </w:rPr>
              <w:br/>
            </w:r>
            <w:proofErr w:type="spellStart"/>
            <w:r w:rsidRPr="0007172D">
              <w:rPr>
                <w:rFonts w:ascii="Times New Roman" w:hAnsi="Times New Roman"/>
                <w:szCs w:val="22"/>
                <w:lang w:val="fr-FR" w:eastAsia="fr-FR"/>
              </w:rPr>
              <w:t>Oji</w:t>
            </w:r>
            <w:proofErr w:type="spellEnd"/>
            <w:r w:rsidRPr="0007172D">
              <w:rPr>
                <w:rFonts w:ascii="Times New Roman" w:hAnsi="Times New Roman"/>
                <w:szCs w:val="22"/>
                <w:lang w:val="fr-FR" w:eastAsia="fr-FR"/>
              </w:rPr>
              <w:t>-</w:t>
            </w:r>
            <w:proofErr w:type="gramStart"/>
            <w:r w:rsidRPr="0007172D">
              <w:rPr>
                <w:rFonts w:ascii="Times New Roman" w:hAnsi="Times New Roman"/>
                <w:szCs w:val="22"/>
                <w:lang w:val="fr-FR" w:eastAsia="fr-FR"/>
              </w:rPr>
              <w:t xml:space="preserve">Lao  </w:t>
            </w:r>
            <w:proofErr w:type="spellStart"/>
            <w:r w:rsidRPr="0007172D">
              <w:rPr>
                <w:rFonts w:ascii="Times New Roman" w:hAnsi="Times New Roman"/>
                <w:szCs w:val="22"/>
                <w:lang w:val="fr-FR" w:eastAsia="fr-FR"/>
              </w:rPr>
              <w:t>Reforestration</w:t>
            </w:r>
            <w:proofErr w:type="spellEnd"/>
            <w:proofErr w:type="gram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p>
        </w:tc>
        <w:tc>
          <w:tcPr>
            <w:tcW w:w="250" w:type="pct"/>
            <w:tcBorders>
              <w:top w:val="nil"/>
              <w:left w:val="nil"/>
              <w:bottom w:val="single" w:sz="4" w:space="0" w:color="auto"/>
              <w:right w:val="single" w:sz="4" w:space="0" w:color="auto"/>
            </w:tcBorders>
            <w:shd w:val="clear" w:color="auto" w:fill="auto"/>
            <w:noWrap/>
            <w:vAlign w:val="center"/>
            <w:hideMark/>
          </w:tcPr>
          <w:p w14:paraId="60E5A9E5"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15%</w:t>
            </w:r>
          </w:p>
        </w:tc>
        <w:tc>
          <w:tcPr>
            <w:tcW w:w="583" w:type="pct"/>
            <w:tcBorders>
              <w:top w:val="nil"/>
              <w:left w:val="nil"/>
              <w:bottom w:val="single" w:sz="4" w:space="0" w:color="auto"/>
              <w:right w:val="single" w:sz="4" w:space="0" w:color="auto"/>
            </w:tcBorders>
            <w:shd w:val="clear" w:color="auto" w:fill="auto"/>
            <w:noWrap/>
            <w:vAlign w:val="center"/>
            <w:hideMark/>
          </w:tcPr>
          <w:p w14:paraId="65B39DB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132,865,767,361 </w:t>
            </w:r>
          </w:p>
        </w:tc>
        <w:tc>
          <w:tcPr>
            <w:tcW w:w="542" w:type="pct"/>
            <w:tcBorders>
              <w:top w:val="nil"/>
              <w:left w:val="nil"/>
              <w:bottom w:val="single" w:sz="4" w:space="0" w:color="auto"/>
              <w:right w:val="single" w:sz="4" w:space="0" w:color="auto"/>
            </w:tcBorders>
            <w:shd w:val="clear" w:color="auto" w:fill="auto"/>
            <w:noWrap/>
            <w:vAlign w:val="center"/>
            <w:hideMark/>
          </w:tcPr>
          <w:p w14:paraId="36B75CEA"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38,368,989,063 </w:t>
            </w:r>
          </w:p>
        </w:tc>
        <w:tc>
          <w:tcPr>
            <w:tcW w:w="624" w:type="pct"/>
            <w:tcBorders>
              <w:top w:val="nil"/>
              <w:left w:val="nil"/>
              <w:bottom w:val="single" w:sz="4" w:space="0" w:color="auto"/>
              <w:right w:val="single" w:sz="4" w:space="0" w:color="auto"/>
            </w:tcBorders>
            <w:shd w:val="clear" w:color="auto" w:fill="auto"/>
            <w:noWrap/>
            <w:vAlign w:val="center"/>
            <w:hideMark/>
          </w:tcPr>
          <w:p w14:paraId="33743D26"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3,923,006,142 </w:t>
            </w:r>
          </w:p>
        </w:tc>
        <w:tc>
          <w:tcPr>
            <w:tcW w:w="252" w:type="pct"/>
            <w:tcBorders>
              <w:top w:val="nil"/>
              <w:left w:val="nil"/>
              <w:bottom w:val="single" w:sz="4" w:space="0" w:color="auto"/>
              <w:right w:val="single" w:sz="4" w:space="0" w:color="auto"/>
            </w:tcBorders>
            <w:shd w:val="clear" w:color="000000" w:fill="FFFFFF"/>
            <w:noWrap/>
            <w:vAlign w:val="center"/>
            <w:hideMark/>
          </w:tcPr>
          <w:p w14:paraId="0D5AA0DE"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68DA11C1"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0E8004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2F5FF54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0F5212FE"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1DEDB5A9"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14C79396"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59</w:t>
            </w:r>
          </w:p>
        </w:tc>
        <w:tc>
          <w:tcPr>
            <w:tcW w:w="915" w:type="pct"/>
            <w:tcBorders>
              <w:top w:val="nil"/>
              <w:left w:val="nil"/>
              <w:bottom w:val="single" w:sz="4" w:space="0" w:color="auto"/>
              <w:right w:val="nil"/>
            </w:tcBorders>
            <w:shd w:val="clear" w:color="000000" w:fill="FFFFFF"/>
            <w:vAlign w:val="center"/>
            <w:hideMark/>
          </w:tcPr>
          <w:p w14:paraId="4775963E" w14:textId="77777777" w:rsidR="0007172D" w:rsidRPr="0007172D" w:rsidRDefault="0007172D" w:rsidP="00B12328">
            <w:pPr>
              <w:spacing w:before="0"/>
              <w:ind w:left="0"/>
              <w:jc w:val="left"/>
              <w:rPr>
                <w:rFonts w:ascii="Times New Roman" w:hAnsi="Times New Roman"/>
                <w:szCs w:val="22"/>
                <w:lang w:val="fr-FR" w:eastAsia="fr-FR"/>
              </w:rPr>
            </w:pPr>
            <w:proofErr w:type="spellStart"/>
            <w:proofErr w:type="gramStart"/>
            <w:r w:rsidRPr="0007172D">
              <w:rPr>
                <w:rFonts w:ascii="DokChampa" w:hAnsi="DokChampa" w:cs="DokChampa"/>
                <w:szCs w:val="22"/>
                <w:lang w:val="fr-FR" w:eastAsia="fr-FR"/>
              </w:rPr>
              <w:t>ບໍລິສັດ</w:t>
            </w:r>
            <w:proofErr w:type="spellEnd"/>
            <w:proofErr w:type="gram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ວີມເປວຄອມລາວ</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ຈໍາກັດ</w:t>
            </w:r>
            <w:proofErr w:type="spellEnd"/>
            <w:r w:rsidRPr="0007172D">
              <w:rPr>
                <w:rFonts w:ascii="Times New Roman" w:hAnsi="Times New Roman"/>
                <w:szCs w:val="22"/>
                <w:lang w:val="fr-FR" w:eastAsia="fr-FR"/>
              </w:rPr>
              <w:br/>
              <w:t xml:space="preserve">Lao Wim </w:t>
            </w:r>
            <w:proofErr w:type="spellStart"/>
            <w:r w:rsidRPr="0007172D">
              <w:rPr>
                <w:rFonts w:ascii="Times New Roman" w:hAnsi="Times New Roman"/>
                <w:szCs w:val="22"/>
                <w:lang w:val="fr-FR" w:eastAsia="fr-FR"/>
              </w:rPr>
              <w:t>Pel</w:t>
            </w:r>
            <w:proofErr w:type="spellEnd"/>
            <w:r w:rsidRPr="0007172D">
              <w:rPr>
                <w:rFonts w:ascii="Times New Roman" w:hAnsi="Times New Roman"/>
                <w:szCs w:val="22"/>
                <w:lang w:val="fr-FR" w:eastAsia="fr-FR"/>
              </w:rPr>
              <w:t xml:space="preserve"> Com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Ltd.</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05119D92"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22%</w:t>
            </w:r>
          </w:p>
        </w:tc>
        <w:tc>
          <w:tcPr>
            <w:tcW w:w="583" w:type="pct"/>
            <w:tcBorders>
              <w:top w:val="nil"/>
              <w:left w:val="nil"/>
              <w:bottom w:val="single" w:sz="4" w:space="0" w:color="auto"/>
              <w:right w:val="single" w:sz="4" w:space="0" w:color="auto"/>
            </w:tcBorders>
            <w:shd w:val="clear" w:color="auto" w:fill="auto"/>
            <w:noWrap/>
            <w:vAlign w:val="center"/>
            <w:hideMark/>
          </w:tcPr>
          <w:p w14:paraId="0FD6A3BD"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542" w:type="pct"/>
            <w:tcBorders>
              <w:top w:val="nil"/>
              <w:left w:val="nil"/>
              <w:bottom w:val="single" w:sz="4" w:space="0" w:color="auto"/>
              <w:right w:val="single" w:sz="4" w:space="0" w:color="auto"/>
            </w:tcBorders>
            <w:shd w:val="clear" w:color="auto" w:fill="auto"/>
            <w:noWrap/>
            <w:vAlign w:val="center"/>
            <w:hideMark/>
          </w:tcPr>
          <w:p w14:paraId="385437E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624" w:type="pct"/>
            <w:tcBorders>
              <w:top w:val="nil"/>
              <w:left w:val="nil"/>
              <w:bottom w:val="single" w:sz="4" w:space="0" w:color="auto"/>
              <w:right w:val="single" w:sz="4" w:space="0" w:color="auto"/>
            </w:tcBorders>
            <w:shd w:val="clear" w:color="auto" w:fill="auto"/>
            <w:noWrap/>
            <w:vAlign w:val="center"/>
            <w:hideMark/>
          </w:tcPr>
          <w:p w14:paraId="11F10271"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2" w:type="pct"/>
            <w:tcBorders>
              <w:top w:val="nil"/>
              <w:left w:val="nil"/>
              <w:bottom w:val="single" w:sz="4" w:space="0" w:color="auto"/>
              <w:right w:val="single" w:sz="4" w:space="0" w:color="auto"/>
            </w:tcBorders>
            <w:shd w:val="clear" w:color="000000" w:fill="FFFFFF"/>
            <w:noWrap/>
            <w:vAlign w:val="center"/>
            <w:hideMark/>
          </w:tcPr>
          <w:p w14:paraId="65F7700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6090D717"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2F98697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0511F6F6"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1D3BE5DB"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690CC45A" w14:textId="77777777" w:rsidTr="00B12328">
        <w:trPr>
          <w:trHeight w:val="552"/>
        </w:trPr>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435EE997" w14:textId="77777777" w:rsidR="0007172D" w:rsidRPr="0007172D" w:rsidRDefault="0007172D" w:rsidP="00B12328">
            <w:pPr>
              <w:spacing w:before="0"/>
              <w:ind w:left="0"/>
              <w:jc w:val="center"/>
              <w:rPr>
                <w:rFonts w:ascii="Times New Roman" w:hAnsi="Times New Roman"/>
                <w:szCs w:val="22"/>
                <w:lang w:val="fr-FR" w:eastAsia="fr-FR"/>
              </w:rPr>
            </w:pPr>
            <w:r w:rsidRPr="0007172D">
              <w:rPr>
                <w:rFonts w:ascii="Times New Roman" w:hAnsi="Times New Roman"/>
                <w:szCs w:val="22"/>
                <w:lang w:val="fr-FR" w:eastAsia="fr-FR"/>
              </w:rPr>
              <w:t>60</w:t>
            </w:r>
          </w:p>
        </w:tc>
        <w:tc>
          <w:tcPr>
            <w:tcW w:w="915" w:type="pct"/>
            <w:tcBorders>
              <w:top w:val="nil"/>
              <w:left w:val="nil"/>
              <w:bottom w:val="single" w:sz="4" w:space="0" w:color="auto"/>
              <w:right w:val="single" w:sz="4" w:space="0" w:color="auto"/>
            </w:tcBorders>
            <w:shd w:val="clear" w:color="auto" w:fill="auto"/>
            <w:vAlign w:val="center"/>
            <w:hideMark/>
          </w:tcPr>
          <w:p w14:paraId="2B340D7D" w14:textId="77777777" w:rsidR="0007172D" w:rsidRPr="0007172D" w:rsidRDefault="0007172D" w:rsidP="00B12328">
            <w:pPr>
              <w:spacing w:before="0"/>
              <w:ind w:left="0"/>
              <w:jc w:val="left"/>
              <w:rPr>
                <w:rFonts w:ascii="Times New Roman" w:hAnsi="Times New Roman"/>
                <w:szCs w:val="22"/>
                <w:lang w:val="fr-FR" w:eastAsia="fr-FR"/>
              </w:rPr>
            </w:pPr>
            <w:proofErr w:type="spellStart"/>
            <w:r w:rsidRPr="0007172D">
              <w:rPr>
                <w:rFonts w:ascii="DokChampa" w:hAnsi="DokChampa" w:cs="DokChampa"/>
                <w:szCs w:val="22"/>
                <w:lang w:val="fr-FR" w:eastAsia="fr-FR"/>
              </w:rPr>
              <w:t>ບໍລິສັດ</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ລາວ</w:t>
            </w:r>
            <w:r w:rsidRPr="0007172D">
              <w:rPr>
                <w:rFonts w:ascii="Times New Roman" w:hAnsi="Times New Roman"/>
                <w:szCs w:val="22"/>
                <w:lang w:val="fr-FR" w:eastAsia="fr-FR"/>
              </w:rPr>
              <w:t>-</w:t>
            </w:r>
            <w:r w:rsidRPr="0007172D">
              <w:rPr>
                <w:rFonts w:ascii="DokChampa" w:hAnsi="DokChampa" w:cs="DokChampa"/>
                <w:szCs w:val="22"/>
                <w:lang w:val="fr-FR" w:eastAsia="fr-FR"/>
              </w:rPr>
              <w:t>ເອເຊຍ</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ປາຊີຟີກບີເວີຣີ</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ຈຳກັດ</w:t>
            </w:r>
            <w:proofErr w:type="spellEnd"/>
            <w:r w:rsidRPr="0007172D">
              <w:rPr>
                <w:rFonts w:ascii="Times New Roman" w:hAnsi="Times New Roman"/>
                <w:szCs w:val="22"/>
                <w:lang w:val="fr-FR" w:eastAsia="fr-FR"/>
              </w:rPr>
              <w:t xml:space="preserve"> </w:t>
            </w:r>
            <w:proofErr w:type="gramStart"/>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ເບຍໄຮນີເກັນ</w:t>
            </w:r>
            <w:proofErr w:type="spellEnd"/>
            <w:proofErr w:type="gramEnd"/>
            <w:r w:rsidRPr="0007172D">
              <w:rPr>
                <w:rFonts w:ascii="Times New Roman" w:hAnsi="Times New Roman"/>
                <w:szCs w:val="22"/>
                <w:lang w:val="fr-FR" w:eastAsia="fr-FR"/>
              </w:rPr>
              <w:t xml:space="preserve"> )</w:t>
            </w:r>
            <w:r w:rsidRPr="0007172D">
              <w:rPr>
                <w:rFonts w:ascii="Times New Roman" w:hAnsi="Times New Roman"/>
                <w:szCs w:val="22"/>
                <w:lang w:val="fr-FR" w:eastAsia="fr-FR"/>
              </w:rPr>
              <w:br/>
              <w:t xml:space="preserve">Lao Asia Pacific </w:t>
            </w:r>
            <w:proofErr w:type="spellStart"/>
            <w:r w:rsidRPr="0007172D">
              <w:rPr>
                <w:rFonts w:ascii="Times New Roman" w:hAnsi="Times New Roman"/>
                <w:szCs w:val="22"/>
                <w:lang w:val="fr-FR" w:eastAsia="fr-FR"/>
              </w:rPr>
              <w:t>Brewery</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Company</w:t>
            </w:r>
            <w:proofErr w:type="spellEnd"/>
            <w:r w:rsidRPr="0007172D">
              <w:rPr>
                <w:rFonts w:ascii="Times New Roman" w:hAnsi="Times New Roman"/>
                <w:szCs w:val="22"/>
                <w:lang w:val="fr-FR" w:eastAsia="fr-FR"/>
              </w:rPr>
              <w:t xml:space="preserve"> (</w:t>
            </w:r>
            <w:proofErr w:type="spellStart"/>
            <w:r w:rsidRPr="0007172D">
              <w:rPr>
                <w:rFonts w:ascii="Times New Roman" w:hAnsi="Times New Roman"/>
                <w:szCs w:val="22"/>
                <w:lang w:val="fr-FR" w:eastAsia="fr-FR"/>
              </w:rPr>
              <w:t>Henigen</w:t>
            </w:r>
            <w:proofErr w:type="spellEnd"/>
            <w:r w:rsidRPr="0007172D">
              <w:rPr>
                <w:rFonts w:ascii="Times New Roman" w:hAnsi="Times New Roman"/>
                <w:szCs w:val="22"/>
                <w:lang w:val="fr-FR" w:eastAsia="fr-FR"/>
              </w:rPr>
              <w:t>)</w:t>
            </w:r>
          </w:p>
        </w:tc>
        <w:tc>
          <w:tcPr>
            <w:tcW w:w="250" w:type="pct"/>
            <w:tcBorders>
              <w:top w:val="nil"/>
              <w:left w:val="nil"/>
              <w:bottom w:val="single" w:sz="4" w:space="0" w:color="auto"/>
              <w:right w:val="single" w:sz="4" w:space="0" w:color="auto"/>
            </w:tcBorders>
            <w:shd w:val="clear" w:color="000000" w:fill="FFFFFF"/>
            <w:vAlign w:val="center"/>
            <w:hideMark/>
          </w:tcPr>
          <w:p w14:paraId="06F640C4" w14:textId="77777777" w:rsidR="0007172D" w:rsidRPr="005569F2" w:rsidRDefault="0007172D" w:rsidP="00B12328">
            <w:pPr>
              <w:spacing w:before="0"/>
              <w:ind w:left="0"/>
              <w:jc w:val="right"/>
              <w:rPr>
                <w:rFonts w:ascii="Times New Roman" w:hAnsi="Times New Roman"/>
                <w:sz w:val="18"/>
                <w:szCs w:val="18"/>
                <w:lang w:val="fr-FR" w:eastAsia="fr-FR"/>
              </w:rPr>
            </w:pPr>
            <w:r w:rsidRPr="005569F2">
              <w:rPr>
                <w:rFonts w:ascii="Times New Roman" w:hAnsi="Times New Roman"/>
                <w:sz w:val="18"/>
                <w:szCs w:val="18"/>
                <w:lang w:val="fr-FR" w:eastAsia="fr-FR"/>
              </w:rPr>
              <w:t>25%</w:t>
            </w:r>
          </w:p>
        </w:tc>
        <w:tc>
          <w:tcPr>
            <w:tcW w:w="583" w:type="pct"/>
            <w:tcBorders>
              <w:top w:val="nil"/>
              <w:left w:val="nil"/>
              <w:bottom w:val="single" w:sz="4" w:space="0" w:color="auto"/>
              <w:right w:val="single" w:sz="4" w:space="0" w:color="auto"/>
            </w:tcBorders>
            <w:shd w:val="clear" w:color="000000" w:fill="FFFFFF"/>
            <w:vAlign w:val="center"/>
            <w:hideMark/>
          </w:tcPr>
          <w:p w14:paraId="301F5634"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(16,111,166,542) </w:t>
            </w:r>
          </w:p>
        </w:tc>
        <w:tc>
          <w:tcPr>
            <w:tcW w:w="542" w:type="pct"/>
            <w:tcBorders>
              <w:top w:val="nil"/>
              <w:left w:val="nil"/>
              <w:bottom w:val="single" w:sz="4" w:space="0" w:color="auto"/>
              <w:right w:val="single" w:sz="4" w:space="0" w:color="auto"/>
            </w:tcBorders>
            <w:shd w:val="clear" w:color="000000" w:fill="FFFFFF"/>
            <w:vAlign w:val="center"/>
            <w:hideMark/>
          </w:tcPr>
          <w:p w14:paraId="3D3AC8CE"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240,750,000,000 </w:t>
            </w:r>
          </w:p>
        </w:tc>
        <w:tc>
          <w:tcPr>
            <w:tcW w:w="624" w:type="pct"/>
            <w:tcBorders>
              <w:top w:val="nil"/>
              <w:left w:val="nil"/>
              <w:bottom w:val="single" w:sz="4" w:space="0" w:color="auto"/>
              <w:right w:val="single" w:sz="4" w:space="0" w:color="auto"/>
            </w:tcBorders>
            <w:shd w:val="clear" w:color="000000" w:fill="FFFFFF"/>
            <w:vAlign w:val="center"/>
            <w:hideMark/>
          </w:tcPr>
          <w:p w14:paraId="13365E5B" w14:textId="77777777" w:rsidR="0007172D" w:rsidRPr="005F673D" w:rsidRDefault="0007172D" w:rsidP="00B12328">
            <w:pPr>
              <w:spacing w:before="0"/>
              <w:ind w:left="0"/>
              <w:jc w:val="right"/>
              <w:rPr>
                <w:rFonts w:ascii="Times New Roman" w:hAnsi="Times New Roman"/>
                <w:sz w:val="16"/>
                <w:szCs w:val="16"/>
                <w:lang w:val="fr-FR" w:eastAsia="fr-FR"/>
              </w:rPr>
            </w:pPr>
            <w:r w:rsidRPr="005F673D">
              <w:rPr>
                <w:rFonts w:ascii="Times New Roman" w:hAnsi="Times New Roman"/>
                <w:sz w:val="16"/>
                <w:szCs w:val="16"/>
                <w:lang w:val="fr-FR" w:eastAsia="fr-FR"/>
              </w:rPr>
              <w:t xml:space="preserve">             205,072,543,897 </w:t>
            </w:r>
          </w:p>
        </w:tc>
        <w:tc>
          <w:tcPr>
            <w:tcW w:w="252" w:type="pct"/>
            <w:tcBorders>
              <w:top w:val="nil"/>
              <w:left w:val="nil"/>
              <w:bottom w:val="single" w:sz="4" w:space="0" w:color="auto"/>
              <w:right w:val="single" w:sz="4" w:space="0" w:color="auto"/>
            </w:tcBorders>
            <w:shd w:val="clear" w:color="000000" w:fill="FFFFFF"/>
            <w:noWrap/>
            <w:vAlign w:val="center"/>
            <w:hideMark/>
          </w:tcPr>
          <w:p w14:paraId="27CE828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xml:space="preserve"> </w:t>
            </w:r>
            <w:proofErr w:type="gramStart"/>
            <w:r w:rsidRPr="005F673D">
              <w:rPr>
                <w:rFonts w:ascii="Times New Roman" w:hAnsi="Times New Roman"/>
                <w:sz w:val="16"/>
                <w:szCs w:val="16"/>
                <w:lang w:val="fr-FR" w:eastAsia="fr-FR"/>
              </w:rPr>
              <w:t>x</w:t>
            </w:r>
            <w:proofErr w:type="gramEnd"/>
            <w:r w:rsidRPr="005F673D">
              <w:rPr>
                <w:rFonts w:ascii="Times New Roman" w:hAnsi="Times New Roman"/>
                <w:sz w:val="16"/>
                <w:szCs w:val="16"/>
                <w:lang w:val="fr-FR" w:eastAsia="fr-FR"/>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14:paraId="38725B19"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000000" w:fill="FFFFFF"/>
            <w:noWrap/>
            <w:vAlign w:val="center"/>
            <w:hideMark/>
          </w:tcPr>
          <w:p w14:paraId="161D90B2"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0744C28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000000" w:fill="FFFFFF"/>
            <w:vAlign w:val="center"/>
            <w:hideMark/>
          </w:tcPr>
          <w:p w14:paraId="73E66710" w14:textId="77777777" w:rsidR="0007172D" w:rsidRPr="005F673D" w:rsidRDefault="0007172D" w:rsidP="00B12328">
            <w:pPr>
              <w:spacing w:before="0"/>
              <w:ind w:left="0"/>
              <w:jc w:val="center"/>
              <w:rPr>
                <w:rFonts w:ascii="Times New Roman" w:hAnsi="Times New Roman"/>
                <w:sz w:val="16"/>
                <w:szCs w:val="16"/>
                <w:lang w:val="en-MY" w:eastAsia="fr-FR"/>
              </w:rPr>
            </w:pPr>
            <w:proofErr w:type="spellStart"/>
            <w:proofErr w:type="gramStart"/>
            <w:r w:rsidRPr="005F673D">
              <w:rPr>
                <w:rFonts w:ascii="DokChampa" w:hAnsi="DokChampa" w:cs="DokChampa"/>
                <w:sz w:val="16"/>
                <w:szCs w:val="16"/>
                <w:lang w:val="fr-FR" w:eastAsia="fr-FR"/>
              </w:rPr>
              <w:t>ຍັງບໍ່ທັນຮູ້ກຳໄລຫຼືຂາດທຶນ</w:t>
            </w:r>
            <w:proofErr w:type="spellEnd"/>
            <w:proofErr w:type="gramEnd"/>
            <w:r w:rsidRPr="005F673D">
              <w:rPr>
                <w:rFonts w:ascii="Times New Roman" w:hAnsi="Times New Roman"/>
                <w:sz w:val="16"/>
                <w:szCs w:val="16"/>
                <w:lang w:val="en-MY" w:eastAsia="fr-FR"/>
              </w:rPr>
              <w:t xml:space="preserve"> (no info. whether profit/loss)</w:t>
            </w:r>
          </w:p>
        </w:tc>
      </w:tr>
      <w:tr w:rsidR="00B12328" w:rsidRPr="005F673D" w14:paraId="09BC5050" w14:textId="77777777" w:rsidTr="00B12328">
        <w:trPr>
          <w:trHeight w:val="54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29D58E22" w14:textId="77777777" w:rsidR="0007172D" w:rsidRPr="00E331A9" w:rsidRDefault="0007172D" w:rsidP="00B12328">
            <w:pPr>
              <w:spacing w:before="0"/>
              <w:ind w:left="0"/>
              <w:jc w:val="center"/>
              <w:rPr>
                <w:rFonts w:ascii="Times New Roman" w:hAnsi="Times New Roman"/>
                <w:szCs w:val="22"/>
                <w:lang w:val="en-MY" w:eastAsia="fr-FR"/>
              </w:rPr>
            </w:pPr>
            <w:r w:rsidRPr="00E331A9">
              <w:rPr>
                <w:rFonts w:ascii="Times New Roman" w:hAnsi="Times New Roman"/>
                <w:szCs w:val="22"/>
                <w:lang w:val="en-MY" w:eastAsia="fr-FR"/>
              </w:rPr>
              <w:t> </w:t>
            </w:r>
          </w:p>
        </w:tc>
        <w:tc>
          <w:tcPr>
            <w:tcW w:w="915" w:type="pct"/>
            <w:tcBorders>
              <w:top w:val="nil"/>
              <w:left w:val="nil"/>
              <w:bottom w:val="single" w:sz="4" w:space="0" w:color="auto"/>
              <w:right w:val="single" w:sz="4" w:space="0" w:color="auto"/>
            </w:tcBorders>
            <w:shd w:val="clear" w:color="auto" w:fill="auto"/>
            <w:vAlign w:val="center"/>
            <w:hideMark/>
          </w:tcPr>
          <w:p w14:paraId="00BA753D" w14:textId="77777777" w:rsidR="0007172D" w:rsidRPr="00E331A9" w:rsidRDefault="0007172D" w:rsidP="00B12328">
            <w:pPr>
              <w:spacing w:before="0"/>
              <w:ind w:left="0"/>
              <w:jc w:val="left"/>
              <w:rPr>
                <w:rFonts w:ascii="Times New Roman" w:hAnsi="Times New Roman"/>
                <w:b/>
                <w:bCs/>
                <w:szCs w:val="22"/>
                <w:lang w:val="en-MY" w:eastAsia="fr-FR"/>
              </w:rPr>
            </w:pPr>
            <w:r w:rsidRPr="00E331A9">
              <w:rPr>
                <w:rFonts w:ascii="Times New Roman" w:hAnsi="Times New Roman"/>
                <w:b/>
                <w:bCs/>
                <w:szCs w:val="22"/>
                <w:lang w:val="en-MY" w:eastAsia="fr-FR"/>
              </w:rPr>
              <w:t>Total turnover of SOEs reporting to MoF in 2018</w:t>
            </w:r>
          </w:p>
        </w:tc>
        <w:tc>
          <w:tcPr>
            <w:tcW w:w="250" w:type="pct"/>
            <w:tcBorders>
              <w:top w:val="nil"/>
              <w:left w:val="nil"/>
              <w:bottom w:val="single" w:sz="4" w:space="0" w:color="auto"/>
              <w:right w:val="single" w:sz="4" w:space="0" w:color="auto"/>
            </w:tcBorders>
            <w:shd w:val="clear" w:color="auto" w:fill="auto"/>
            <w:vAlign w:val="center"/>
            <w:hideMark/>
          </w:tcPr>
          <w:p w14:paraId="0C305232" w14:textId="77777777" w:rsidR="0007172D" w:rsidRPr="005569F2" w:rsidRDefault="0007172D" w:rsidP="00B12328">
            <w:pPr>
              <w:spacing w:before="0"/>
              <w:ind w:left="0"/>
              <w:jc w:val="left"/>
              <w:rPr>
                <w:rFonts w:ascii="Times New Roman" w:hAnsi="Times New Roman"/>
                <w:sz w:val="18"/>
                <w:szCs w:val="18"/>
                <w:lang w:val="en-MY" w:eastAsia="fr-FR"/>
              </w:rPr>
            </w:pPr>
            <w:r w:rsidRPr="005569F2">
              <w:rPr>
                <w:rFonts w:ascii="Times New Roman" w:hAnsi="Times New Roman"/>
                <w:sz w:val="18"/>
                <w:szCs w:val="18"/>
                <w:lang w:val="en-MY" w:eastAsia="fr-FR"/>
              </w:rPr>
              <w:t> </w:t>
            </w:r>
          </w:p>
        </w:tc>
        <w:tc>
          <w:tcPr>
            <w:tcW w:w="583" w:type="pct"/>
            <w:tcBorders>
              <w:top w:val="nil"/>
              <w:left w:val="nil"/>
              <w:bottom w:val="single" w:sz="4" w:space="0" w:color="auto"/>
              <w:right w:val="single" w:sz="4" w:space="0" w:color="auto"/>
            </w:tcBorders>
            <w:shd w:val="clear" w:color="auto" w:fill="auto"/>
            <w:vAlign w:val="center"/>
            <w:hideMark/>
          </w:tcPr>
          <w:p w14:paraId="34CE0203" w14:textId="77777777" w:rsidR="0007172D" w:rsidRPr="005F673D" w:rsidRDefault="0007172D" w:rsidP="00B12328">
            <w:pPr>
              <w:spacing w:before="0"/>
              <w:ind w:left="0"/>
              <w:jc w:val="right"/>
              <w:rPr>
                <w:rFonts w:ascii="Times New Roman" w:hAnsi="Times New Roman"/>
                <w:b/>
                <w:bCs/>
                <w:sz w:val="16"/>
                <w:szCs w:val="16"/>
                <w:lang w:val="fr-FR" w:eastAsia="fr-FR"/>
              </w:rPr>
            </w:pPr>
            <w:r w:rsidRPr="005F673D">
              <w:rPr>
                <w:rFonts w:ascii="Times New Roman" w:hAnsi="Times New Roman"/>
                <w:b/>
                <w:bCs/>
                <w:sz w:val="16"/>
                <w:szCs w:val="16"/>
                <w:lang w:val="en-MY" w:eastAsia="fr-FR"/>
              </w:rPr>
              <w:t xml:space="preserve">        </w:t>
            </w:r>
            <w:r w:rsidRPr="005F673D">
              <w:rPr>
                <w:rFonts w:ascii="Times New Roman" w:hAnsi="Times New Roman"/>
                <w:b/>
                <w:bCs/>
                <w:sz w:val="16"/>
                <w:szCs w:val="16"/>
                <w:lang w:val="fr-FR" w:eastAsia="fr-FR"/>
              </w:rPr>
              <w:t xml:space="preserve">35,145,434,734,307 </w:t>
            </w:r>
          </w:p>
        </w:tc>
        <w:tc>
          <w:tcPr>
            <w:tcW w:w="542" w:type="pct"/>
            <w:tcBorders>
              <w:top w:val="nil"/>
              <w:left w:val="nil"/>
              <w:bottom w:val="single" w:sz="4" w:space="0" w:color="auto"/>
              <w:right w:val="single" w:sz="4" w:space="0" w:color="auto"/>
            </w:tcBorders>
            <w:shd w:val="clear" w:color="auto" w:fill="auto"/>
            <w:vAlign w:val="center"/>
            <w:hideMark/>
          </w:tcPr>
          <w:p w14:paraId="5E2FF4C2" w14:textId="77777777" w:rsidR="0007172D" w:rsidRPr="005F673D" w:rsidRDefault="0007172D" w:rsidP="00B12328">
            <w:pPr>
              <w:spacing w:before="0"/>
              <w:ind w:left="0"/>
              <w:jc w:val="right"/>
              <w:rPr>
                <w:rFonts w:ascii="Times New Roman" w:hAnsi="Times New Roman"/>
                <w:b/>
                <w:bCs/>
                <w:sz w:val="16"/>
                <w:szCs w:val="16"/>
                <w:lang w:val="fr-FR" w:eastAsia="fr-FR"/>
              </w:rPr>
            </w:pPr>
            <w:r w:rsidRPr="005F673D">
              <w:rPr>
                <w:rFonts w:ascii="Times New Roman" w:hAnsi="Times New Roman"/>
                <w:b/>
                <w:bCs/>
                <w:sz w:val="16"/>
                <w:szCs w:val="16"/>
                <w:lang w:val="fr-FR" w:eastAsia="fr-FR"/>
              </w:rPr>
              <w:t xml:space="preserve">                 1,759,368,249,755 </w:t>
            </w:r>
          </w:p>
        </w:tc>
        <w:tc>
          <w:tcPr>
            <w:tcW w:w="624" w:type="pct"/>
            <w:tcBorders>
              <w:top w:val="nil"/>
              <w:left w:val="nil"/>
              <w:bottom w:val="single" w:sz="4" w:space="0" w:color="auto"/>
              <w:right w:val="single" w:sz="4" w:space="0" w:color="auto"/>
            </w:tcBorders>
            <w:shd w:val="clear" w:color="auto" w:fill="auto"/>
            <w:vAlign w:val="center"/>
            <w:hideMark/>
          </w:tcPr>
          <w:p w14:paraId="70CD997E" w14:textId="77777777" w:rsidR="0007172D" w:rsidRPr="005F673D" w:rsidRDefault="0007172D" w:rsidP="00B12328">
            <w:pPr>
              <w:spacing w:before="0"/>
              <w:ind w:left="0"/>
              <w:jc w:val="right"/>
              <w:rPr>
                <w:rFonts w:ascii="Times New Roman" w:hAnsi="Times New Roman"/>
                <w:b/>
                <w:bCs/>
                <w:sz w:val="16"/>
                <w:szCs w:val="16"/>
                <w:lang w:val="fr-FR" w:eastAsia="fr-FR"/>
              </w:rPr>
            </w:pPr>
            <w:r w:rsidRPr="005F673D">
              <w:rPr>
                <w:rFonts w:ascii="Times New Roman" w:hAnsi="Times New Roman"/>
                <w:b/>
                <w:bCs/>
                <w:sz w:val="16"/>
                <w:szCs w:val="16"/>
                <w:lang w:val="fr-FR" w:eastAsia="fr-FR"/>
              </w:rPr>
              <w:t xml:space="preserve">         17,084,265,356,819 </w:t>
            </w:r>
          </w:p>
        </w:tc>
        <w:tc>
          <w:tcPr>
            <w:tcW w:w="252" w:type="pct"/>
            <w:tcBorders>
              <w:top w:val="nil"/>
              <w:left w:val="nil"/>
              <w:bottom w:val="single" w:sz="4" w:space="0" w:color="auto"/>
              <w:right w:val="single" w:sz="4" w:space="0" w:color="auto"/>
            </w:tcBorders>
            <w:shd w:val="clear" w:color="auto" w:fill="auto"/>
            <w:noWrap/>
            <w:vAlign w:val="center"/>
            <w:hideMark/>
          </w:tcPr>
          <w:p w14:paraId="1A866538"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458" w:type="pct"/>
            <w:tcBorders>
              <w:top w:val="nil"/>
              <w:left w:val="nil"/>
              <w:bottom w:val="single" w:sz="4" w:space="0" w:color="auto"/>
              <w:right w:val="single" w:sz="4" w:space="0" w:color="auto"/>
            </w:tcBorders>
            <w:shd w:val="clear" w:color="auto" w:fill="auto"/>
            <w:noWrap/>
            <w:vAlign w:val="center"/>
            <w:hideMark/>
          </w:tcPr>
          <w:p w14:paraId="30E5E54B"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75" w:type="pct"/>
            <w:tcBorders>
              <w:top w:val="nil"/>
              <w:left w:val="nil"/>
              <w:bottom w:val="single" w:sz="4" w:space="0" w:color="auto"/>
              <w:right w:val="single" w:sz="4" w:space="0" w:color="auto"/>
            </w:tcBorders>
            <w:shd w:val="clear" w:color="auto" w:fill="auto"/>
            <w:noWrap/>
            <w:vAlign w:val="center"/>
            <w:hideMark/>
          </w:tcPr>
          <w:p w14:paraId="7E9A40D0"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7EB5723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c>
          <w:tcPr>
            <w:tcW w:w="332" w:type="pct"/>
            <w:tcBorders>
              <w:top w:val="nil"/>
              <w:left w:val="nil"/>
              <w:bottom w:val="single" w:sz="4" w:space="0" w:color="auto"/>
              <w:right w:val="single" w:sz="4" w:space="0" w:color="auto"/>
            </w:tcBorders>
            <w:shd w:val="clear" w:color="auto" w:fill="auto"/>
            <w:vAlign w:val="center"/>
            <w:hideMark/>
          </w:tcPr>
          <w:p w14:paraId="11EB44D5" w14:textId="77777777" w:rsidR="0007172D" w:rsidRPr="005F673D" w:rsidRDefault="0007172D" w:rsidP="00B12328">
            <w:pPr>
              <w:spacing w:before="0"/>
              <w:ind w:left="0"/>
              <w:jc w:val="center"/>
              <w:rPr>
                <w:rFonts w:ascii="Times New Roman" w:hAnsi="Times New Roman"/>
                <w:sz w:val="16"/>
                <w:szCs w:val="16"/>
                <w:lang w:val="fr-FR" w:eastAsia="fr-FR"/>
              </w:rPr>
            </w:pPr>
            <w:r w:rsidRPr="005F673D">
              <w:rPr>
                <w:rFonts w:ascii="Times New Roman" w:hAnsi="Times New Roman"/>
                <w:sz w:val="16"/>
                <w:szCs w:val="16"/>
                <w:lang w:val="fr-FR" w:eastAsia="fr-FR"/>
              </w:rPr>
              <w:t> </w:t>
            </w:r>
          </w:p>
        </w:tc>
      </w:tr>
      <w:tr w:rsidR="005569F2" w:rsidRPr="005F673D" w14:paraId="52F83777" w14:textId="77777777" w:rsidTr="00B12328">
        <w:trPr>
          <w:trHeight w:val="552"/>
        </w:trPr>
        <w:tc>
          <w:tcPr>
            <w:tcW w:w="418" w:type="pct"/>
            <w:tcBorders>
              <w:top w:val="nil"/>
              <w:left w:val="nil"/>
              <w:bottom w:val="nil"/>
              <w:right w:val="nil"/>
            </w:tcBorders>
            <w:shd w:val="clear" w:color="auto" w:fill="auto"/>
            <w:noWrap/>
            <w:vAlign w:val="center"/>
            <w:hideMark/>
          </w:tcPr>
          <w:p w14:paraId="1861B1A1" w14:textId="77777777" w:rsidR="0007172D" w:rsidRPr="0007172D" w:rsidRDefault="0007172D" w:rsidP="00B12328">
            <w:pPr>
              <w:spacing w:before="0"/>
              <w:ind w:left="0"/>
              <w:jc w:val="center"/>
              <w:rPr>
                <w:rFonts w:ascii="Times New Roman" w:hAnsi="Times New Roman"/>
                <w:szCs w:val="22"/>
                <w:lang w:val="fr-FR" w:eastAsia="fr-FR"/>
              </w:rPr>
            </w:pPr>
          </w:p>
        </w:tc>
        <w:tc>
          <w:tcPr>
            <w:tcW w:w="915" w:type="pct"/>
            <w:tcBorders>
              <w:top w:val="nil"/>
              <w:left w:val="nil"/>
              <w:bottom w:val="nil"/>
              <w:right w:val="nil"/>
            </w:tcBorders>
            <w:shd w:val="clear" w:color="auto" w:fill="auto"/>
            <w:vAlign w:val="center"/>
            <w:hideMark/>
          </w:tcPr>
          <w:p w14:paraId="76E8398A" w14:textId="77777777" w:rsidR="0007172D" w:rsidRPr="0007172D" w:rsidRDefault="0007172D" w:rsidP="00B12328">
            <w:pPr>
              <w:spacing w:before="0"/>
              <w:ind w:left="0"/>
              <w:jc w:val="left"/>
              <w:rPr>
                <w:rFonts w:ascii="Times New Roman" w:hAnsi="Times New Roman"/>
                <w:szCs w:val="22"/>
                <w:lang w:val="fr-FR" w:eastAsia="fr-FR"/>
              </w:rPr>
            </w:pPr>
            <w:proofErr w:type="spellStart"/>
            <w:r w:rsidRPr="0007172D">
              <w:rPr>
                <w:rFonts w:ascii="DokChampa" w:hAnsi="DokChampa" w:cs="DokChampa"/>
                <w:szCs w:val="22"/>
                <w:lang w:val="fr-FR" w:eastAsia="fr-FR"/>
              </w:rPr>
              <w:t>ສົ່ງເອກະສານລາຍງານດ້ານການເງິນ</w:t>
            </w:r>
            <w:proofErr w:type="spellEnd"/>
            <w:r w:rsidRPr="0007172D">
              <w:rPr>
                <w:rFonts w:ascii="Times New Roman" w:hAnsi="Times New Roman"/>
                <w:szCs w:val="22"/>
                <w:lang w:val="fr-FR" w:eastAsia="fr-FR"/>
              </w:rPr>
              <w:t xml:space="preserve"> </w:t>
            </w:r>
            <w:proofErr w:type="spellStart"/>
            <w:r w:rsidRPr="0007172D">
              <w:rPr>
                <w:rFonts w:ascii="DokChampa" w:hAnsi="DokChampa" w:cs="DokChampa"/>
                <w:szCs w:val="22"/>
                <w:lang w:val="fr-FR" w:eastAsia="fr-FR"/>
              </w:rPr>
              <w:t>ຈຳນວນ</w:t>
            </w:r>
            <w:proofErr w:type="spellEnd"/>
            <w:r w:rsidRPr="0007172D">
              <w:rPr>
                <w:rFonts w:ascii="Times New Roman" w:hAnsi="Times New Roman"/>
                <w:szCs w:val="22"/>
                <w:lang w:val="fr-FR" w:eastAsia="fr-FR"/>
              </w:rPr>
              <w:t xml:space="preserve"> 43 </w:t>
            </w:r>
            <w:proofErr w:type="spellStart"/>
            <w:r w:rsidRPr="0007172D">
              <w:rPr>
                <w:rFonts w:ascii="DokChampa" w:hAnsi="DokChampa" w:cs="DokChampa"/>
                <w:szCs w:val="22"/>
                <w:lang w:val="fr-FR" w:eastAsia="fr-FR"/>
              </w:rPr>
              <w:t>ຫົວໜ່ວຍ</w:t>
            </w:r>
            <w:proofErr w:type="spellEnd"/>
            <w:r w:rsidRPr="0007172D">
              <w:rPr>
                <w:rFonts w:ascii="Times New Roman" w:hAnsi="Times New Roman"/>
                <w:szCs w:val="22"/>
                <w:lang w:val="fr-FR" w:eastAsia="fr-FR"/>
              </w:rPr>
              <w:br/>
              <w:t xml:space="preserve">Total </w:t>
            </w:r>
            <w:proofErr w:type="spellStart"/>
            <w:r w:rsidRPr="0007172D">
              <w:rPr>
                <w:rFonts w:ascii="Times New Roman" w:hAnsi="Times New Roman"/>
                <w:szCs w:val="22"/>
                <w:lang w:val="fr-FR" w:eastAsia="fr-FR"/>
              </w:rPr>
              <w:t>submission</w:t>
            </w:r>
            <w:proofErr w:type="spellEnd"/>
            <w:r w:rsidRPr="0007172D">
              <w:rPr>
                <w:rFonts w:ascii="Times New Roman" w:hAnsi="Times New Roman"/>
                <w:szCs w:val="22"/>
                <w:lang w:val="fr-FR" w:eastAsia="fr-FR"/>
              </w:rPr>
              <w:t xml:space="preserve"> of </w:t>
            </w:r>
            <w:proofErr w:type="spellStart"/>
            <w:r w:rsidRPr="0007172D">
              <w:rPr>
                <w:rFonts w:ascii="Times New Roman" w:hAnsi="Times New Roman"/>
                <w:szCs w:val="22"/>
                <w:lang w:val="fr-FR" w:eastAsia="fr-FR"/>
              </w:rPr>
              <w:t>financial</w:t>
            </w:r>
            <w:proofErr w:type="spellEnd"/>
            <w:r w:rsidRPr="0007172D">
              <w:rPr>
                <w:rFonts w:ascii="Times New Roman" w:hAnsi="Times New Roman"/>
                <w:szCs w:val="22"/>
                <w:lang w:val="fr-FR" w:eastAsia="fr-FR"/>
              </w:rPr>
              <w:t xml:space="preserve"> </w:t>
            </w:r>
            <w:proofErr w:type="gramStart"/>
            <w:r w:rsidRPr="0007172D">
              <w:rPr>
                <w:rFonts w:ascii="Times New Roman" w:hAnsi="Times New Roman"/>
                <w:szCs w:val="22"/>
                <w:lang w:val="fr-FR" w:eastAsia="fr-FR"/>
              </w:rPr>
              <w:t>report:</w:t>
            </w:r>
            <w:proofErr w:type="gramEnd"/>
            <w:r w:rsidRPr="0007172D">
              <w:rPr>
                <w:rFonts w:ascii="Times New Roman" w:hAnsi="Times New Roman"/>
                <w:szCs w:val="22"/>
                <w:lang w:val="fr-FR" w:eastAsia="fr-FR"/>
              </w:rPr>
              <w:t xml:space="preserve"> 43</w:t>
            </w:r>
          </w:p>
        </w:tc>
        <w:tc>
          <w:tcPr>
            <w:tcW w:w="250" w:type="pct"/>
            <w:tcBorders>
              <w:top w:val="nil"/>
              <w:left w:val="nil"/>
              <w:bottom w:val="nil"/>
              <w:right w:val="nil"/>
            </w:tcBorders>
            <w:shd w:val="clear" w:color="auto" w:fill="auto"/>
            <w:vAlign w:val="center"/>
            <w:hideMark/>
          </w:tcPr>
          <w:p w14:paraId="45F44AFC" w14:textId="77777777" w:rsidR="0007172D" w:rsidRPr="005569F2" w:rsidRDefault="0007172D" w:rsidP="00B12328">
            <w:pPr>
              <w:spacing w:before="0"/>
              <w:ind w:left="0"/>
              <w:jc w:val="left"/>
              <w:rPr>
                <w:rFonts w:ascii="Times New Roman" w:hAnsi="Times New Roman"/>
                <w:sz w:val="18"/>
                <w:szCs w:val="18"/>
                <w:lang w:val="fr-FR" w:eastAsia="fr-FR"/>
              </w:rPr>
            </w:pPr>
          </w:p>
        </w:tc>
        <w:tc>
          <w:tcPr>
            <w:tcW w:w="2834" w:type="pct"/>
            <w:gridSpan w:val="6"/>
            <w:tcBorders>
              <w:top w:val="nil"/>
              <w:left w:val="nil"/>
              <w:bottom w:val="nil"/>
              <w:right w:val="nil"/>
            </w:tcBorders>
            <w:shd w:val="clear" w:color="auto" w:fill="auto"/>
            <w:noWrap/>
            <w:vAlign w:val="center"/>
            <w:hideMark/>
          </w:tcPr>
          <w:p w14:paraId="47ED7618" w14:textId="77777777" w:rsidR="0007172D" w:rsidRPr="005F673D" w:rsidRDefault="0007172D" w:rsidP="00B12328">
            <w:pPr>
              <w:spacing w:before="0"/>
              <w:ind w:left="0"/>
              <w:jc w:val="left"/>
              <w:rPr>
                <w:rFonts w:ascii="Times New Roman" w:hAnsi="Times New Roman"/>
                <w:sz w:val="16"/>
                <w:szCs w:val="16"/>
                <w:lang w:val="en-MY" w:eastAsia="fr-FR"/>
              </w:rPr>
            </w:pPr>
            <w:r w:rsidRPr="005F673D">
              <w:rPr>
                <w:rFonts w:ascii="Times New Roman" w:hAnsi="Times New Roman"/>
                <w:sz w:val="16"/>
                <w:szCs w:val="16"/>
                <w:lang w:val="en-MY" w:eastAsia="fr-FR"/>
              </w:rPr>
              <w:t>43 out of 60 SOEs have submitted their financial reports to MoF, representing approximately 70% of the government share in the SOEs declared capital in 2017</w:t>
            </w:r>
          </w:p>
        </w:tc>
        <w:tc>
          <w:tcPr>
            <w:tcW w:w="250" w:type="pct"/>
            <w:tcBorders>
              <w:top w:val="nil"/>
              <w:left w:val="nil"/>
              <w:bottom w:val="nil"/>
              <w:right w:val="nil"/>
            </w:tcBorders>
            <w:shd w:val="clear" w:color="auto" w:fill="auto"/>
            <w:noWrap/>
            <w:vAlign w:val="center"/>
            <w:hideMark/>
          </w:tcPr>
          <w:p w14:paraId="7BD85AAB" w14:textId="77777777" w:rsidR="0007172D" w:rsidRPr="005F673D" w:rsidRDefault="0007172D" w:rsidP="00B12328">
            <w:pPr>
              <w:spacing w:before="0"/>
              <w:ind w:left="0"/>
              <w:jc w:val="left"/>
              <w:rPr>
                <w:rFonts w:ascii="Times New Roman" w:hAnsi="Times New Roman"/>
                <w:sz w:val="16"/>
                <w:szCs w:val="16"/>
                <w:lang w:val="en-MY" w:eastAsia="fr-FR"/>
              </w:rPr>
            </w:pPr>
          </w:p>
        </w:tc>
        <w:tc>
          <w:tcPr>
            <w:tcW w:w="332" w:type="pct"/>
            <w:tcBorders>
              <w:top w:val="nil"/>
              <w:left w:val="nil"/>
              <w:bottom w:val="nil"/>
              <w:right w:val="nil"/>
            </w:tcBorders>
            <w:shd w:val="clear" w:color="auto" w:fill="auto"/>
            <w:noWrap/>
            <w:vAlign w:val="center"/>
            <w:hideMark/>
          </w:tcPr>
          <w:p w14:paraId="361B5E2A" w14:textId="77777777" w:rsidR="0007172D" w:rsidRPr="005F673D" w:rsidRDefault="0007172D" w:rsidP="00B12328">
            <w:pPr>
              <w:spacing w:before="0"/>
              <w:ind w:left="0"/>
              <w:jc w:val="left"/>
              <w:rPr>
                <w:rFonts w:ascii="Times New Roman" w:hAnsi="Times New Roman"/>
                <w:sz w:val="16"/>
                <w:szCs w:val="16"/>
                <w:lang w:val="en-MY" w:eastAsia="fr-FR"/>
              </w:rPr>
            </w:pPr>
          </w:p>
        </w:tc>
      </w:tr>
    </w:tbl>
    <w:p w14:paraId="1774B1A4" w14:textId="77777777" w:rsidR="00661512" w:rsidRPr="007E2FD4" w:rsidRDefault="00661512" w:rsidP="00B12328">
      <w:pPr>
        <w:spacing w:before="0"/>
        <w:ind w:left="0"/>
        <w:rPr>
          <w:rFonts w:ascii="Times New Roman" w:hAnsi="Times New Roman"/>
          <w:sz w:val="24"/>
        </w:rPr>
      </w:pPr>
    </w:p>
    <w:sectPr w:rsidR="00661512" w:rsidRPr="007E2FD4" w:rsidSect="00016C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55B51" w14:textId="77777777" w:rsidR="008E0EF0" w:rsidRDefault="008E0EF0" w:rsidP="00A24325">
      <w:pPr>
        <w:spacing w:before="0"/>
      </w:pPr>
      <w:r>
        <w:separator/>
      </w:r>
    </w:p>
  </w:endnote>
  <w:endnote w:type="continuationSeparator" w:id="0">
    <w:p w14:paraId="4793CB11" w14:textId="77777777" w:rsidR="008E0EF0" w:rsidRDefault="008E0EF0" w:rsidP="00A243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Phetsarath OT">
    <w:altName w:val="Malgun Gothic"/>
    <w:charset w:val="00"/>
    <w:family w:val="auto"/>
    <w:pitch w:val="variable"/>
    <w:sig w:usb0="A3002AAF" w:usb1="0000200A" w:usb2="00000000"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BPG Ingiri Arial">
    <w:altName w:val="BPG Ingiri Arial"/>
    <w:charset w:val="00"/>
    <w:family w:val="swiss"/>
    <w:pitch w:val="variable"/>
    <w:sig w:usb0="24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variable"/>
    <w:sig w:usb0="E0002AEF" w:usb1="C0007841"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ercuryTextG1-Roman">
    <w:altName w:val="Yu Gothic"/>
    <w:panose1 w:val="00000000000000000000"/>
    <w:charset w:val="80"/>
    <w:family w:val="roman"/>
    <w:notTrueType/>
    <w:pitch w:val="default"/>
    <w:sig w:usb0="00000001" w:usb1="08070000" w:usb2="00000010" w:usb3="00000000" w:csb0="00020000"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972554"/>
      <w:docPartObj>
        <w:docPartGallery w:val="Page Numbers (Bottom of Page)"/>
        <w:docPartUnique/>
      </w:docPartObj>
    </w:sdtPr>
    <w:sdtEndPr>
      <w:rPr>
        <w:noProof/>
      </w:rPr>
    </w:sdtEndPr>
    <w:sdtContent>
      <w:p w14:paraId="1F3644BB" w14:textId="77777777" w:rsidR="00E82213" w:rsidRDefault="00E82213">
        <w:pPr>
          <w:pStyle w:val="Footer"/>
          <w:jc w:val="center"/>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sdtContent>
  </w:sdt>
  <w:p w14:paraId="7FF785E8" w14:textId="77777777" w:rsidR="00E82213" w:rsidRDefault="00E82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CC38B" w14:textId="77777777" w:rsidR="008E0EF0" w:rsidRDefault="008E0EF0" w:rsidP="00A24325">
      <w:pPr>
        <w:spacing w:before="0"/>
      </w:pPr>
      <w:r>
        <w:separator/>
      </w:r>
    </w:p>
  </w:footnote>
  <w:footnote w:type="continuationSeparator" w:id="0">
    <w:p w14:paraId="71A7B71D" w14:textId="77777777" w:rsidR="008E0EF0" w:rsidRDefault="008E0EF0" w:rsidP="00A24325">
      <w:pPr>
        <w:spacing w:before="0"/>
      </w:pPr>
      <w:r>
        <w:continuationSeparator/>
      </w:r>
    </w:p>
  </w:footnote>
  <w:footnote w:id="1">
    <w:p w14:paraId="7384B8D3" w14:textId="77777777" w:rsidR="00E82213" w:rsidRPr="00D216BB" w:rsidRDefault="00E82213" w:rsidP="007E2FD4">
      <w:pPr>
        <w:autoSpaceDE w:val="0"/>
        <w:autoSpaceDN w:val="0"/>
        <w:adjustRightInd w:val="0"/>
        <w:spacing w:before="0"/>
        <w:ind w:left="0"/>
        <w:rPr>
          <w:rFonts w:ascii="Times New Roman" w:hAnsi="Times New Roman"/>
        </w:rPr>
      </w:pPr>
      <w:r w:rsidRPr="0095180A">
        <w:rPr>
          <w:rStyle w:val="FootnoteReference"/>
          <w:rFonts w:cstheme="minorHAnsi"/>
        </w:rPr>
        <w:footnoteRef/>
      </w:r>
      <w:r w:rsidRPr="0095180A">
        <w:rPr>
          <w:rFonts w:cstheme="minorHAnsi"/>
        </w:rPr>
        <w:t xml:space="preserve"> </w:t>
      </w:r>
      <w:r w:rsidRPr="00D216BB">
        <w:rPr>
          <w:rFonts w:ascii="Times New Roman" w:eastAsiaTheme="minorHAnsi" w:hAnsi="Times New Roman"/>
          <w:sz w:val="20"/>
          <w:szCs w:val="20"/>
          <w:lang w:val="en-ID"/>
        </w:rPr>
        <w:t xml:space="preserve">The PEFA Program is a partnership </w:t>
      </w:r>
      <w:r>
        <w:rPr>
          <w:rFonts w:ascii="Times New Roman" w:eastAsiaTheme="minorHAnsi" w:hAnsi="Times New Roman"/>
          <w:sz w:val="20"/>
          <w:szCs w:val="20"/>
          <w:lang w:val="en-ID"/>
        </w:rPr>
        <w:t>of</w:t>
      </w:r>
      <w:r w:rsidRPr="00D216BB">
        <w:rPr>
          <w:rFonts w:ascii="Times New Roman" w:eastAsiaTheme="minorHAnsi" w:hAnsi="Times New Roman"/>
          <w:sz w:val="20"/>
          <w:szCs w:val="20"/>
          <w:lang w:val="en-ID"/>
        </w:rPr>
        <w:t xml:space="preserve"> the WB, the European Commission (EC), the United Kingdom (UK) Department for International Development, Swiss State Secretariat for Economic Affairs, the French Ministry of Foreign Affairs, the Royal Norwegian Ministry of Foreign Affairs and IMF. A Steering Committee, comprising members of these agencies, manages the Program. A Secretariat is located at the WB in Washington, DC. The new PEFA Framework 2016 was launched in February 2016.</w:t>
      </w:r>
    </w:p>
  </w:footnote>
  <w:footnote w:id="2">
    <w:p w14:paraId="7594313E" w14:textId="77777777" w:rsidR="00E82213" w:rsidRPr="0035135B" w:rsidRDefault="00E82213" w:rsidP="007E2FD4">
      <w:pPr>
        <w:pStyle w:val="FootnoteText"/>
        <w:spacing w:before="0"/>
        <w:ind w:left="0"/>
        <w:rPr>
          <w:rFonts w:ascii="Times New Roman" w:hAnsi="Times New Roman"/>
        </w:rPr>
      </w:pPr>
      <w:r>
        <w:rPr>
          <w:rStyle w:val="FootnoteReference"/>
        </w:rPr>
        <w:footnoteRef/>
      </w:r>
      <w:r>
        <w:t xml:space="preserve"> </w:t>
      </w:r>
      <w:r w:rsidRPr="0035135B">
        <w:rPr>
          <w:rFonts w:ascii="Times New Roman" w:hAnsi="Times New Roman"/>
        </w:rPr>
        <w:t>Source: World Bank estimates from https://data.worldbank.org.</w:t>
      </w:r>
    </w:p>
  </w:footnote>
  <w:footnote w:id="3">
    <w:p w14:paraId="51321CAC" w14:textId="77777777" w:rsidR="00E82213" w:rsidRPr="0035135B" w:rsidRDefault="00E82213" w:rsidP="007E2FD4">
      <w:pPr>
        <w:pStyle w:val="FootnoteText"/>
        <w:spacing w:before="0"/>
        <w:ind w:left="0"/>
        <w:rPr>
          <w:rFonts w:ascii="Times New Roman" w:hAnsi="Times New Roman"/>
          <w:lang w:val="en-ID"/>
        </w:rPr>
      </w:pPr>
      <w:r w:rsidRPr="0035135B">
        <w:rPr>
          <w:rStyle w:val="FootnoteReference"/>
          <w:rFonts w:ascii="Times New Roman" w:hAnsi="Times New Roman"/>
        </w:rPr>
        <w:footnoteRef/>
      </w:r>
      <w:r w:rsidRPr="0035135B">
        <w:rPr>
          <w:rFonts w:ascii="Times New Roman" w:hAnsi="Times New Roman"/>
        </w:rPr>
        <w:t xml:space="preserve"> </w:t>
      </w:r>
      <w:r w:rsidRPr="0035135B">
        <w:rPr>
          <w:rFonts w:ascii="Times New Roman" w:hAnsi="Times New Roman"/>
          <w:lang w:val="en-ID"/>
        </w:rPr>
        <w:t xml:space="preserve">Source: </w:t>
      </w:r>
      <w:r w:rsidRPr="0035135B">
        <w:rPr>
          <w:rFonts w:ascii="Times New Roman" w:hAnsi="Times New Roman"/>
        </w:rPr>
        <w:t>World Bank</w:t>
      </w:r>
      <w:r w:rsidRPr="0035135B">
        <w:rPr>
          <w:rFonts w:ascii="Times New Roman" w:hAnsi="Times New Roman"/>
          <w:lang w:val="en-ID"/>
        </w:rPr>
        <w:t xml:space="preserve"> staff estimates and projections as of September 19, 2017.</w:t>
      </w:r>
    </w:p>
  </w:footnote>
  <w:footnote w:id="4">
    <w:p w14:paraId="0A82C3C9" w14:textId="77777777" w:rsidR="00E82213" w:rsidRPr="0035135B" w:rsidRDefault="00E82213" w:rsidP="007E2FD4">
      <w:pPr>
        <w:pStyle w:val="FootnoteText"/>
        <w:spacing w:before="0"/>
        <w:ind w:left="0"/>
        <w:rPr>
          <w:rFonts w:ascii="Times New Roman" w:hAnsi="Times New Roman"/>
        </w:rPr>
      </w:pPr>
      <w:r w:rsidRPr="0035135B">
        <w:rPr>
          <w:rStyle w:val="FootnoteReference"/>
          <w:rFonts w:ascii="Times New Roman" w:hAnsi="Times New Roman"/>
        </w:rPr>
        <w:footnoteRef/>
      </w:r>
      <w:r w:rsidRPr="0035135B">
        <w:rPr>
          <w:rFonts w:ascii="Times New Roman" w:hAnsi="Times New Roman"/>
        </w:rPr>
        <w:t xml:space="preserve"> Source: IMF Country Report No. 17/53, 2016 Article IV Consultation.</w:t>
      </w:r>
      <w:r w:rsidRPr="0035135B">
        <w:rPr>
          <w:rFonts w:ascii="Times New Roman" w:eastAsiaTheme="minorHAnsi" w:hAnsi="Times New Roman"/>
          <w:b/>
          <w:bCs/>
          <w:color w:val="818181"/>
          <w:sz w:val="21"/>
          <w:szCs w:val="21"/>
          <w:lang w:val="en-ID"/>
        </w:rPr>
        <w:t xml:space="preserve"> </w:t>
      </w:r>
    </w:p>
  </w:footnote>
  <w:footnote w:id="5">
    <w:p w14:paraId="559DAC91" w14:textId="77777777" w:rsidR="00E82213" w:rsidRPr="0035135B" w:rsidRDefault="00E82213" w:rsidP="007E2FD4">
      <w:pPr>
        <w:pStyle w:val="FootnoteText"/>
        <w:spacing w:before="0"/>
        <w:ind w:left="0"/>
        <w:rPr>
          <w:rFonts w:ascii="Times New Roman" w:hAnsi="Times New Roman"/>
          <w:lang w:val="en-MY"/>
        </w:rPr>
      </w:pPr>
      <w:r w:rsidRPr="0035135B">
        <w:rPr>
          <w:rStyle w:val="FootnoteReference"/>
          <w:rFonts w:ascii="Times New Roman" w:hAnsi="Times New Roman"/>
        </w:rPr>
        <w:footnoteRef/>
      </w:r>
      <w:r w:rsidRPr="0035135B">
        <w:rPr>
          <w:rFonts w:ascii="Times New Roman" w:hAnsi="Times New Roman"/>
        </w:rPr>
        <w:t xml:space="preserve"> Article IV Consultation with Lao P.D.R. published in March 2018.</w:t>
      </w:r>
    </w:p>
  </w:footnote>
  <w:footnote w:id="6">
    <w:p w14:paraId="1CF21982" w14:textId="77777777" w:rsidR="00E82213" w:rsidRPr="0035135B" w:rsidRDefault="00E82213" w:rsidP="007E2FD4">
      <w:pPr>
        <w:pStyle w:val="FootnoteText"/>
        <w:spacing w:before="0"/>
        <w:ind w:left="0"/>
        <w:rPr>
          <w:rFonts w:ascii="Times New Roman" w:hAnsi="Times New Roman"/>
        </w:rPr>
      </w:pPr>
      <w:r>
        <w:rPr>
          <w:rStyle w:val="FootnoteReference"/>
        </w:rPr>
        <w:footnoteRef/>
      </w:r>
      <w:r>
        <w:t xml:space="preserve"> </w:t>
      </w:r>
      <w:r w:rsidRPr="0035135B">
        <w:rPr>
          <w:rFonts w:ascii="Times New Roman" w:hAnsi="Times New Roman"/>
        </w:rPr>
        <w:t>Source: IMF Article IV for Lao PDR dated February 2017.</w:t>
      </w:r>
    </w:p>
  </w:footnote>
  <w:footnote w:id="7">
    <w:p w14:paraId="0EC95A1C" w14:textId="77777777" w:rsidR="00E82213" w:rsidRPr="0035135B" w:rsidRDefault="00E82213" w:rsidP="007E2FD4">
      <w:pPr>
        <w:pStyle w:val="FootnoteText"/>
        <w:spacing w:before="0"/>
        <w:ind w:left="0"/>
        <w:rPr>
          <w:rFonts w:ascii="Times New Roman" w:hAnsi="Times New Roman"/>
        </w:rPr>
      </w:pPr>
      <w:r w:rsidRPr="0035135B">
        <w:rPr>
          <w:rStyle w:val="FootnoteReference"/>
          <w:rFonts w:ascii="Times New Roman" w:hAnsi="Times New Roman"/>
        </w:rPr>
        <w:footnoteRef/>
      </w:r>
      <w:r w:rsidRPr="0035135B">
        <w:rPr>
          <w:rFonts w:ascii="Times New Roman" w:hAnsi="Times New Roman"/>
        </w:rPr>
        <w:t xml:space="preserve"> The Banque Pour le Commerce Exterieur Lao (BCEL), and the power generation arm of the electrical utility, Electricité du Laos - Generation (EDL-Gen).</w:t>
      </w:r>
    </w:p>
  </w:footnote>
  <w:footnote w:id="8">
    <w:p w14:paraId="5D929B64" w14:textId="77777777" w:rsidR="00E82213" w:rsidRPr="0035135B" w:rsidRDefault="00E82213" w:rsidP="007E2FD4">
      <w:pPr>
        <w:pStyle w:val="FootnoteText"/>
        <w:spacing w:before="0"/>
        <w:ind w:left="0"/>
        <w:rPr>
          <w:rFonts w:ascii="Times New Roman" w:hAnsi="Times New Roman"/>
        </w:rPr>
      </w:pPr>
      <w:r w:rsidRPr="0035135B">
        <w:rPr>
          <w:rStyle w:val="FootnoteReference"/>
          <w:rFonts w:ascii="Times New Roman" w:hAnsi="Times New Roman"/>
        </w:rPr>
        <w:footnoteRef/>
      </w:r>
      <w:r w:rsidRPr="0035135B">
        <w:rPr>
          <w:rFonts w:ascii="Times New Roman" w:hAnsi="Times New Roman"/>
        </w:rPr>
        <w:t xml:space="preserve"> LAO PDR Accelerating structural transformation for inclusive growth Country Diagnostic Study, 2017.</w:t>
      </w:r>
    </w:p>
  </w:footnote>
  <w:footnote w:id="9">
    <w:p w14:paraId="5C604682" w14:textId="77777777" w:rsidR="00E82213" w:rsidRPr="00725543" w:rsidRDefault="00E82213" w:rsidP="007E2FD4">
      <w:pPr>
        <w:pStyle w:val="FootnoteText"/>
        <w:spacing w:before="0"/>
        <w:ind w:left="0"/>
        <w:rPr>
          <w:rFonts w:ascii="Times New Roman" w:hAnsi="Times New Roman"/>
        </w:rPr>
      </w:pPr>
      <w:r w:rsidRPr="00725543">
        <w:rPr>
          <w:rStyle w:val="FootnoteReference"/>
          <w:rFonts w:ascii="Times New Roman" w:hAnsi="Times New Roman"/>
        </w:rPr>
        <w:footnoteRef/>
      </w:r>
      <w:r w:rsidRPr="00725543">
        <w:rPr>
          <w:rFonts w:ascii="Times New Roman" w:hAnsi="Times New Roman"/>
        </w:rPr>
        <w:t>Source: World Bank estimates from https://data.worldbank.org, poverty measured as poverty headcount ratio at national poverty lines.</w:t>
      </w:r>
    </w:p>
  </w:footnote>
  <w:footnote w:id="10">
    <w:p w14:paraId="747DDABD" w14:textId="77777777" w:rsidR="00E82213" w:rsidRPr="00CF1EC4" w:rsidRDefault="00E82213" w:rsidP="007E2FD4">
      <w:pPr>
        <w:pStyle w:val="FootnoteText"/>
        <w:spacing w:before="0"/>
        <w:ind w:left="0"/>
        <w:rPr>
          <w:rFonts w:ascii="Times New Roman" w:hAnsi="Times New Roman"/>
        </w:rPr>
      </w:pPr>
      <w:r>
        <w:rPr>
          <w:rStyle w:val="FootnoteReference"/>
        </w:rPr>
        <w:footnoteRef/>
      </w:r>
      <w:r>
        <w:t xml:space="preserve"> </w:t>
      </w:r>
      <w:r w:rsidRPr="00CF1EC4">
        <w:rPr>
          <w:rFonts w:ascii="Times New Roman" w:hAnsi="Times New Roman"/>
        </w:rPr>
        <w:t>Lao PDR Systematic Country Diagnostic, March 2017.</w:t>
      </w:r>
    </w:p>
  </w:footnote>
  <w:footnote w:id="11">
    <w:p w14:paraId="1B3D8BFC" w14:textId="77777777" w:rsidR="00E82213" w:rsidRPr="004D74D2" w:rsidRDefault="00E82213" w:rsidP="00E42308">
      <w:pPr>
        <w:pStyle w:val="FootnoteText"/>
        <w:widowControl w:val="0"/>
        <w:autoSpaceDE w:val="0"/>
        <w:autoSpaceDN w:val="0"/>
        <w:adjustRightInd w:val="0"/>
        <w:spacing w:after="240"/>
        <w:ind w:left="0"/>
        <w:rPr>
          <w:rFonts w:ascii="Times New Roman" w:hAnsi="Times New Roman"/>
        </w:rPr>
      </w:pPr>
      <w:r w:rsidRPr="004D74D2">
        <w:rPr>
          <w:rStyle w:val="FootnoteReference"/>
          <w:rFonts w:ascii="Times New Roman" w:hAnsi="Times New Roman"/>
        </w:rPr>
        <w:footnoteRef/>
      </w:r>
      <w:r w:rsidRPr="004D74D2">
        <w:rPr>
          <w:rFonts w:ascii="Times New Roman" w:hAnsi="Times New Roman"/>
        </w:rPr>
        <w:t xml:space="preserve"> Source: WB internal note on PFM reform.</w:t>
      </w:r>
    </w:p>
  </w:footnote>
  <w:footnote w:id="12">
    <w:p w14:paraId="232FF7D3" w14:textId="77777777" w:rsidR="00E82213" w:rsidRPr="00254825" w:rsidRDefault="00E82213" w:rsidP="007E2FD4">
      <w:pPr>
        <w:pStyle w:val="FootnoteText"/>
        <w:spacing w:before="0"/>
        <w:ind w:left="0"/>
        <w:rPr>
          <w:rFonts w:ascii="Times New Roman" w:hAnsi="Times New Roman"/>
        </w:rPr>
      </w:pPr>
      <w:r>
        <w:rPr>
          <w:rStyle w:val="FootnoteReference"/>
        </w:rPr>
        <w:footnoteRef/>
      </w:r>
      <w:r>
        <w:t xml:space="preserve"> </w:t>
      </w:r>
      <w:r w:rsidRPr="00254825">
        <w:rPr>
          <w:rFonts w:ascii="Times New Roman" w:hAnsi="Times New Roman"/>
        </w:rPr>
        <w:t>Vision to 2030 and Public Finance Development Strategy to 2025, MoF 2018.</w:t>
      </w:r>
    </w:p>
  </w:footnote>
  <w:footnote w:id="13">
    <w:p w14:paraId="024312C0" w14:textId="77777777" w:rsidR="00E82213" w:rsidRPr="00254825" w:rsidRDefault="00E82213" w:rsidP="007E2FD4">
      <w:pPr>
        <w:pStyle w:val="FootnoteText"/>
        <w:spacing w:before="0"/>
        <w:ind w:left="0"/>
        <w:rPr>
          <w:rFonts w:ascii="Times New Roman" w:hAnsi="Times New Roman"/>
        </w:rPr>
      </w:pPr>
      <w:r w:rsidRPr="00254825">
        <w:rPr>
          <w:rStyle w:val="FootnoteReference"/>
          <w:rFonts w:ascii="Times New Roman" w:hAnsi="Times New Roman"/>
        </w:rPr>
        <w:footnoteRef/>
      </w:r>
      <w:r w:rsidRPr="00254825">
        <w:rPr>
          <w:rFonts w:ascii="Times New Roman" w:hAnsi="Times New Roman"/>
        </w:rPr>
        <w:t xml:space="preserve"> </w:t>
      </w:r>
      <w:r w:rsidRPr="00D13368">
        <w:rPr>
          <w:rFonts w:ascii="Times New Roman" w:hAnsi="Times New Roman"/>
        </w:rPr>
        <w:t>From Alternative path to Public Financial Management and Public Sector Reform,</w:t>
      </w:r>
      <w:r w:rsidRPr="00884FB2">
        <w:rPr>
          <w:rFonts w:ascii="Times New Roman" w:hAnsi="Times New Roman"/>
        </w:rPr>
        <w:t xml:space="preserve"> World</w:t>
      </w:r>
      <w:r w:rsidRPr="00254825">
        <w:rPr>
          <w:rFonts w:ascii="Times New Roman" w:hAnsi="Times New Roman"/>
        </w:rPr>
        <w:t xml:space="preserve"> Bank 2018.</w:t>
      </w:r>
    </w:p>
  </w:footnote>
  <w:footnote w:id="14">
    <w:p w14:paraId="623312F5" w14:textId="77777777" w:rsidR="00E82213" w:rsidRPr="00586D90" w:rsidRDefault="00E82213" w:rsidP="007E2FD4">
      <w:pPr>
        <w:pStyle w:val="FootnoteText"/>
        <w:spacing w:before="0"/>
        <w:ind w:left="0"/>
        <w:rPr>
          <w:rFonts w:ascii="Times New Roman" w:hAnsi="Times New Roman"/>
        </w:rPr>
      </w:pPr>
      <w:r>
        <w:rPr>
          <w:rStyle w:val="FootnoteReference"/>
        </w:rPr>
        <w:footnoteRef/>
      </w:r>
      <w:r>
        <w:t xml:space="preserve"> </w:t>
      </w:r>
      <w:r w:rsidRPr="00586D90">
        <w:rPr>
          <w:rFonts w:ascii="Times New Roman" w:hAnsi="Times New Roman"/>
        </w:rPr>
        <w:t>Ref. PFM Technical Guidance Note No. 2 Reforming Budget System Laws Prepared by Ian Lienert and Israel Fainboim October 2007</w:t>
      </w:r>
      <w:r>
        <w:rPr>
          <w:rFonts w:ascii="Times New Roman" w:hAnsi="Times New Roman"/>
        </w:rPr>
        <w:t>.</w:t>
      </w:r>
    </w:p>
  </w:footnote>
  <w:footnote w:id="15">
    <w:p w14:paraId="5C6B3E96" w14:textId="77777777" w:rsidR="00E82213" w:rsidRPr="00586D90" w:rsidRDefault="00E82213" w:rsidP="007E2FD4">
      <w:pPr>
        <w:pStyle w:val="Default"/>
        <w:spacing w:before="0"/>
        <w:ind w:left="0"/>
        <w:rPr>
          <w:rFonts w:ascii="Times New Roman" w:eastAsiaTheme="minorHAnsi" w:hAnsi="Times New Roman" w:cs="Times New Roman"/>
          <w:sz w:val="20"/>
          <w:szCs w:val="20"/>
          <w:lang w:val="en-MY"/>
        </w:rPr>
      </w:pPr>
      <w:r w:rsidRPr="00586D90">
        <w:rPr>
          <w:rStyle w:val="FootnoteReference"/>
          <w:rFonts w:ascii="Times New Roman" w:hAnsi="Times New Roman" w:cs="Times New Roman"/>
          <w:sz w:val="20"/>
          <w:szCs w:val="20"/>
        </w:rPr>
        <w:footnoteRef/>
      </w:r>
      <w:r w:rsidRPr="00586D90">
        <w:rPr>
          <w:rFonts w:ascii="Times New Roman" w:hAnsi="Times New Roman" w:cs="Times New Roman"/>
          <w:sz w:val="20"/>
          <w:szCs w:val="20"/>
        </w:rPr>
        <w:t xml:space="preserve"> </w:t>
      </w:r>
      <w:r w:rsidRPr="00586D90">
        <w:rPr>
          <w:rFonts w:ascii="Times New Roman" w:hAnsi="Times New Roman" w:cs="Times New Roman"/>
          <w:color w:val="auto"/>
          <w:sz w:val="20"/>
          <w:szCs w:val="20"/>
        </w:rPr>
        <w:t xml:space="preserve">Technical Note Review of the State Budget Law 2015, </w:t>
      </w:r>
      <w:r w:rsidRPr="00586D90">
        <w:rPr>
          <w:rFonts w:ascii="Times New Roman" w:eastAsiaTheme="minorHAnsi" w:hAnsi="Times New Roman" w:cs="Times New Roman"/>
          <w:sz w:val="20"/>
          <w:szCs w:val="20"/>
          <w:lang w:val="en-MY"/>
        </w:rPr>
        <w:t>Dr Lynne McKenzie, February 2017</w:t>
      </w:r>
    </w:p>
  </w:footnote>
  <w:footnote w:id="16">
    <w:p w14:paraId="194CDB75" w14:textId="77777777" w:rsidR="00E82213" w:rsidRPr="00586D90" w:rsidRDefault="00E82213" w:rsidP="007E2FD4">
      <w:pPr>
        <w:pStyle w:val="FootnoteText"/>
        <w:spacing w:before="0"/>
        <w:ind w:left="0"/>
        <w:rPr>
          <w:rFonts w:ascii="Times New Roman" w:hAnsi="Times New Roman"/>
        </w:rPr>
      </w:pPr>
      <w:r w:rsidRPr="00586D90">
        <w:rPr>
          <w:rStyle w:val="FootnoteReference"/>
          <w:rFonts w:ascii="Times New Roman" w:hAnsi="Times New Roman"/>
        </w:rPr>
        <w:footnoteRef/>
      </w:r>
      <w:r w:rsidRPr="00586D90">
        <w:rPr>
          <w:rFonts w:ascii="Times New Roman" w:hAnsi="Times New Roman"/>
        </w:rPr>
        <w:t xml:space="preserve"> Vientiane Times, January 18, 2017.</w:t>
      </w:r>
    </w:p>
  </w:footnote>
  <w:footnote w:id="17">
    <w:p w14:paraId="348BDE9D" w14:textId="77777777" w:rsidR="00E82213" w:rsidRPr="00784AD7" w:rsidRDefault="00E82213" w:rsidP="00784AD7">
      <w:pPr>
        <w:pStyle w:val="FootnoteText"/>
        <w:spacing w:before="0"/>
        <w:ind w:left="0"/>
        <w:rPr>
          <w:rFonts w:ascii="Times New Roman" w:hAnsi="Times New Roman"/>
          <w:lang w:val="en-GB"/>
        </w:rPr>
      </w:pPr>
      <w:r w:rsidRPr="00784AD7">
        <w:rPr>
          <w:rStyle w:val="FootnoteReference"/>
          <w:rFonts w:ascii="Times New Roman" w:hAnsi="Times New Roman"/>
        </w:rPr>
        <w:footnoteRef/>
      </w:r>
      <w:r w:rsidRPr="00784AD7">
        <w:rPr>
          <w:rFonts w:ascii="Times New Roman" w:hAnsi="Times New Roman"/>
        </w:rPr>
        <w:t xml:space="preserve"> </w:t>
      </w:r>
      <w:r>
        <w:rPr>
          <w:rFonts w:ascii="Times New Roman" w:hAnsi="Times New Roman"/>
        </w:rPr>
        <w:t xml:space="preserve">Estimated </w:t>
      </w:r>
      <w:r w:rsidRPr="00AB2AA5">
        <w:rPr>
          <w:rFonts w:ascii="Times New Roman" w:eastAsiaTheme="minorHAnsi" w:hAnsi="Times New Roman"/>
          <w:lang w:val="en-MY"/>
        </w:rPr>
        <w:t>at 505 billion Kip</w:t>
      </w:r>
      <w:r>
        <w:rPr>
          <w:rFonts w:ascii="Times New Roman" w:eastAsiaTheme="minorHAnsi" w:hAnsi="Times New Roman"/>
          <w:lang w:val="en-MY"/>
        </w:rPr>
        <w:t xml:space="preserve"> (c.f. PI-19)</w:t>
      </w:r>
    </w:p>
  </w:footnote>
  <w:footnote w:id="18">
    <w:p w14:paraId="74E7EEF8" w14:textId="77777777" w:rsidR="00E82213" w:rsidRPr="00F8790B" w:rsidRDefault="00E82213" w:rsidP="007E2FD4">
      <w:pPr>
        <w:pStyle w:val="FootnoteText"/>
        <w:spacing w:before="0"/>
        <w:ind w:left="0"/>
        <w:rPr>
          <w:rFonts w:ascii="Times New Roman" w:hAnsi="Times New Roman"/>
        </w:rPr>
      </w:pPr>
      <w:r>
        <w:rPr>
          <w:rStyle w:val="FootnoteReference"/>
        </w:rPr>
        <w:footnoteRef/>
      </w:r>
      <w:r>
        <w:t xml:space="preserve"> </w:t>
      </w:r>
      <w:r w:rsidRPr="00F8790B">
        <w:rPr>
          <w:rFonts w:ascii="Times New Roman" w:hAnsi="Times New Roman"/>
        </w:rPr>
        <w:t>Support for Governance and Capacity-development, Draft Inception Report, 5 March 2018, Jonathan G Dunn, ADB Fiscal Decentralization Advisor</w:t>
      </w:r>
    </w:p>
  </w:footnote>
  <w:footnote w:id="19">
    <w:p w14:paraId="00C79A4E" w14:textId="77777777" w:rsidR="00E82213" w:rsidRPr="00F8790B" w:rsidRDefault="00E82213" w:rsidP="007E2FD4">
      <w:pPr>
        <w:pStyle w:val="FootnoteText"/>
        <w:spacing w:before="0"/>
        <w:ind w:left="0"/>
        <w:rPr>
          <w:rFonts w:ascii="Times New Roman" w:hAnsi="Times New Roman"/>
        </w:rPr>
      </w:pPr>
      <w:r w:rsidRPr="00F8790B">
        <w:rPr>
          <w:rStyle w:val="FootnoteReference"/>
          <w:rFonts w:ascii="Times New Roman" w:hAnsi="Times New Roman"/>
        </w:rPr>
        <w:footnoteRef/>
      </w:r>
      <w:r w:rsidRPr="00F8790B">
        <w:rPr>
          <w:rFonts w:ascii="Times New Roman" w:hAnsi="Times New Roman"/>
        </w:rPr>
        <w:t xml:space="preserve"> Idem.</w:t>
      </w:r>
    </w:p>
  </w:footnote>
  <w:footnote w:id="20">
    <w:p w14:paraId="04775FB5" w14:textId="77777777" w:rsidR="00E82213" w:rsidRPr="00784AD7" w:rsidRDefault="00E82213" w:rsidP="00784AD7">
      <w:pPr>
        <w:pStyle w:val="FootnoteText"/>
        <w:spacing w:before="0"/>
        <w:ind w:left="0"/>
        <w:rPr>
          <w:rFonts w:ascii="Times New Roman" w:hAnsi="Times New Roman"/>
          <w:lang w:val="en-MY"/>
        </w:rPr>
      </w:pPr>
      <w:r w:rsidRPr="00784AD7">
        <w:rPr>
          <w:rStyle w:val="FootnoteReference"/>
          <w:rFonts w:ascii="Times New Roman" w:hAnsi="Times New Roman"/>
        </w:rPr>
        <w:footnoteRef/>
      </w:r>
      <w:r w:rsidRPr="00784AD7">
        <w:rPr>
          <w:rFonts w:ascii="Times New Roman" w:hAnsi="Times New Roman"/>
        </w:rPr>
        <w:t xml:space="preserve"> </w:t>
      </w:r>
      <w:r w:rsidRPr="00784AD7">
        <w:rPr>
          <w:rFonts w:ascii="Times New Roman" w:hAnsi="Times New Roman"/>
          <w:color w:val="000000"/>
          <w:spacing w:val="-4"/>
          <w:lang w:val="en-GB"/>
        </w:rPr>
        <w:t>Although Lao PDR has amongst the highest proportions of women in national parliaments in the region, women’s representation is still very low at district and village levels. There were only 145 women village chiefs from the total of 8,651 villages (2%). Thus, improvement of women’s participation in village development is critically</w:t>
      </w:r>
      <w:r w:rsidRPr="00784AD7">
        <w:rPr>
          <w:rFonts w:ascii="Times New Roman" w:hAnsi="Times New Roman"/>
          <w:color w:val="000000"/>
          <w:lang w:val="en-GB"/>
        </w:rPr>
        <w:t xml:space="preserve"> </w:t>
      </w:r>
      <w:r w:rsidRPr="00784AD7">
        <w:rPr>
          <w:rFonts w:ascii="Times New Roman" w:hAnsi="Times New Roman"/>
          <w:color w:val="000000"/>
          <w:spacing w:val="-4"/>
          <w:lang w:val="en-GB"/>
        </w:rPr>
        <w:t>important</w:t>
      </w:r>
      <w:r w:rsidRPr="00784AD7">
        <w:rPr>
          <w:rFonts w:ascii="Times New Roman" w:hAnsi="Times New Roman"/>
          <w:color w:val="000000"/>
          <w:lang w:val="en-GB"/>
        </w:rPr>
        <w:t xml:space="preserve">.  </w:t>
      </w:r>
    </w:p>
  </w:footnote>
  <w:footnote w:id="21">
    <w:p w14:paraId="729F4D29" w14:textId="77777777" w:rsidR="00E82213" w:rsidRPr="00784AD7" w:rsidRDefault="00E82213" w:rsidP="00784AD7">
      <w:pPr>
        <w:pStyle w:val="FootnoteText"/>
        <w:spacing w:before="0"/>
        <w:ind w:left="0"/>
        <w:rPr>
          <w:rFonts w:ascii="Times New Roman" w:hAnsi="Times New Roman"/>
        </w:rPr>
      </w:pPr>
      <w:r w:rsidRPr="00784AD7">
        <w:rPr>
          <w:rStyle w:val="FootnoteReference"/>
          <w:rFonts w:ascii="Times New Roman" w:hAnsi="Times New Roman"/>
        </w:rPr>
        <w:footnoteRef/>
      </w:r>
      <w:r w:rsidRPr="00784AD7">
        <w:rPr>
          <w:rFonts w:ascii="Times New Roman" w:hAnsi="Times New Roman"/>
        </w:rPr>
        <w:t xml:space="preserve"> From WB internal note on RMP summary, September 2017</w:t>
      </w:r>
    </w:p>
  </w:footnote>
  <w:footnote w:id="22">
    <w:p w14:paraId="64602240" w14:textId="77777777" w:rsidR="00E82213" w:rsidRPr="00DF1DA1" w:rsidRDefault="00E82213" w:rsidP="008D3EF5">
      <w:pPr>
        <w:spacing w:before="0"/>
        <w:ind w:left="0"/>
      </w:pPr>
      <w:r>
        <w:rPr>
          <w:rStyle w:val="FootnoteReference"/>
        </w:rPr>
        <w:footnoteRef/>
      </w:r>
      <w:r>
        <w:t xml:space="preserve"> </w:t>
      </w:r>
      <w:r w:rsidRPr="00E13630">
        <w:rPr>
          <w:rFonts w:ascii="Times New Roman" w:eastAsia="Calibri" w:hAnsi="Times New Roman"/>
          <w:sz w:val="20"/>
          <w:szCs w:val="20"/>
        </w:rPr>
        <w:t xml:space="preserve">The approved original budget is the State Budget plan approved by the National Assembly </w:t>
      </w:r>
      <w:r>
        <w:rPr>
          <w:rFonts w:ascii="Times New Roman" w:eastAsia="Calibri" w:hAnsi="Times New Roman"/>
          <w:sz w:val="20"/>
          <w:szCs w:val="20"/>
        </w:rPr>
        <w:t>and includes</w:t>
      </w:r>
      <w:r w:rsidRPr="00E13630">
        <w:rPr>
          <w:rFonts w:ascii="Times New Roman" w:eastAsia="Calibri" w:hAnsi="Times New Roman"/>
          <w:sz w:val="20"/>
          <w:szCs w:val="20"/>
        </w:rPr>
        <w:t xml:space="preserve"> debt interest and capital repayment but exclud</w:t>
      </w:r>
      <w:r>
        <w:rPr>
          <w:rFonts w:ascii="Times New Roman" w:eastAsia="Calibri" w:hAnsi="Times New Roman"/>
          <w:sz w:val="20"/>
          <w:szCs w:val="20"/>
        </w:rPr>
        <w:t>es – or covers</w:t>
      </w:r>
      <w:r w:rsidRPr="00E13630">
        <w:rPr>
          <w:rFonts w:ascii="Times New Roman" w:eastAsia="Calibri" w:hAnsi="Times New Roman"/>
          <w:sz w:val="20"/>
          <w:szCs w:val="20"/>
        </w:rPr>
        <w:t xml:space="preserve"> only partially - expenditures funded from external loans and grants that may not be available at the time of </w:t>
      </w:r>
      <w:r>
        <w:rPr>
          <w:rFonts w:ascii="Times New Roman" w:eastAsia="Calibri" w:hAnsi="Times New Roman"/>
          <w:sz w:val="20"/>
          <w:szCs w:val="20"/>
        </w:rPr>
        <w:t xml:space="preserve">the budget </w:t>
      </w:r>
      <w:r w:rsidRPr="00E13630">
        <w:rPr>
          <w:rFonts w:ascii="Times New Roman" w:eastAsia="Calibri" w:hAnsi="Times New Roman"/>
          <w:sz w:val="20"/>
          <w:szCs w:val="20"/>
        </w:rPr>
        <w:t>submission to the NA</w:t>
      </w:r>
      <w:r>
        <w:rPr>
          <w:rFonts w:ascii="Times New Roman" w:eastAsia="Calibri" w:hAnsi="Times New Roman"/>
          <w:sz w:val="20"/>
          <w:szCs w:val="20"/>
        </w:rPr>
        <w:t xml:space="preserve">.  These are </w:t>
      </w:r>
      <w:r w:rsidRPr="00E13630">
        <w:rPr>
          <w:rFonts w:ascii="Times New Roman" w:eastAsia="Calibri" w:hAnsi="Times New Roman"/>
          <w:sz w:val="20"/>
          <w:szCs w:val="20"/>
        </w:rPr>
        <w:t xml:space="preserve">allocated mostly to the capital budget. The </w:t>
      </w:r>
      <w:r>
        <w:rPr>
          <w:rFonts w:ascii="Times New Roman" w:eastAsia="Calibri" w:hAnsi="Times New Roman"/>
          <w:sz w:val="20"/>
          <w:szCs w:val="20"/>
        </w:rPr>
        <w:t>extrabudgetary</w:t>
      </w:r>
      <w:r w:rsidRPr="00E13630">
        <w:rPr>
          <w:rFonts w:ascii="Times New Roman" w:eastAsia="Calibri" w:hAnsi="Times New Roman"/>
          <w:sz w:val="20"/>
          <w:szCs w:val="20"/>
        </w:rPr>
        <w:t xml:space="preserve"> funds </w:t>
      </w:r>
      <w:r>
        <w:rPr>
          <w:rFonts w:ascii="Times New Roman" w:eastAsia="Calibri" w:hAnsi="Times New Roman"/>
          <w:sz w:val="20"/>
          <w:szCs w:val="20"/>
        </w:rPr>
        <w:t xml:space="preserve">that </w:t>
      </w:r>
      <w:r w:rsidRPr="00E13630">
        <w:rPr>
          <w:rFonts w:ascii="Times New Roman" w:eastAsia="Calibri" w:hAnsi="Times New Roman"/>
          <w:sz w:val="20"/>
          <w:szCs w:val="20"/>
        </w:rPr>
        <w:t xml:space="preserve">are recorded – for both revenue and expenditure – </w:t>
      </w:r>
      <w:r>
        <w:rPr>
          <w:rFonts w:ascii="Times New Roman" w:eastAsia="Calibri" w:hAnsi="Times New Roman"/>
          <w:sz w:val="20"/>
          <w:szCs w:val="20"/>
        </w:rPr>
        <w:t xml:space="preserve">are </w:t>
      </w:r>
      <w:r w:rsidRPr="00E13630">
        <w:rPr>
          <w:rFonts w:ascii="Times New Roman" w:eastAsia="Calibri" w:hAnsi="Times New Roman"/>
          <w:sz w:val="20"/>
          <w:szCs w:val="20"/>
        </w:rPr>
        <w:t>only for th</w:t>
      </w:r>
      <w:r>
        <w:rPr>
          <w:rFonts w:ascii="Times New Roman" w:eastAsia="Calibri" w:hAnsi="Times New Roman"/>
          <w:sz w:val="20"/>
          <w:szCs w:val="20"/>
        </w:rPr>
        <w:t>e</w:t>
      </w:r>
      <w:r w:rsidRPr="00E13630">
        <w:rPr>
          <w:rFonts w:ascii="Times New Roman" w:eastAsia="Calibri" w:hAnsi="Times New Roman"/>
          <w:sz w:val="20"/>
          <w:szCs w:val="20"/>
        </w:rPr>
        <w:t xml:space="preserve"> part </w:t>
      </w:r>
      <w:r>
        <w:rPr>
          <w:rFonts w:ascii="Times New Roman" w:eastAsia="Calibri" w:hAnsi="Times New Roman"/>
          <w:sz w:val="20"/>
          <w:szCs w:val="20"/>
        </w:rPr>
        <w:t>that comes from government contribution.  However, this</w:t>
      </w:r>
      <w:r w:rsidRPr="00E13630">
        <w:rPr>
          <w:rFonts w:ascii="Times New Roman" w:eastAsia="Calibri" w:hAnsi="Times New Roman"/>
          <w:sz w:val="20"/>
          <w:szCs w:val="20"/>
        </w:rPr>
        <w:t xml:space="preserve"> represents most of their budget, except for the Road Maintenance Fund and the Environment Protection Fund.</w:t>
      </w:r>
    </w:p>
  </w:footnote>
  <w:footnote w:id="23">
    <w:p w14:paraId="570ED1AE" w14:textId="77777777" w:rsidR="00E82213" w:rsidRPr="00443332" w:rsidRDefault="00E82213">
      <w:pPr>
        <w:pStyle w:val="FootnoteText"/>
        <w:rPr>
          <w:rFonts w:ascii="Times New Roman" w:hAnsi="Times New Roman"/>
        </w:rPr>
      </w:pPr>
      <w:r w:rsidRPr="00443332">
        <w:rPr>
          <w:rStyle w:val="FootnoteReference"/>
          <w:rFonts w:ascii="Times New Roman" w:hAnsi="Times New Roman"/>
        </w:rPr>
        <w:footnoteRef/>
      </w:r>
      <w:r w:rsidRPr="00443332">
        <w:rPr>
          <w:rFonts w:ascii="Times New Roman" w:hAnsi="Times New Roman"/>
        </w:rPr>
        <w:t xml:space="preserve"> This calculation is based on temporary and non official 2017 budget execution data provided by FPD as of March 8</w:t>
      </w:r>
      <w:r w:rsidRPr="00443332">
        <w:rPr>
          <w:rFonts w:ascii="Times New Roman" w:hAnsi="Times New Roman"/>
          <w:vertAlign w:val="superscript"/>
        </w:rPr>
        <w:t>th</w:t>
      </w:r>
      <w:r w:rsidRPr="00443332">
        <w:rPr>
          <w:rFonts w:ascii="Times New Roman" w:hAnsi="Times New Roman"/>
        </w:rPr>
        <w:t>, 2019.</w:t>
      </w:r>
    </w:p>
  </w:footnote>
  <w:footnote w:id="24">
    <w:p w14:paraId="6E8EF7A5" w14:textId="77777777" w:rsidR="00E82213" w:rsidRPr="00F02A88" w:rsidRDefault="00E82213" w:rsidP="00161492">
      <w:pPr>
        <w:pStyle w:val="FootnoteText"/>
        <w:spacing w:before="0"/>
        <w:ind w:left="0"/>
        <w:rPr>
          <w:rFonts w:ascii="Times New Roman" w:hAnsi="Times New Roman"/>
        </w:rPr>
      </w:pPr>
      <w:r>
        <w:rPr>
          <w:rStyle w:val="FootnoteReference"/>
        </w:rPr>
        <w:footnoteRef/>
      </w:r>
      <w:r>
        <w:t xml:space="preserve"> </w:t>
      </w:r>
      <w:r w:rsidRPr="00F02A88">
        <w:rPr>
          <w:rFonts w:ascii="Times New Roman" w:hAnsi="Times New Roman"/>
        </w:rPr>
        <w:t xml:space="preserve">The decrees for the 5 main </w:t>
      </w:r>
      <w:r>
        <w:rPr>
          <w:rFonts w:ascii="Times New Roman" w:hAnsi="Times New Roman"/>
        </w:rPr>
        <w:t>extrabudgetary</w:t>
      </w:r>
      <w:r w:rsidRPr="00F02A88">
        <w:rPr>
          <w:rFonts w:ascii="Times New Roman" w:hAnsi="Times New Roman"/>
        </w:rPr>
        <w:t xml:space="preserve"> funds include provisions to report to government, but without a clear specification of the MoF and timeline.</w:t>
      </w:r>
    </w:p>
  </w:footnote>
  <w:footnote w:id="25">
    <w:p w14:paraId="7DBF634F" w14:textId="77777777" w:rsidR="00E82213" w:rsidRPr="00B317A4" w:rsidRDefault="00E82213" w:rsidP="00306AC5">
      <w:pPr>
        <w:pStyle w:val="FootnoteText"/>
        <w:spacing w:before="0"/>
        <w:ind w:left="113"/>
        <w:rPr>
          <w:rFonts w:ascii="Times New Roman" w:hAnsi="Times New Roman"/>
        </w:rPr>
      </w:pPr>
      <w:r w:rsidRPr="00B317A4">
        <w:rPr>
          <w:rStyle w:val="FootnoteReference"/>
          <w:rFonts w:ascii="Times New Roman" w:hAnsi="Times New Roman"/>
        </w:rPr>
        <w:footnoteRef/>
      </w:r>
      <w:r w:rsidRPr="00B317A4">
        <w:rPr>
          <w:rFonts w:ascii="Times New Roman" w:hAnsi="Times New Roman"/>
        </w:rPr>
        <w:t xml:space="preserve"> This assessment could not verify the </w:t>
      </w:r>
      <w:r>
        <w:rPr>
          <w:rFonts w:ascii="Times New Roman" w:hAnsi="Times New Roman"/>
        </w:rPr>
        <w:t xml:space="preserve">exact </w:t>
      </w:r>
      <w:r w:rsidRPr="00B317A4">
        <w:rPr>
          <w:rFonts w:ascii="Times New Roman" w:hAnsi="Times New Roman"/>
        </w:rPr>
        <w:t>number of reports received by the different ministries for 2017. Only the MoH provided the report received from the Heath Insurance Fund for 2017</w:t>
      </w:r>
      <w:r>
        <w:rPr>
          <w:rFonts w:ascii="Times New Roman" w:hAnsi="Times New Roman"/>
        </w:rPr>
        <w:t xml:space="preserve"> and the MoPW confirmed the date of submission of the Road Maintenance Fund report</w:t>
      </w:r>
      <w:r w:rsidRPr="00B317A4">
        <w:rPr>
          <w:rFonts w:ascii="Times New Roman" w:hAnsi="Times New Roman"/>
        </w:rPr>
        <w:t>.</w:t>
      </w:r>
    </w:p>
  </w:footnote>
  <w:footnote w:id="26">
    <w:p w14:paraId="3251BCF8" w14:textId="77777777" w:rsidR="00E82213" w:rsidRPr="000531C9" w:rsidRDefault="00E82213" w:rsidP="00E0065F">
      <w:pPr>
        <w:pStyle w:val="FootnoteText"/>
        <w:ind w:left="90"/>
      </w:pPr>
      <w:r>
        <w:rPr>
          <w:rStyle w:val="FootnoteReference"/>
        </w:rPr>
        <w:footnoteRef/>
      </w:r>
      <w:r>
        <w:t xml:space="preserve"> </w:t>
      </w:r>
      <w:r w:rsidRPr="00E0065F">
        <w:rPr>
          <w:rFonts w:ascii="Times New Roman" w:hAnsi="Times New Roman"/>
        </w:rPr>
        <w:t>These two funds are estimated to represent at least 50% of all allocations to extra-budgetary funds in 2017 (source MoF).</w:t>
      </w:r>
    </w:p>
  </w:footnote>
  <w:footnote w:id="27">
    <w:p w14:paraId="04CB45E5" w14:textId="77777777" w:rsidR="00E82213" w:rsidRPr="00131B9F" w:rsidRDefault="00E82213" w:rsidP="00C86C46">
      <w:pPr>
        <w:pStyle w:val="FootnoteText"/>
        <w:spacing w:before="0"/>
        <w:ind w:left="0"/>
        <w:rPr>
          <w:rFonts w:ascii="Times New Roman" w:hAnsi="Times New Roman"/>
        </w:rPr>
      </w:pPr>
      <w:r w:rsidRPr="00FD5DCF">
        <w:rPr>
          <w:rFonts w:cstheme="minorHAnsi"/>
          <w:sz w:val="18"/>
          <w:szCs w:val="18"/>
          <w:vertAlign w:val="superscript"/>
        </w:rPr>
        <w:footnoteRef/>
      </w:r>
      <w:r w:rsidRPr="00FD5DCF">
        <w:rPr>
          <w:rFonts w:cstheme="minorHAnsi"/>
          <w:sz w:val="18"/>
          <w:szCs w:val="18"/>
        </w:rPr>
        <w:t xml:space="preserve"> </w:t>
      </w:r>
      <w:r w:rsidRPr="00131B9F">
        <w:rPr>
          <w:rFonts w:ascii="Times New Roman" w:hAnsi="Times New Roman"/>
        </w:rPr>
        <w:t xml:space="preserve">Details on SBGs largely drawn from ‘School Finance in Lao PDR’ by Ogawa Keiichi and Viriyasack Sisouphanthong, UNESCO, 2015. </w:t>
      </w:r>
    </w:p>
  </w:footnote>
  <w:footnote w:id="28">
    <w:p w14:paraId="054526D4" w14:textId="77777777" w:rsidR="00E82213" w:rsidRPr="00681DCE" w:rsidRDefault="00E82213" w:rsidP="00844E6D">
      <w:pPr>
        <w:pStyle w:val="FootnoteText"/>
        <w:spacing w:before="0"/>
        <w:ind w:left="0"/>
        <w:rPr>
          <w:rFonts w:ascii="Times New Roman" w:hAnsi="Times New Roman"/>
        </w:rPr>
      </w:pPr>
      <w:r w:rsidRPr="0011697E">
        <w:rPr>
          <w:rStyle w:val="FootnoteReference"/>
          <w:rFonts w:ascii="Times New Roman" w:hAnsi="Times New Roman"/>
        </w:rPr>
        <w:footnoteRef/>
      </w:r>
      <w:r w:rsidRPr="0011697E">
        <w:rPr>
          <w:rFonts w:ascii="Times New Roman" w:hAnsi="Times New Roman"/>
        </w:rPr>
        <w:t xml:space="preserve"> </w:t>
      </w:r>
      <w:r w:rsidRPr="00681DCE">
        <w:rPr>
          <w:rFonts w:ascii="Times New Roman" w:hAnsi="Times New Roman"/>
        </w:rPr>
        <w:t xml:space="preserve">Listed companies are BCEL, Lao Development Bank, Agriculture Development Bank, Lao Airlines, EDL-GEN </w:t>
      </w:r>
      <w:r>
        <w:rPr>
          <w:rFonts w:ascii="Times New Roman" w:hAnsi="Times New Roman"/>
        </w:rPr>
        <w:t xml:space="preserve">with </w:t>
      </w:r>
      <w:r w:rsidRPr="00681DCE">
        <w:rPr>
          <w:rFonts w:ascii="Times New Roman" w:hAnsi="Times New Roman"/>
        </w:rPr>
        <w:t>financial reports audited by audit firms and SAO.</w:t>
      </w:r>
    </w:p>
  </w:footnote>
  <w:footnote w:id="29">
    <w:p w14:paraId="48EF552D" w14:textId="77777777" w:rsidR="00E82213" w:rsidRPr="00C63FE7" w:rsidRDefault="00E82213" w:rsidP="00844E6D">
      <w:pPr>
        <w:pStyle w:val="FootnoteText"/>
        <w:spacing w:before="0"/>
        <w:ind w:left="0"/>
      </w:pPr>
      <w:r w:rsidRPr="00681DCE">
        <w:rPr>
          <w:rStyle w:val="FootnoteReference"/>
          <w:rFonts w:ascii="Times New Roman" w:hAnsi="Times New Roman"/>
        </w:rPr>
        <w:footnoteRef/>
      </w:r>
      <w:r w:rsidRPr="00681DCE">
        <w:rPr>
          <w:rFonts w:ascii="Times New Roman" w:hAnsi="Times New Roman"/>
        </w:rPr>
        <w:t xml:space="preserve"> Due to lacking information on some unreported SOEs the total turnover cannot be assessed accuratel</w:t>
      </w:r>
      <w:r>
        <w:rPr>
          <w:rFonts w:ascii="Times New Roman" w:hAnsi="Times New Roman"/>
        </w:rPr>
        <w:t>y. 67% represent an approximat</w:t>
      </w:r>
      <w:r w:rsidRPr="00681DCE">
        <w:rPr>
          <w:rFonts w:ascii="Times New Roman" w:hAnsi="Times New Roman"/>
        </w:rPr>
        <w:t>e figure based on the available data from the SOE department.</w:t>
      </w:r>
      <w:r>
        <w:t xml:space="preserve"> </w:t>
      </w:r>
    </w:p>
  </w:footnote>
  <w:footnote w:id="30">
    <w:p w14:paraId="20A3881A" w14:textId="77777777" w:rsidR="00E82213" w:rsidRPr="00FD748F" w:rsidRDefault="00E82213" w:rsidP="00200DE4">
      <w:pPr>
        <w:spacing w:before="0"/>
        <w:ind w:left="0"/>
        <w:jc w:val="thaiDistribute"/>
        <w:rPr>
          <w:rFonts w:ascii="Times New Roman" w:hAnsi="Times New Roman"/>
          <w:sz w:val="20"/>
          <w:szCs w:val="20"/>
        </w:rPr>
      </w:pPr>
      <w:r w:rsidRPr="00FD748F">
        <w:rPr>
          <w:rStyle w:val="FootnoteReference"/>
          <w:rFonts w:ascii="Times New Roman" w:hAnsi="Times New Roman"/>
          <w:sz w:val="20"/>
          <w:szCs w:val="20"/>
        </w:rPr>
        <w:footnoteRef/>
      </w:r>
      <w:r w:rsidRPr="00FD748F">
        <w:rPr>
          <w:rFonts w:ascii="Times New Roman" w:hAnsi="Times New Roman"/>
          <w:sz w:val="20"/>
          <w:szCs w:val="20"/>
        </w:rPr>
        <w:t xml:space="preserve"> Art</w:t>
      </w:r>
      <w:r>
        <w:rPr>
          <w:rFonts w:ascii="Times New Roman" w:hAnsi="Times New Roman"/>
          <w:sz w:val="20"/>
          <w:szCs w:val="20"/>
        </w:rPr>
        <w:t>icle</w:t>
      </w:r>
      <w:r w:rsidRPr="00FD748F">
        <w:rPr>
          <w:rFonts w:ascii="Times New Roman" w:hAnsi="Times New Roman"/>
          <w:sz w:val="20"/>
          <w:szCs w:val="20"/>
        </w:rPr>
        <w:t xml:space="preserve"> 3 from Decree 144 / PM dated 8</w:t>
      </w:r>
      <w:r w:rsidRPr="00FD748F">
        <w:rPr>
          <w:rFonts w:ascii="Times New Roman" w:hAnsi="Times New Roman"/>
          <w:sz w:val="20"/>
          <w:szCs w:val="20"/>
          <w:vertAlign w:val="superscript"/>
        </w:rPr>
        <w:t>th</w:t>
      </w:r>
      <w:r w:rsidRPr="00FD748F">
        <w:rPr>
          <w:rFonts w:ascii="Times New Roman" w:hAnsi="Times New Roman"/>
          <w:sz w:val="20"/>
          <w:szCs w:val="20"/>
        </w:rPr>
        <w:t xml:space="preserve"> May 2017 on Organization and Function of MoF: “To manage public debts at the safe level and the level approved by the National Assembly, ensure economic stability; report debt status to the government and the National Assembly as defined by law.”</w:t>
      </w:r>
    </w:p>
  </w:footnote>
  <w:footnote w:id="31">
    <w:p w14:paraId="3CA8FE60" w14:textId="77777777" w:rsidR="00E82213" w:rsidRPr="00FD748F" w:rsidRDefault="00E82213" w:rsidP="00FD748F">
      <w:pPr>
        <w:pStyle w:val="FootnoteText"/>
        <w:spacing w:before="0"/>
        <w:ind w:left="0"/>
        <w:rPr>
          <w:rFonts w:ascii="Times New Roman" w:hAnsi="Times New Roman"/>
        </w:rPr>
      </w:pPr>
      <w:r w:rsidRPr="00FD748F">
        <w:rPr>
          <w:rStyle w:val="FootnoteReference"/>
          <w:rFonts w:ascii="Times New Roman" w:hAnsi="Times New Roman"/>
        </w:rPr>
        <w:footnoteRef/>
      </w:r>
      <w:r w:rsidRPr="00FD748F">
        <w:rPr>
          <w:rFonts w:ascii="Times New Roman" w:hAnsi="Times New Roman"/>
        </w:rPr>
        <w:t xml:space="preserve"> </w:t>
      </w:r>
      <w:hyperlink r:id="rId1" w:history="1">
        <w:r w:rsidRPr="00FD748F">
          <w:rPr>
            <w:rStyle w:val="Hyperlink"/>
            <w:rFonts w:ascii="Times New Roman" w:hAnsi="Times New Roman"/>
            <w:color w:val="000000" w:themeColor="text1"/>
            <w:u w:val="none"/>
          </w:rPr>
          <w:t>https://www.imf.org/en/Publications/CR/Issues/2018/03/23/Lao-Peoples-Democratic-Republic-2017-Article-IV-Consultation-Press-Release-Staff-Report-and-45750</w:t>
        </w:r>
      </w:hyperlink>
    </w:p>
  </w:footnote>
  <w:footnote w:id="32">
    <w:p w14:paraId="3A3373CE" w14:textId="77777777" w:rsidR="00E82213" w:rsidRPr="00DC1379" w:rsidRDefault="00E82213" w:rsidP="00ED6F7A">
      <w:pPr>
        <w:pStyle w:val="FootnoteText"/>
        <w:spacing w:before="0"/>
        <w:ind w:left="0"/>
        <w:rPr>
          <w:rFonts w:ascii="Times New Roman" w:hAnsi="Times New Roman"/>
        </w:rPr>
      </w:pPr>
      <w:r>
        <w:rPr>
          <w:rStyle w:val="FootnoteReference"/>
        </w:rPr>
        <w:footnoteRef/>
      </w:r>
      <w:r>
        <w:t xml:space="preserve"> </w:t>
      </w:r>
      <w:r w:rsidRPr="00DC1379">
        <w:rPr>
          <w:rFonts w:ascii="Times New Roman" w:hAnsi="Times New Roman"/>
        </w:rPr>
        <w:t>From the FAIR report for 2017, estimated ODA funding accounts for approximately 30% of total government budget and from the ESSP annual report for 2015/2016, ODA represents more than twice the government contribution for capital budget (CoA chapter 67).</w:t>
      </w:r>
    </w:p>
  </w:footnote>
  <w:footnote w:id="33">
    <w:p w14:paraId="62EE71E3" w14:textId="77777777" w:rsidR="00E82213" w:rsidRPr="00DC1379" w:rsidRDefault="00E82213" w:rsidP="00ED6F7A">
      <w:pPr>
        <w:pStyle w:val="FootnoteText"/>
        <w:spacing w:before="0"/>
        <w:ind w:left="0"/>
        <w:rPr>
          <w:rFonts w:ascii="Times New Roman" w:hAnsi="Times New Roman"/>
        </w:rPr>
      </w:pPr>
      <w:r w:rsidRPr="00DC1379">
        <w:rPr>
          <w:rStyle w:val="FootnoteReference"/>
          <w:rFonts w:ascii="Times New Roman" w:hAnsi="Times New Roman"/>
        </w:rPr>
        <w:footnoteRef/>
      </w:r>
      <w:r w:rsidRPr="00DC1379">
        <w:rPr>
          <w:rFonts w:ascii="Times New Roman" w:hAnsi="Times New Roman"/>
        </w:rPr>
        <w:t xml:space="preserve"> For instance</w:t>
      </w:r>
      <w:r>
        <w:rPr>
          <w:rFonts w:ascii="Times New Roman" w:hAnsi="Times New Roman"/>
        </w:rPr>
        <w:t>,</w:t>
      </w:r>
      <w:r w:rsidRPr="00DC1379">
        <w:rPr>
          <w:rFonts w:ascii="Times New Roman" w:hAnsi="Times New Roman"/>
        </w:rPr>
        <w:t xml:space="preserve"> 2018 budget was estimated at 34.9 trillion kip in the 5-year budget framework, revised to 33.3 trillion kip in the revised 4-year budget framework one year later, was submitted to and approved by NA for 32.8 trillion kip.</w:t>
      </w:r>
    </w:p>
  </w:footnote>
  <w:footnote w:id="34">
    <w:p w14:paraId="7093F950" w14:textId="77777777" w:rsidR="00E82213" w:rsidRPr="00423BC8" w:rsidRDefault="00E82213" w:rsidP="00423BC8">
      <w:pPr>
        <w:pStyle w:val="ListParagraph"/>
        <w:spacing w:before="0"/>
        <w:ind w:left="0"/>
        <w:contextualSpacing w:val="0"/>
        <w:rPr>
          <w:rFonts w:ascii="Times New Roman" w:hAnsi="Times New Roman"/>
          <w:sz w:val="20"/>
          <w:szCs w:val="20"/>
          <w:lang w:val="en-GB"/>
        </w:rPr>
      </w:pPr>
      <w:r>
        <w:rPr>
          <w:rStyle w:val="FootnoteReference"/>
        </w:rPr>
        <w:footnoteRef/>
      </w:r>
      <w:r>
        <w:t xml:space="preserve"> </w:t>
      </w:r>
      <w:r w:rsidRPr="00423BC8">
        <w:rPr>
          <w:rFonts w:ascii="Times New Roman" w:hAnsi="Times New Roman"/>
          <w:bCs/>
          <w:sz w:val="20"/>
          <w:szCs w:val="20"/>
        </w:rPr>
        <w:t>based on SBL Article 56 and actual 2018 State Budget submission</w:t>
      </w:r>
    </w:p>
  </w:footnote>
  <w:footnote w:id="35">
    <w:p w14:paraId="77D068D2" w14:textId="77777777" w:rsidR="00E82213" w:rsidRPr="00423BC8" w:rsidRDefault="00E82213" w:rsidP="00423BC8">
      <w:pPr>
        <w:pStyle w:val="FootnoteText"/>
        <w:spacing w:before="0"/>
        <w:ind w:left="0"/>
        <w:rPr>
          <w:rFonts w:ascii="Times New Roman" w:hAnsi="Times New Roman"/>
          <w:lang w:val="en-MY"/>
        </w:rPr>
      </w:pPr>
      <w:r w:rsidRPr="00423BC8">
        <w:rPr>
          <w:rStyle w:val="FootnoteReference"/>
          <w:rFonts w:ascii="Times New Roman" w:hAnsi="Times New Roman"/>
        </w:rPr>
        <w:footnoteRef/>
      </w:r>
      <w:r w:rsidRPr="00423BC8">
        <w:rPr>
          <w:rFonts w:ascii="Times New Roman" w:hAnsi="Times New Roman"/>
        </w:rPr>
        <w:t xml:space="preserve"> The PIL (Art</w:t>
      </w:r>
      <w:r>
        <w:rPr>
          <w:rFonts w:ascii="Times New Roman" w:hAnsi="Times New Roman"/>
        </w:rPr>
        <w:t>icle</w:t>
      </w:r>
      <w:r w:rsidRPr="00423BC8">
        <w:rPr>
          <w:rFonts w:ascii="Times New Roman" w:hAnsi="Times New Roman"/>
        </w:rPr>
        <w:t xml:space="preserve"> 24) indicates that the Province share shall not be less than 50 percent of the total state capital budget</w:t>
      </w:r>
    </w:p>
  </w:footnote>
  <w:footnote w:id="36">
    <w:p w14:paraId="11523CC0" w14:textId="77777777" w:rsidR="00E82213" w:rsidRPr="00784AD7" w:rsidRDefault="00E82213" w:rsidP="00784AD7">
      <w:pPr>
        <w:pStyle w:val="FootnoteText"/>
        <w:spacing w:before="0"/>
        <w:ind w:left="0"/>
        <w:rPr>
          <w:rFonts w:ascii="Times New Roman" w:hAnsi="Times New Roman"/>
          <w:lang w:val="en-GB"/>
        </w:rPr>
      </w:pPr>
      <w:r w:rsidRPr="00784AD7">
        <w:rPr>
          <w:rStyle w:val="FootnoteReference"/>
          <w:rFonts w:ascii="Times New Roman" w:hAnsi="Times New Roman"/>
        </w:rPr>
        <w:footnoteRef/>
      </w:r>
      <w:r w:rsidRPr="00784AD7">
        <w:rPr>
          <w:rFonts w:ascii="Times New Roman" w:hAnsi="Times New Roman"/>
        </w:rPr>
        <w:t xml:space="preserve"> </w:t>
      </w:r>
      <w:r w:rsidRPr="00784AD7">
        <w:rPr>
          <w:rFonts w:ascii="Times New Roman" w:eastAsiaTheme="minorHAnsi" w:hAnsi="Times New Roman"/>
          <w:lang w:val="en-MY"/>
        </w:rPr>
        <w:t>The total amount collected by the NSSF in the assessment period was not available from the government data but has been estimated at 505 billion Kip based on average salary and estimated employed workforce in 2017 (</w:t>
      </w:r>
      <w:r w:rsidRPr="00784AD7">
        <w:rPr>
          <w:rFonts w:ascii="Times New Roman" w:hAnsi="Times New Roman"/>
        </w:rPr>
        <w:t>Bas</w:t>
      </w:r>
      <w:r>
        <w:rPr>
          <w:rFonts w:ascii="Times New Roman" w:hAnsi="Times New Roman"/>
        </w:rPr>
        <w:t>ed on figures from LAO PDR Labo</w:t>
      </w:r>
      <w:r w:rsidRPr="00784AD7">
        <w:rPr>
          <w:rFonts w:ascii="Times New Roman" w:hAnsi="Times New Roman"/>
        </w:rPr>
        <w:t>r force survey, MPI and Lao Statistics Bureau, June 2018).</w:t>
      </w:r>
    </w:p>
  </w:footnote>
  <w:footnote w:id="37">
    <w:p w14:paraId="1AF139FD" w14:textId="77777777" w:rsidR="00E82213" w:rsidRPr="00473AF2" w:rsidRDefault="00E82213" w:rsidP="00473AF2">
      <w:pPr>
        <w:pStyle w:val="Default"/>
        <w:spacing w:before="0"/>
        <w:ind w:left="0"/>
        <w:rPr>
          <w:rFonts w:ascii="Times New Roman" w:hAnsi="Times New Roman" w:cs="Times New Roman"/>
          <w:sz w:val="20"/>
          <w:szCs w:val="20"/>
          <w:lang w:val="en-MY"/>
        </w:rPr>
      </w:pPr>
      <w:r w:rsidRPr="00473AF2">
        <w:rPr>
          <w:rStyle w:val="FootnoteReference"/>
          <w:rFonts w:ascii="Times New Roman" w:hAnsi="Times New Roman" w:cs="Times New Roman"/>
          <w:sz w:val="20"/>
          <w:szCs w:val="20"/>
        </w:rPr>
        <w:footnoteRef/>
      </w:r>
      <w:r w:rsidRPr="00473AF2">
        <w:rPr>
          <w:rFonts w:ascii="Times New Roman" w:hAnsi="Times New Roman" w:cs="Times New Roman"/>
          <w:sz w:val="20"/>
          <w:szCs w:val="20"/>
        </w:rPr>
        <w:t xml:space="preserve"> </w:t>
      </w:r>
      <w:r w:rsidRPr="00473AF2">
        <w:rPr>
          <w:rFonts w:ascii="Times New Roman" w:eastAsia="ヒラギノ角ゴ Pro W3" w:hAnsi="Times New Roman" w:cs="Times New Roman"/>
          <w:sz w:val="20"/>
          <w:szCs w:val="20"/>
          <w:lang w:eastAsia="en-IN"/>
        </w:rPr>
        <w:t>Lao People’s Democratic Republic Implementing Tax Administration Reforms and Developing a Medium-Term Revenue Strategy (MTRS)</w:t>
      </w:r>
    </w:p>
  </w:footnote>
  <w:footnote w:id="38">
    <w:p w14:paraId="334A6724" w14:textId="77777777" w:rsidR="00E82213" w:rsidRPr="00473AF2" w:rsidRDefault="00E82213" w:rsidP="00473AF2">
      <w:pPr>
        <w:pStyle w:val="FootnoteText"/>
        <w:spacing w:before="0"/>
        <w:ind w:left="0"/>
        <w:rPr>
          <w:rFonts w:ascii="Times New Roman" w:hAnsi="Times New Roman"/>
        </w:rPr>
      </w:pPr>
      <w:r w:rsidRPr="00473AF2">
        <w:rPr>
          <w:rStyle w:val="FootnoteReference"/>
          <w:rFonts w:ascii="Times New Roman" w:hAnsi="Times New Roman"/>
        </w:rPr>
        <w:footnoteRef/>
      </w:r>
      <w:r w:rsidRPr="00473AF2">
        <w:rPr>
          <w:rFonts w:ascii="Times New Roman" w:hAnsi="Times New Roman"/>
        </w:rPr>
        <w:t xml:space="preserve"> </w:t>
      </w:r>
      <w:r w:rsidRPr="00473AF2">
        <w:rPr>
          <w:rFonts w:ascii="Times New Roman" w:eastAsia="ヒラギノ角ゴ Pro W3" w:hAnsi="Times New Roman"/>
          <w:color w:val="000000"/>
          <w:lang w:eastAsia="en-IN"/>
        </w:rPr>
        <w:t>“Currently no governance arrangements have been adopted, nor have the risks associated with implementing a reform program of this scale been identified. Furthermore, a functioning headquarters forms an essential component of the overall management arrangements” (IMF, 2018).</w:t>
      </w:r>
    </w:p>
  </w:footnote>
  <w:footnote w:id="39">
    <w:p w14:paraId="4863ADD0" w14:textId="77777777" w:rsidR="00E82213" w:rsidRPr="00473AF2" w:rsidRDefault="00E82213" w:rsidP="00473AF2">
      <w:pPr>
        <w:pStyle w:val="FootnoteText"/>
        <w:spacing w:before="0"/>
        <w:ind w:left="0"/>
        <w:rPr>
          <w:rFonts w:ascii="Times New Roman" w:hAnsi="Times New Roman"/>
        </w:rPr>
      </w:pPr>
      <w:r w:rsidRPr="00473AF2">
        <w:rPr>
          <w:rStyle w:val="FootnoteReference"/>
          <w:rFonts w:ascii="Times New Roman" w:hAnsi="Times New Roman"/>
        </w:rPr>
        <w:footnoteRef/>
      </w:r>
      <w:r w:rsidRPr="00473AF2">
        <w:rPr>
          <w:rFonts w:ascii="Times New Roman" w:hAnsi="Times New Roman"/>
        </w:rPr>
        <w:t xml:space="preserve"> The Lao PDR Customs and Trade Facilitation Project supported the modernization of the Customs administration from 2009 to 2017.</w:t>
      </w:r>
    </w:p>
  </w:footnote>
  <w:footnote w:id="40">
    <w:p w14:paraId="330FE752" w14:textId="77777777" w:rsidR="00E82213" w:rsidRPr="00B62DB5" w:rsidRDefault="00E82213" w:rsidP="00DA621D">
      <w:pPr>
        <w:pStyle w:val="FootnoteText"/>
        <w:spacing w:before="0"/>
        <w:ind w:left="0"/>
      </w:pPr>
      <w:r w:rsidRPr="00C52FC3">
        <w:rPr>
          <w:rStyle w:val="FootnoteReference"/>
          <w:rFonts w:ascii="Times New Roman" w:hAnsi="Times New Roman"/>
        </w:rPr>
        <w:footnoteRef/>
      </w:r>
      <w:r w:rsidRPr="00C52FC3">
        <w:rPr>
          <w:rFonts w:ascii="Times New Roman" w:hAnsi="Times New Roman"/>
        </w:rPr>
        <w:t xml:space="preserve"> </w:t>
      </w:r>
      <w:hyperlink r:id="rId2" w:history="1">
        <w:r w:rsidRPr="00C52FC3">
          <w:rPr>
            <w:rStyle w:val="Hyperlink"/>
            <w:rFonts w:ascii="Times New Roman" w:hAnsi="Times New Roman"/>
            <w:color w:val="auto"/>
            <w:u w:val="none"/>
          </w:rPr>
          <w:t>http://www.doingbusiness.org/content/dam/doingBusiness/country/l/lao-pdr/LAO.pdf</w:t>
        </w:r>
      </w:hyperlink>
    </w:p>
  </w:footnote>
  <w:footnote w:id="41">
    <w:p w14:paraId="0429F7B4" w14:textId="77777777" w:rsidR="00E82213" w:rsidRPr="00B97FEB" w:rsidRDefault="00E82213" w:rsidP="00B17E91">
      <w:pPr>
        <w:pStyle w:val="FootnoteText"/>
        <w:spacing w:before="0"/>
        <w:ind w:left="0"/>
        <w:rPr>
          <w:rFonts w:ascii="Times New Roman" w:hAnsi="Times New Roman"/>
          <w:lang w:val="en-GB"/>
        </w:rPr>
      </w:pPr>
      <w:r>
        <w:rPr>
          <w:rStyle w:val="FootnoteReference"/>
        </w:rPr>
        <w:footnoteRef/>
      </w:r>
      <w:r>
        <w:t xml:space="preserve"> </w:t>
      </w:r>
      <w:r w:rsidRPr="00B97FEB">
        <w:rPr>
          <w:rFonts w:ascii="Times New Roman" w:eastAsia="Calibri" w:hAnsi="Times New Roman"/>
          <w:color w:val="000000"/>
        </w:rPr>
        <w:t>The Tax Law does not provide a specific definition of tax arrears.</w:t>
      </w:r>
    </w:p>
  </w:footnote>
  <w:footnote w:id="42">
    <w:p w14:paraId="59106FBC" w14:textId="77777777" w:rsidR="00E82213" w:rsidRPr="00B97FEB" w:rsidRDefault="00E82213" w:rsidP="00B17E91">
      <w:pPr>
        <w:pStyle w:val="FootnoteText"/>
        <w:spacing w:before="0"/>
        <w:ind w:left="0"/>
        <w:rPr>
          <w:rFonts w:ascii="Times New Roman" w:hAnsi="Times New Roman"/>
        </w:rPr>
      </w:pPr>
      <w:r w:rsidRPr="00B97FEB">
        <w:rPr>
          <w:rStyle w:val="FootnoteReference"/>
          <w:rFonts w:ascii="Times New Roman" w:hAnsi="Times New Roman"/>
        </w:rPr>
        <w:footnoteRef/>
      </w:r>
      <w:r w:rsidRPr="00B97FEB">
        <w:rPr>
          <w:rFonts w:ascii="Times New Roman" w:hAnsi="Times New Roman"/>
        </w:rPr>
        <w:t xml:space="preserve"> The official 2017 revenue data is not yet available from FPD.</w:t>
      </w:r>
    </w:p>
  </w:footnote>
  <w:footnote w:id="43">
    <w:p w14:paraId="669B53BD" w14:textId="77777777" w:rsidR="00E82213" w:rsidRPr="00AD5E33" w:rsidRDefault="00E82213" w:rsidP="00361409">
      <w:pPr>
        <w:pStyle w:val="FootnoteText"/>
        <w:spacing w:before="0"/>
        <w:ind w:left="0"/>
        <w:rPr>
          <w:rFonts w:ascii="Times New Roman" w:hAnsi="Times New Roman"/>
        </w:rPr>
      </w:pPr>
      <w:r w:rsidRPr="00361409">
        <w:rPr>
          <w:rStyle w:val="FootnoteReference"/>
          <w:rFonts w:ascii="Times New Roman" w:hAnsi="Times New Roman"/>
        </w:rPr>
        <w:footnoteRef/>
      </w:r>
      <w:r w:rsidRPr="00361409">
        <w:rPr>
          <w:rFonts w:ascii="Times New Roman" w:hAnsi="Times New Roman"/>
        </w:rPr>
        <w:t xml:space="preserve"> </w:t>
      </w:r>
      <w:r w:rsidRPr="00361409">
        <w:rPr>
          <w:rFonts w:ascii="Times New Roman" w:hAnsi="Times New Roman"/>
          <w:color w:val="000000"/>
        </w:rPr>
        <w:t xml:space="preserve">Based on </w:t>
      </w:r>
      <w:r w:rsidRPr="00361409">
        <w:rPr>
          <w:rFonts w:ascii="Times New Roman" w:hAnsi="Times New Roman"/>
          <w:lang w:val="en-GB"/>
        </w:rPr>
        <w:t>provision under PM Decree 0003 (updated in 2012) for ‘technical revenues” to be managed by different</w:t>
      </w:r>
      <w:r w:rsidRPr="00AD5E33">
        <w:rPr>
          <w:rFonts w:ascii="Times New Roman" w:hAnsi="Times New Roman"/>
          <w:lang w:val="en-GB"/>
        </w:rPr>
        <w:t xml:space="preserve"> types of budget unit, and under PM Decree 349 (2013) for public service fees.  </w:t>
      </w:r>
    </w:p>
  </w:footnote>
  <w:footnote w:id="44">
    <w:p w14:paraId="6FE86EB2" w14:textId="77777777" w:rsidR="00E82213" w:rsidRPr="006F0F92" w:rsidRDefault="00E82213" w:rsidP="007518E4">
      <w:pPr>
        <w:pStyle w:val="FootnoteText"/>
        <w:spacing w:before="0"/>
        <w:rPr>
          <w:rFonts w:ascii="Times New Roman" w:hAnsi="Times New Roman"/>
        </w:rPr>
      </w:pPr>
      <w:r w:rsidRPr="006F0F92">
        <w:rPr>
          <w:rStyle w:val="FootnoteReference"/>
          <w:rFonts w:ascii="Times New Roman" w:hAnsi="Times New Roman"/>
        </w:rPr>
        <w:footnoteRef/>
      </w:r>
      <w:r w:rsidRPr="006F0F92">
        <w:rPr>
          <w:rFonts w:ascii="Times New Roman" w:hAnsi="Times New Roman"/>
        </w:rPr>
        <w:t xml:space="preserve"> Policy Note on Public sector wage-bill and workforce management, WB, April 2018.</w:t>
      </w:r>
    </w:p>
  </w:footnote>
  <w:footnote w:id="45">
    <w:p w14:paraId="42EB983A" w14:textId="77777777" w:rsidR="00E82213" w:rsidRPr="006F0F92" w:rsidRDefault="00E82213" w:rsidP="00382A38">
      <w:pPr>
        <w:pStyle w:val="FootnoteText"/>
        <w:spacing w:before="0"/>
        <w:ind w:left="0"/>
        <w:rPr>
          <w:rFonts w:ascii="Times New Roman" w:hAnsi="Times New Roman"/>
          <w:lang w:val="en-MY"/>
        </w:rPr>
      </w:pPr>
      <w:r w:rsidRPr="006F0F92">
        <w:rPr>
          <w:rStyle w:val="FootnoteReference"/>
          <w:rFonts w:ascii="Times New Roman" w:hAnsi="Times New Roman"/>
        </w:rPr>
        <w:footnoteRef/>
      </w:r>
      <w:r w:rsidRPr="006F0F92">
        <w:rPr>
          <w:rFonts w:ascii="Times New Roman" w:hAnsi="Times New Roman"/>
        </w:rPr>
        <w:t xml:space="preserve"> First issued in 1996, amended in 1998 and the current edition 0063/MOF was issued in March 2004 with additional amendments introduced through 0861/MOF on 05-May-09.) applying to procurement in all sectors.</w:t>
      </w:r>
    </w:p>
  </w:footnote>
  <w:footnote w:id="46">
    <w:p w14:paraId="633BC2C2" w14:textId="77777777" w:rsidR="00E82213" w:rsidRPr="006F0F92" w:rsidRDefault="00E82213" w:rsidP="00382A38">
      <w:pPr>
        <w:pStyle w:val="FootnoteText"/>
        <w:spacing w:before="0"/>
        <w:ind w:left="0"/>
        <w:rPr>
          <w:rFonts w:ascii="Times New Roman" w:hAnsi="Times New Roman"/>
          <w:color w:val="000000" w:themeColor="text1"/>
          <w:lang w:val="en-MY"/>
        </w:rPr>
      </w:pPr>
      <w:r w:rsidRPr="006F0F92">
        <w:rPr>
          <w:rStyle w:val="FootnoteReference"/>
          <w:rFonts w:ascii="Times New Roman" w:hAnsi="Times New Roman"/>
          <w:color w:val="000000" w:themeColor="text1"/>
        </w:rPr>
        <w:footnoteRef/>
      </w:r>
      <w:r w:rsidRPr="006F0F92">
        <w:rPr>
          <w:rFonts w:ascii="Times New Roman" w:hAnsi="Times New Roman"/>
          <w:color w:val="000000" w:themeColor="text1"/>
        </w:rPr>
        <w:t xml:space="preserve"> </w:t>
      </w:r>
      <w:r w:rsidRPr="006F0F92">
        <w:rPr>
          <w:rFonts w:ascii="Times New Roman" w:hAnsi="Times New Roman"/>
          <w:color w:val="000000" w:themeColor="text1"/>
          <w:lang w:val="en-MY"/>
        </w:rPr>
        <w:t>As per ADB Country procurement risk assessment final report, April 2016.</w:t>
      </w:r>
    </w:p>
  </w:footnote>
  <w:footnote w:id="47">
    <w:p w14:paraId="06AB7694" w14:textId="77777777" w:rsidR="00E82213" w:rsidRPr="00E24708" w:rsidRDefault="00E82213" w:rsidP="001114E6">
      <w:pPr>
        <w:pStyle w:val="FootnoteText"/>
        <w:spacing w:before="0"/>
        <w:ind w:left="0"/>
        <w:rPr>
          <w:rFonts w:ascii="Times New Roman" w:hAnsi="Times New Roman"/>
          <w:lang w:val="en-GB"/>
        </w:rPr>
      </w:pPr>
      <w:r w:rsidRPr="00E24708">
        <w:rPr>
          <w:rStyle w:val="FootnoteReference"/>
          <w:rFonts w:ascii="Times New Roman" w:hAnsi="Times New Roman"/>
        </w:rPr>
        <w:footnoteRef/>
      </w:r>
      <w:r w:rsidRPr="00E24708">
        <w:rPr>
          <w:rFonts w:ascii="Times New Roman" w:hAnsi="Times New Roman"/>
        </w:rPr>
        <w:t xml:space="preserve"> Banque pour le Commerce Exterieur Lao Public (BCEL), Lao Development Bank (LDB), Lao Viet Bank, Agriculture Promotion Bank (APB) and Vietin Bank</w:t>
      </w:r>
    </w:p>
  </w:footnote>
  <w:footnote w:id="48">
    <w:p w14:paraId="7AF0C708" w14:textId="77777777" w:rsidR="00E82213" w:rsidRPr="001114E6" w:rsidRDefault="00E82213" w:rsidP="001114E6">
      <w:pPr>
        <w:pStyle w:val="FootnoteText"/>
        <w:spacing w:before="0"/>
        <w:ind w:left="0"/>
        <w:rPr>
          <w:rFonts w:ascii="Times New Roman" w:hAnsi="Times New Roman"/>
          <w:lang w:val="en-GB"/>
        </w:rPr>
      </w:pPr>
      <w:r w:rsidRPr="001114E6">
        <w:rPr>
          <w:rStyle w:val="FootnoteReference"/>
          <w:rFonts w:ascii="Times New Roman" w:hAnsi="Times New Roman"/>
        </w:rPr>
        <w:footnoteRef/>
      </w:r>
      <w:r w:rsidRPr="001114E6">
        <w:rPr>
          <w:rFonts w:ascii="Times New Roman" w:hAnsi="Times New Roman"/>
        </w:rPr>
        <w:t xml:space="preserve"> </w:t>
      </w:r>
      <w:r w:rsidRPr="001114E6">
        <w:rPr>
          <w:rFonts w:ascii="Times New Roman" w:hAnsi="Times New Roman"/>
          <w:iCs/>
        </w:rPr>
        <w:t>dated August 2017</w:t>
      </w:r>
    </w:p>
  </w:footnote>
  <w:footnote w:id="49">
    <w:p w14:paraId="021071C0" w14:textId="77777777" w:rsidR="00E82213" w:rsidRPr="009D4A92" w:rsidRDefault="00E82213" w:rsidP="007518E4">
      <w:pPr>
        <w:pStyle w:val="ListParagraph"/>
        <w:spacing w:before="0"/>
        <w:ind w:left="0"/>
        <w:contextualSpacing w:val="0"/>
        <w:rPr>
          <w:rFonts w:ascii="Times New Roman" w:hAnsi="Times New Roman"/>
          <w:sz w:val="20"/>
          <w:szCs w:val="20"/>
        </w:rPr>
      </w:pPr>
      <w:r w:rsidRPr="009D4A92">
        <w:rPr>
          <w:rStyle w:val="FootnoteReference"/>
          <w:rFonts w:ascii="Times New Roman" w:hAnsi="Times New Roman"/>
          <w:sz w:val="20"/>
          <w:szCs w:val="20"/>
        </w:rPr>
        <w:footnoteRef/>
      </w:r>
      <w:r w:rsidRPr="009D4A92">
        <w:rPr>
          <w:rFonts w:ascii="Times New Roman" w:hAnsi="Times New Roman"/>
          <w:sz w:val="20"/>
          <w:szCs w:val="20"/>
        </w:rPr>
        <w:t xml:space="preserve"> In 2017, the domestically financed MoES allocation for SBGs was 98.5 billion Kip (US$ 11.6 million), or around 50 percent of the ESDP’s SBG budget projections of 187 billion Kip for the same year. </w:t>
      </w:r>
    </w:p>
    <w:p w14:paraId="4BE87F55" w14:textId="77777777" w:rsidR="00E82213" w:rsidRPr="006544C8" w:rsidRDefault="00E82213" w:rsidP="007518E4">
      <w:pPr>
        <w:pStyle w:val="FootnoteText"/>
      </w:pPr>
    </w:p>
  </w:footnote>
  <w:footnote w:id="50">
    <w:p w14:paraId="3169BCA5" w14:textId="77777777" w:rsidR="00E82213" w:rsidRPr="00E24708" w:rsidRDefault="00E82213" w:rsidP="00C52F37">
      <w:pPr>
        <w:pStyle w:val="Default"/>
        <w:spacing w:before="0"/>
        <w:ind w:left="0"/>
        <w:rPr>
          <w:rFonts w:ascii="Times New Roman" w:hAnsi="Times New Roman" w:cs="Times New Roman"/>
          <w:b/>
          <w:sz w:val="20"/>
          <w:szCs w:val="20"/>
          <w:lang w:val="en-MY"/>
        </w:rPr>
      </w:pPr>
      <w:r w:rsidRPr="00E24708">
        <w:rPr>
          <w:rStyle w:val="FootnoteReference"/>
          <w:rFonts w:ascii="Times New Roman" w:hAnsi="Times New Roman" w:cs="Times New Roman"/>
          <w:sz w:val="20"/>
          <w:szCs w:val="20"/>
        </w:rPr>
        <w:footnoteRef/>
      </w:r>
      <w:r w:rsidRPr="00E24708">
        <w:rPr>
          <w:rFonts w:ascii="Times New Roman" w:hAnsi="Times New Roman" w:cs="Times New Roman"/>
          <w:sz w:val="20"/>
          <w:szCs w:val="20"/>
        </w:rPr>
        <w:t xml:space="preserve"> Technical note on </w:t>
      </w:r>
      <w:r w:rsidRPr="00E24708">
        <w:rPr>
          <w:rFonts w:ascii="Times New Roman" w:eastAsia="Calibri" w:hAnsi="Times New Roman" w:cs="Times New Roman"/>
          <w:iCs/>
          <w:color w:val="auto"/>
          <w:sz w:val="20"/>
          <w:szCs w:val="20"/>
        </w:rPr>
        <w:t>Status of the Government's current Financial Management Information System (FMIS) and the way forward towards strengthening it to provide better support for Treasury management and budget execution, WB, October 2016</w:t>
      </w:r>
    </w:p>
  </w:footnote>
  <w:footnote w:id="51">
    <w:p w14:paraId="4076CB7A" w14:textId="77777777" w:rsidR="00E82213" w:rsidRPr="00E24708" w:rsidRDefault="00E82213" w:rsidP="008E618D">
      <w:pPr>
        <w:pStyle w:val="FootnoteText"/>
        <w:spacing w:before="0"/>
        <w:ind w:left="0"/>
        <w:rPr>
          <w:rFonts w:ascii="Times New Roman" w:hAnsi="Times New Roman"/>
        </w:rPr>
      </w:pPr>
      <w:r w:rsidRPr="00E24708">
        <w:rPr>
          <w:rStyle w:val="FootnoteReference"/>
          <w:rFonts w:ascii="Times New Roman" w:hAnsi="Times New Roman"/>
        </w:rPr>
        <w:footnoteRef/>
      </w:r>
      <w:r w:rsidRPr="00E24708">
        <w:rPr>
          <w:rFonts w:ascii="Times New Roman" w:hAnsi="Times New Roman"/>
        </w:rPr>
        <w:t xml:space="preserve"> Adopting Cash Basis IPSAS: gap analysis, IMF April 2017.</w:t>
      </w:r>
    </w:p>
  </w:footnote>
  <w:footnote w:id="52">
    <w:p w14:paraId="2868D061" w14:textId="77777777" w:rsidR="00E82213" w:rsidRDefault="00E82213">
      <w:pPr>
        <w:pStyle w:val="FootnoteText"/>
        <w:ind w:left="0"/>
        <w:rPr>
          <w:lang w:val="en-MY"/>
        </w:rPr>
      </w:pPr>
      <w:r>
        <w:rPr>
          <w:rStyle w:val="FootnoteReference"/>
        </w:rPr>
        <w:footnoteRef/>
      </w:r>
      <w:r>
        <w:t xml:space="preserve"> </w:t>
      </w:r>
      <w:r>
        <w:rPr>
          <w:lang w:val="en-MY"/>
        </w:rPr>
        <w:t xml:space="preserve"> </w:t>
      </w:r>
      <w:r w:rsidRPr="00310D44">
        <w:rPr>
          <w:rFonts w:ascii="Times New Roman" w:hAnsi="Times New Roman"/>
        </w:rPr>
        <w:t>Ditto.</w:t>
      </w:r>
    </w:p>
  </w:footnote>
  <w:footnote w:id="53">
    <w:p w14:paraId="580ED089" w14:textId="77777777" w:rsidR="00E82213" w:rsidRPr="003A6C8B" w:rsidRDefault="00E82213" w:rsidP="007518E4">
      <w:pPr>
        <w:spacing w:before="0"/>
        <w:jc w:val="left"/>
        <w:rPr>
          <w:rFonts w:ascii="Times New Roman" w:hAnsi="Times New Roman"/>
          <w:sz w:val="20"/>
          <w:szCs w:val="20"/>
        </w:rPr>
      </w:pPr>
      <w:r w:rsidRPr="003A6C8B">
        <w:rPr>
          <w:rStyle w:val="FootnoteReference"/>
          <w:rFonts w:ascii="Times New Roman" w:hAnsi="Times New Roman"/>
          <w:sz w:val="20"/>
          <w:szCs w:val="20"/>
        </w:rPr>
        <w:footnoteRef/>
      </w:r>
      <w:r w:rsidRPr="003A6C8B">
        <w:rPr>
          <w:rFonts w:ascii="Times New Roman" w:hAnsi="Times New Roman"/>
          <w:sz w:val="20"/>
          <w:szCs w:val="20"/>
        </w:rPr>
        <w:t xml:space="preserve"> Preliminary Review and Self-assessment of Progress under SAO Action Plan 2009-2020, WB May 2016</w:t>
      </w:r>
    </w:p>
    <w:p w14:paraId="4B62F38E" w14:textId="77777777" w:rsidR="00E82213" w:rsidRPr="00892837" w:rsidRDefault="00E82213" w:rsidP="007518E4">
      <w:pPr>
        <w:pStyle w:val="FootnoteText"/>
      </w:pPr>
    </w:p>
  </w:footnote>
  <w:footnote w:id="54">
    <w:p w14:paraId="2E267BFC" w14:textId="77777777" w:rsidR="00E82213" w:rsidRDefault="00E82213">
      <w:pPr>
        <w:pStyle w:val="FootnoteText"/>
        <w:ind w:left="0"/>
        <w:rPr>
          <w:lang w:val="en-MY"/>
        </w:rPr>
      </w:pPr>
      <w:r>
        <w:rPr>
          <w:rStyle w:val="FootnoteReference"/>
        </w:rPr>
        <w:footnoteRef/>
      </w:r>
      <w:r>
        <w:t xml:space="preserve"> </w:t>
      </w:r>
      <w:r>
        <w:rPr>
          <w:lang w:val="en-MY"/>
        </w:rPr>
        <w:t>As the budget data cannot be identified for number of audited entities such as Ministry of Defense, Securoty, the % calculated is underestimated for the three fiscal years, and the actual coverage could expected to be significantly higher.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6B01F2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13447D"/>
    <w:multiLevelType w:val="hybridMultilevel"/>
    <w:tmpl w:val="801C1C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BC041A"/>
    <w:multiLevelType w:val="multilevel"/>
    <w:tmpl w:val="F2042D00"/>
    <w:lvl w:ilvl="0">
      <w:start w:val="1"/>
      <w:numFmt w:val="decimal"/>
      <w:lvlText w:val="%1."/>
      <w:lvlJc w:val="left"/>
      <w:pPr>
        <w:ind w:left="360" w:hanging="360"/>
      </w:pPr>
      <w:rPr>
        <w:rFonts w:eastAsiaTheme="minorHAnsi" w:hint="default"/>
      </w:rPr>
    </w:lvl>
    <w:lvl w:ilvl="1">
      <w:start w:val="5"/>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 w15:restartNumberingAfterBreak="0">
    <w:nsid w:val="04B11EE2"/>
    <w:multiLevelType w:val="multilevel"/>
    <w:tmpl w:val="8FA655F0"/>
    <w:lvl w:ilvl="0">
      <w:start w:val="1"/>
      <w:numFmt w:val="decimal"/>
      <w:pStyle w:val="NumberedParagraph"/>
      <w:lvlText w:val="%1."/>
      <w:lvlJc w:val="left"/>
      <w:pPr>
        <w:ind w:left="993" w:hanging="567"/>
      </w:pPr>
      <w:rPr>
        <w:rFonts w:ascii="Tahoma" w:hAnsi="Tahoma" w:cs="Tahoma" w:hint="default"/>
        <w:b w:val="0"/>
        <w:i w:val="0"/>
        <w:caps w:val="0"/>
        <w:strike w:val="0"/>
        <w:vanish w:val="0"/>
        <w:color w:val="auto"/>
        <w:sz w:val="20"/>
        <w:szCs w:val="20"/>
        <w:u w:val="none"/>
      </w:rPr>
    </w:lvl>
    <w:lvl w:ilvl="1">
      <w:start w:val="1"/>
      <w:numFmt w:val="lowerLetter"/>
      <w:lvlText w:val="%2."/>
      <w:lvlJc w:val="left"/>
      <w:pPr>
        <w:ind w:left="1134" w:hanging="567"/>
      </w:pPr>
      <w:rPr>
        <w:rFonts w:ascii="Tahoma" w:hAnsi="Tahoma" w:cs="Tahoma" w:hint="default"/>
        <w:b w:val="0"/>
        <w:color w:val="auto"/>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7B13D66"/>
    <w:multiLevelType w:val="hybridMultilevel"/>
    <w:tmpl w:val="3FF8A1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BE44B24"/>
    <w:multiLevelType w:val="hybridMultilevel"/>
    <w:tmpl w:val="E0804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1123CF"/>
    <w:multiLevelType w:val="multilevel"/>
    <w:tmpl w:val="E7228154"/>
    <w:lvl w:ilvl="0">
      <w:start w:val="3"/>
      <w:numFmt w:val="decimal"/>
      <w:lvlText w:val="%1"/>
      <w:lvlJc w:val="left"/>
      <w:pPr>
        <w:ind w:left="360" w:hanging="360"/>
      </w:pPr>
      <w:rPr>
        <w:rFonts w:eastAsiaTheme="minorHAnsi" w:hint="default"/>
      </w:rPr>
    </w:lvl>
    <w:lvl w:ilvl="1">
      <w:start w:val="8"/>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0CED15E2"/>
    <w:multiLevelType w:val="multilevel"/>
    <w:tmpl w:val="7766EB5E"/>
    <w:lvl w:ilvl="0">
      <w:start w:val="15"/>
      <w:numFmt w:val="decimal"/>
      <w:lvlText w:val="%1"/>
      <w:lvlJc w:val="left"/>
      <w:pPr>
        <w:ind w:left="420" w:hanging="420"/>
      </w:pPr>
      <w:rPr>
        <w:rFonts w:eastAsia="Calibri" w:hint="default"/>
      </w:rPr>
    </w:lvl>
    <w:lvl w:ilvl="1">
      <w:start w:val="3"/>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 w15:restartNumberingAfterBreak="0">
    <w:nsid w:val="0F427A05"/>
    <w:multiLevelType w:val="multilevel"/>
    <w:tmpl w:val="A15AA916"/>
    <w:lvl w:ilvl="0">
      <w:start w:val="267"/>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08A2473"/>
    <w:multiLevelType w:val="hybridMultilevel"/>
    <w:tmpl w:val="121AB7A8"/>
    <w:lvl w:ilvl="0" w:tplc="9FCCDACA">
      <w:start w:val="3"/>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0" w15:restartNumberingAfterBreak="0">
    <w:nsid w:val="116869B1"/>
    <w:multiLevelType w:val="hybridMultilevel"/>
    <w:tmpl w:val="121E5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8D7417"/>
    <w:multiLevelType w:val="hybridMultilevel"/>
    <w:tmpl w:val="B438419C"/>
    <w:lvl w:ilvl="0" w:tplc="6228222A">
      <w:start w:val="502"/>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393B42"/>
    <w:multiLevelType w:val="hybridMultilevel"/>
    <w:tmpl w:val="32101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C37C62"/>
    <w:multiLevelType w:val="multilevel"/>
    <w:tmpl w:val="4FB8A826"/>
    <w:lvl w:ilvl="0">
      <w:start w:val="55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6803D5"/>
    <w:multiLevelType w:val="multilevel"/>
    <w:tmpl w:val="1E4C8934"/>
    <w:lvl w:ilvl="0">
      <w:start w:val="558"/>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5E36553"/>
    <w:multiLevelType w:val="hybridMultilevel"/>
    <w:tmpl w:val="D69EE2C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67A783C"/>
    <w:multiLevelType w:val="hybridMultilevel"/>
    <w:tmpl w:val="84206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AC6723"/>
    <w:multiLevelType w:val="multilevel"/>
    <w:tmpl w:val="B4A6B1AC"/>
    <w:lvl w:ilvl="0">
      <w:start w:val="264"/>
      <w:numFmt w:val="decimal"/>
      <w:lvlText w:val="%1."/>
      <w:lvlJc w:val="left"/>
      <w:pPr>
        <w:ind w:left="420" w:hanging="420"/>
      </w:pPr>
      <w:rPr>
        <w:rFonts w:hint="default"/>
      </w:rPr>
    </w:lvl>
    <w:lvl w:ilvl="1">
      <w:start w:val="3"/>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 w15:restartNumberingAfterBreak="0">
    <w:nsid w:val="16EA5424"/>
    <w:multiLevelType w:val="hybridMultilevel"/>
    <w:tmpl w:val="3B30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291E89"/>
    <w:multiLevelType w:val="multilevel"/>
    <w:tmpl w:val="BD3A0A8C"/>
    <w:lvl w:ilvl="0">
      <w:start w:val="195"/>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B19361E"/>
    <w:multiLevelType w:val="hybridMultilevel"/>
    <w:tmpl w:val="21844F64"/>
    <w:lvl w:ilvl="0" w:tplc="8D72C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6F1CB0"/>
    <w:multiLevelType w:val="multilevel"/>
    <w:tmpl w:val="5672C9DA"/>
    <w:lvl w:ilvl="0">
      <w:start w:val="173"/>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BD200D9"/>
    <w:multiLevelType w:val="hybridMultilevel"/>
    <w:tmpl w:val="78306E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284F87"/>
    <w:multiLevelType w:val="multilevel"/>
    <w:tmpl w:val="161A5A3C"/>
    <w:lvl w:ilvl="0">
      <w:start w:val="513"/>
      <w:numFmt w:val="decimal"/>
      <w:lvlText w:val="%1."/>
      <w:lvlJc w:val="left"/>
      <w:pPr>
        <w:tabs>
          <w:tab w:val="num" w:pos="1004"/>
        </w:tabs>
        <w:ind w:left="284"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F9F4C47"/>
    <w:multiLevelType w:val="multilevel"/>
    <w:tmpl w:val="37BEF1CA"/>
    <w:lvl w:ilvl="0">
      <w:start w:val="114"/>
      <w:numFmt w:val="decimal"/>
      <w:lvlText w:val="%1."/>
      <w:lvlJc w:val="left"/>
      <w:pPr>
        <w:tabs>
          <w:tab w:val="num" w:pos="1571"/>
        </w:tabs>
        <w:ind w:left="851" w:firstLine="0"/>
      </w:pPr>
      <w:rPr>
        <w:rFonts w:hint="default"/>
        <w:b w:val="0"/>
        <w:i w:val="0"/>
      </w:rPr>
    </w:lvl>
    <w:lvl w:ilvl="1">
      <w:start w:val="1"/>
      <w:numFmt w:val="lowerLetter"/>
      <w:lvlText w:val="%2."/>
      <w:lvlJc w:val="left"/>
      <w:pPr>
        <w:ind w:left="1723" w:hanging="360"/>
      </w:pPr>
      <w:rPr>
        <w:rFonts w:hint="default"/>
      </w:rPr>
    </w:lvl>
    <w:lvl w:ilvl="2">
      <w:start w:val="1"/>
      <w:numFmt w:val="lowerRoman"/>
      <w:lvlText w:val="%3."/>
      <w:lvlJc w:val="right"/>
      <w:pPr>
        <w:ind w:left="2443" w:hanging="180"/>
      </w:pPr>
      <w:rPr>
        <w:rFonts w:hint="default"/>
      </w:rPr>
    </w:lvl>
    <w:lvl w:ilvl="3">
      <w:start w:val="1"/>
      <w:numFmt w:val="decimal"/>
      <w:lvlText w:val="%4."/>
      <w:lvlJc w:val="left"/>
      <w:pPr>
        <w:ind w:left="3163" w:hanging="360"/>
      </w:pPr>
      <w:rPr>
        <w:rFonts w:hint="default"/>
      </w:rPr>
    </w:lvl>
    <w:lvl w:ilvl="4">
      <w:start w:val="1"/>
      <w:numFmt w:val="lowerLetter"/>
      <w:lvlText w:val="%5."/>
      <w:lvlJc w:val="left"/>
      <w:pPr>
        <w:ind w:left="3883" w:hanging="360"/>
      </w:pPr>
      <w:rPr>
        <w:rFonts w:hint="default"/>
      </w:rPr>
    </w:lvl>
    <w:lvl w:ilvl="5">
      <w:start w:val="1"/>
      <w:numFmt w:val="lowerRoman"/>
      <w:lvlText w:val="%6."/>
      <w:lvlJc w:val="right"/>
      <w:pPr>
        <w:ind w:left="4603" w:hanging="180"/>
      </w:pPr>
      <w:rPr>
        <w:rFonts w:hint="default"/>
      </w:rPr>
    </w:lvl>
    <w:lvl w:ilvl="6">
      <w:start w:val="1"/>
      <w:numFmt w:val="decimal"/>
      <w:lvlText w:val="%7."/>
      <w:lvlJc w:val="left"/>
      <w:pPr>
        <w:ind w:left="5323" w:hanging="360"/>
      </w:pPr>
      <w:rPr>
        <w:rFonts w:hint="default"/>
      </w:rPr>
    </w:lvl>
    <w:lvl w:ilvl="7">
      <w:start w:val="1"/>
      <w:numFmt w:val="lowerLetter"/>
      <w:lvlText w:val="%8."/>
      <w:lvlJc w:val="left"/>
      <w:pPr>
        <w:ind w:left="6043" w:hanging="360"/>
      </w:pPr>
      <w:rPr>
        <w:rFonts w:hint="default"/>
      </w:rPr>
    </w:lvl>
    <w:lvl w:ilvl="8">
      <w:start w:val="1"/>
      <w:numFmt w:val="lowerRoman"/>
      <w:lvlText w:val="%9."/>
      <w:lvlJc w:val="right"/>
      <w:pPr>
        <w:ind w:left="6763" w:hanging="180"/>
      </w:pPr>
      <w:rPr>
        <w:rFonts w:hint="default"/>
      </w:rPr>
    </w:lvl>
  </w:abstractNum>
  <w:abstractNum w:abstractNumId="26" w15:restartNumberingAfterBreak="0">
    <w:nsid w:val="1FC213F4"/>
    <w:multiLevelType w:val="multilevel"/>
    <w:tmpl w:val="7CCAF394"/>
    <w:lvl w:ilvl="0">
      <w:start w:val="493"/>
      <w:numFmt w:val="decimal"/>
      <w:lvlText w:val="%1."/>
      <w:lvlJc w:val="left"/>
      <w:pPr>
        <w:tabs>
          <w:tab w:val="num" w:pos="1004"/>
        </w:tabs>
        <w:ind w:left="284"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0A74BCE"/>
    <w:multiLevelType w:val="hybridMultilevel"/>
    <w:tmpl w:val="D0304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13651D2"/>
    <w:multiLevelType w:val="multilevel"/>
    <w:tmpl w:val="FB603CB0"/>
    <w:lvl w:ilvl="0">
      <w:start w:val="386"/>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369252E"/>
    <w:multiLevelType w:val="multilevel"/>
    <w:tmpl w:val="6AB04FF8"/>
    <w:lvl w:ilvl="0">
      <w:start w:val="411"/>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58B100B"/>
    <w:multiLevelType w:val="hybridMultilevel"/>
    <w:tmpl w:val="2D6E4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64C7A12"/>
    <w:multiLevelType w:val="multilevel"/>
    <w:tmpl w:val="8D0211FC"/>
    <w:lvl w:ilvl="0">
      <w:start w:val="1"/>
      <w:numFmt w:val="bullet"/>
      <w:lvlText w:val=""/>
      <w:lvlJc w:val="left"/>
      <w:pPr>
        <w:tabs>
          <w:tab w:val="num" w:pos="1288"/>
        </w:tabs>
        <w:ind w:left="568" w:firstLine="0"/>
      </w:pPr>
      <w:rPr>
        <w:rFonts w:ascii="Symbol" w:hAnsi="Symbol"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7E12BB5"/>
    <w:multiLevelType w:val="hybridMultilevel"/>
    <w:tmpl w:val="D32E3E56"/>
    <w:lvl w:ilvl="0" w:tplc="CB7AAF02">
      <w:start w:val="1"/>
      <w:numFmt w:val="decimal"/>
      <w:lvlText w:val="%1."/>
      <w:lvlJc w:val="left"/>
      <w:pPr>
        <w:ind w:left="899" w:hanging="360"/>
      </w:pPr>
      <w:rPr>
        <w:rFonts w:ascii="Times New Roman" w:eastAsia="Times New Roman" w:hAnsi="Times New Roman" w:cs="Times New Roman"/>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3" w15:restartNumberingAfterBreak="0">
    <w:nsid w:val="28EE78F3"/>
    <w:multiLevelType w:val="multilevel"/>
    <w:tmpl w:val="30EC427C"/>
    <w:lvl w:ilvl="0">
      <w:start w:val="193"/>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A455CC4"/>
    <w:multiLevelType w:val="hybridMultilevel"/>
    <w:tmpl w:val="083A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59503D"/>
    <w:multiLevelType w:val="multilevel"/>
    <w:tmpl w:val="4622F91A"/>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2AAA7A58"/>
    <w:multiLevelType w:val="hybridMultilevel"/>
    <w:tmpl w:val="98DA6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B866720"/>
    <w:multiLevelType w:val="hybridMultilevel"/>
    <w:tmpl w:val="F7BEF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2C5AA6"/>
    <w:multiLevelType w:val="hybridMultilevel"/>
    <w:tmpl w:val="95BC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F975C2"/>
    <w:multiLevelType w:val="multilevel"/>
    <w:tmpl w:val="572219AA"/>
    <w:lvl w:ilvl="0">
      <w:start w:val="55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E0C3529"/>
    <w:multiLevelType w:val="multilevel"/>
    <w:tmpl w:val="57FA6E4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E400FBA"/>
    <w:multiLevelType w:val="multilevel"/>
    <w:tmpl w:val="2632D168"/>
    <w:lvl w:ilvl="0">
      <w:start w:val="18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E676600"/>
    <w:multiLevelType w:val="multilevel"/>
    <w:tmpl w:val="24C028AC"/>
    <w:lvl w:ilvl="0">
      <w:start w:val="449"/>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E7F7342"/>
    <w:multiLevelType w:val="multilevel"/>
    <w:tmpl w:val="86B41A8C"/>
    <w:lvl w:ilvl="0">
      <w:start w:val="211"/>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0E16E60"/>
    <w:multiLevelType w:val="multilevel"/>
    <w:tmpl w:val="0B4A5D82"/>
    <w:lvl w:ilvl="0">
      <w:start w:val="300"/>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19439E6"/>
    <w:multiLevelType w:val="multilevel"/>
    <w:tmpl w:val="FF98F1C2"/>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32151F45"/>
    <w:multiLevelType w:val="hybridMultilevel"/>
    <w:tmpl w:val="60CCD872"/>
    <w:lvl w:ilvl="0" w:tplc="2E840936">
      <w:start w:val="1"/>
      <w:numFmt w:val="decimal"/>
      <w:pStyle w:val="pdbullet"/>
      <w:lvlText w:val="%1."/>
      <w:lvlJc w:val="left"/>
      <w:pPr>
        <w:ind w:left="99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1B2040"/>
    <w:multiLevelType w:val="multilevel"/>
    <w:tmpl w:val="FD24FCAC"/>
    <w:lvl w:ilvl="0">
      <w:start w:val="5"/>
      <w:numFmt w:val="decimal"/>
      <w:lvlText w:val="%1"/>
      <w:lvlJc w:val="left"/>
      <w:pPr>
        <w:ind w:left="370" w:hanging="370"/>
      </w:pPr>
      <w:rPr>
        <w:rFonts w:hint="default"/>
      </w:rPr>
    </w:lvl>
    <w:lvl w:ilvl="1">
      <w:start w:val="1"/>
      <w:numFmt w:val="decimal"/>
      <w:lvlText w:val="%1.%2"/>
      <w:lvlJc w:val="left"/>
      <w:pPr>
        <w:ind w:left="654"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4404708"/>
    <w:multiLevelType w:val="multilevel"/>
    <w:tmpl w:val="6AC8D0EC"/>
    <w:lvl w:ilvl="0">
      <w:start w:val="1"/>
      <w:numFmt w:val="bullet"/>
      <w:lvlText w:val=""/>
      <w:lvlJc w:val="left"/>
      <w:pPr>
        <w:tabs>
          <w:tab w:val="num" w:pos="1440"/>
        </w:tabs>
        <w:ind w:left="720" w:firstLine="0"/>
      </w:pPr>
      <w:rPr>
        <w:rFonts w:ascii="Symbol" w:hAnsi="Symbol" w:hint="default"/>
        <w:b w:val="0"/>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9" w15:restartNumberingAfterBreak="0">
    <w:nsid w:val="36CE3C4D"/>
    <w:multiLevelType w:val="multilevel"/>
    <w:tmpl w:val="368610C4"/>
    <w:lvl w:ilvl="0">
      <w:start w:val="406"/>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3A9C2D6C"/>
    <w:multiLevelType w:val="multilevel"/>
    <w:tmpl w:val="09C40548"/>
    <w:lvl w:ilvl="0">
      <w:start w:val="1"/>
      <w:numFmt w:val="bullet"/>
      <w:lvlText w:val=""/>
      <w:lvlJc w:val="left"/>
      <w:pPr>
        <w:ind w:left="1084" w:hanging="360"/>
      </w:pPr>
      <w:rPr>
        <w:rFonts w:ascii="Symbol" w:hAnsi="Symbol" w:hint="default"/>
      </w:rPr>
    </w:lvl>
    <w:lvl w:ilvl="1">
      <w:start w:val="1"/>
      <w:numFmt w:val="bullet"/>
      <w:lvlText w:val=""/>
      <w:lvlJc w:val="left"/>
      <w:pPr>
        <w:ind w:left="1084" w:hanging="360"/>
      </w:pPr>
      <w:rPr>
        <w:rFonts w:ascii="Symbol" w:hAnsi="Symbol" w:hint="default"/>
      </w:rPr>
    </w:lvl>
    <w:lvl w:ilvl="2">
      <w:start w:val="1"/>
      <w:numFmt w:val="decimal"/>
      <w:lvlText w:val="%1.%2.%3"/>
      <w:lvlJc w:val="left"/>
      <w:pPr>
        <w:ind w:left="1444" w:hanging="720"/>
      </w:pPr>
      <w:rPr>
        <w:rFonts w:hint="default"/>
      </w:rPr>
    </w:lvl>
    <w:lvl w:ilvl="3">
      <w:start w:val="1"/>
      <w:numFmt w:val="decimal"/>
      <w:lvlText w:val="%1.%2.%3.%4"/>
      <w:lvlJc w:val="left"/>
      <w:pPr>
        <w:ind w:left="1804" w:hanging="108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2164" w:hanging="1440"/>
      </w:pPr>
      <w:rPr>
        <w:rFonts w:hint="default"/>
      </w:rPr>
    </w:lvl>
    <w:lvl w:ilvl="6">
      <w:start w:val="1"/>
      <w:numFmt w:val="decimal"/>
      <w:lvlText w:val="%1.%2.%3.%4.%5.%6.%7"/>
      <w:lvlJc w:val="left"/>
      <w:pPr>
        <w:ind w:left="2164" w:hanging="1440"/>
      </w:pPr>
      <w:rPr>
        <w:rFonts w:hint="default"/>
      </w:rPr>
    </w:lvl>
    <w:lvl w:ilvl="7">
      <w:start w:val="1"/>
      <w:numFmt w:val="decimal"/>
      <w:lvlText w:val="%1.%2.%3.%4.%5.%6.%7.%8"/>
      <w:lvlJc w:val="left"/>
      <w:pPr>
        <w:ind w:left="2524" w:hanging="1800"/>
      </w:pPr>
      <w:rPr>
        <w:rFonts w:hint="default"/>
      </w:rPr>
    </w:lvl>
    <w:lvl w:ilvl="8">
      <w:start w:val="1"/>
      <w:numFmt w:val="decimal"/>
      <w:lvlText w:val="%1.%2.%3.%4.%5.%6.%7.%8.%9"/>
      <w:lvlJc w:val="left"/>
      <w:pPr>
        <w:ind w:left="2524" w:hanging="1800"/>
      </w:pPr>
      <w:rPr>
        <w:rFonts w:hint="default"/>
      </w:rPr>
    </w:lvl>
  </w:abstractNum>
  <w:abstractNum w:abstractNumId="51" w15:restartNumberingAfterBreak="0">
    <w:nsid w:val="3D133EFE"/>
    <w:multiLevelType w:val="hybridMultilevel"/>
    <w:tmpl w:val="9418F6B8"/>
    <w:lvl w:ilvl="0" w:tplc="3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DF3587E"/>
    <w:multiLevelType w:val="hybridMultilevel"/>
    <w:tmpl w:val="63C627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E2B3497"/>
    <w:multiLevelType w:val="hybridMultilevel"/>
    <w:tmpl w:val="8C62E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2D223FA"/>
    <w:multiLevelType w:val="multilevel"/>
    <w:tmpl w:val="BDC85C6A"/>
    <w:lvl w:ilvl="0">
      <w:start w:val="2"/>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55" w15:restartNumberingAfterBreak="0">
    <w:nsid w:val="442E6534"/>
    <w:multiLevelType w:val="hybridMultilevel"/>
    <w:tmpl w:val="AD86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4A0321"/>
    <w:multiLevelType w:val="hybridMultilevel"/>
    <w:tmpl w:val="88F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EE1142"/>
    <w:multiLevelType w:val="multilevel"/>
    <w:tmpl w:val="8D0211FC"/>
    <w:lvl w:ilvl="0">
      <w:start w:val="1"/>
      <w:numFmt w:val="bullet"/>
      <w:lvlText w:val=""/>
      <w:lvlJc w:val="left"/>
      <w:pPr>
        <w:tabs>
          <w:tab w:val="num" w:pos="1288"/>
        </w:tabs>
        <w:ind w:left="568" w:firstLine="0"/>
      </w:pPr>
      <w:rPr>
        <w:rFonts w:ascii="Symbol" w:hAnsi="Symbol"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482C03A0"/>
    <w:multiLevelType w:val="multilevel"/>
    <w:tmpl w:val="60921E78"/>
    <w:lvl w:ilvl="0">
      <w:start w:val="390"/>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4A3215D7"/>
    <w:multiLevelType w:val="multilevel"/>
    <w:tmpl w:val="DB8411E6"/>
    <w:lvl w:ilvl="0">
      <w:start w:val="567"/>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4A670589"/>
    <w:multiLevelType w:val="multilevel"/>
    <w:tmpl w:val="F968B6B0"/>
    <w:lvl w:ilvl="0">
      <w:start w:val="214"/>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4AC76876"/>
    <w:multiLevelType w:val="hybridMultilevel"/>
    <w:tmpl w:val="9190C3B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2" w15:restartNumberingAfterBreak="0">
    <w:nsid w:val="4B596694"/>
    <w:multiLevelType w:val="multilevel"/>
    <w:tmpl w:val="F0A477F4"/>
    <w:lvl w:ilvl="0">
      <w:start w:val="1"/>
      <w:numFmt w:val="decimal"/>
      <w:lvlText w:val="%1"/>
      <w:lvlJc w:val="left"/>
      <w:pPr>
        <w:ind w:left="390" w:hanging="390"/>
      </w:pPr>
      <w:rPr>
        <w:rFonts w:hint="default"/>
      </w:rPr>
    </w:lvl>
    <w:lvl w:ilvl="1">
      <w:start w:val="1"/>
      <w:numFmt w:val="decimal"/>
      <w:pStyle w:val="Headinglevel2PEFA"/>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E10081C"/>
    <w:multiLevelType w:val="hybridMultilevel"/>
    <w:tmpl w:val="3ED035BE"/>
    <w:lvl w:ilvl="0" w:tplc="1FB6F1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F604E84"/>
    <w:multiLevelType w:val="multilevel"/>
    <w:tmpl w:val="BE205C90"/>
    <w:lvl w:ilvl="0">
      <w:start w:val="474"/>
      <w:numFmt w:val="decimal"/>
      <w:lvlText w:val="%1."/>
      <w:lvlJc w:val="left"/>
      <w:pPr>
        <w:tabs>
          <w:tab w:val="num" w:pos="1146"/>
        </w:tabs>
        <w:ind w:left="426"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08C4B02"/>
    <w:multiLevelType w:val="multilevel"/>
    <w:tmpl w:val="32D2F9C0"/>
    <w:lvl w:ilvl="0">
      <w:start w:val="57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12E0F09"/>
    <w:multiLevelType w:val="multilevel"/>
    <w:tmpl w:val="20B63E76"/>
    <w:lvl w:ilvl="0">
      <w:start w:val="3"/>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67" w15:restartNumberingAfterBreak="0">
    <w:nsid w:val="52A016FC"/>
    <w:multiLevelType w:val="multilevel"/>
    <w:tmpl w:val="261A162E"/>
    <w:lvl w:ilvl="0">
      <w:start w:val="157"/>
      <w:numFmt w:val="decimal"/>
      <w:lvlText w:val="%1."/>
      <w:lvlJc w:val="left"/>
      <w:pPr>
        <w:tabs>
          <w:tab w:val="num" w:pos="1429"/>
        </w:tabs>
        <w:ind w:left="709" w:firstLine="0"/>
      </w:pPr>
      <w:rPr>
        <w:rFonts w:hint="default"/>
        <w:b w:val="0"/>
        <w:i w:val="0"/>
      </w:rPr>
    </w:lvl>
    <w:lvl w:ilvl="1">
      <w:start w:val="1"/>
      <w:numFmt w:val="lowerLetter"/>
      <w:lvlText w:val="%2."/>
      <w:lvlJc w:val="left"/>
      <w:pPr>
        <w:ind w:left="1581" w:hanging="360"/>
      </w:pPr>
      <w:rPr>
        <w:rFonts w:hint="default"/>
      </w:rPr>
    </w:lvl>
    <w:lvl w:ilvl="2">
      <w:start w:val="1"/>
      <w:numFmt w:val="lowerRoman"/>
      <w:lvlText w:val="%3."/>
      <w:lvlJc w:val="right"/>
      <w:pPr>
        <w:ind w:left="2301" w:hanging="180"/>
      </w:pPr>
      <w:rPr>
        <w:rFonts w:hint="default"/>
      </w:rPr>
    </w:lvl>
    <w:lvl w:ilvl="3">
      <w:start w:val="1"/>
      <w:numFmt w:val="decimal"/>
      <w:lvlText w:val="%4."/>
      <w:lvlJc w:val="left"/>
      <w:pPr>
        <w:ind w:left="3021" w:hanging="360"/>
      </w:pPr>
      <w:rPr>
        <w:rFonts w:hint="default"/>
      </w:rPr>
    </w:lvl>
    <w:lvl w:ilvl="4">
      <w:start w:val="1"/>
      <w:numFmt w:val="lowerLetter"/>
      <w:lvlText w:val="%5."/>
      <w:lvlJc w:val="left"/>
      <w:pPr>
        <w:ind w:left="3741" w:hanging="360"/>
      </w:pPr>
      <w:rPr>
        <w:rFonts w:hint="default"/>
      </w:rPr>
    </w:lvl>
    <w:lvl w:ilvl="5">
      <w:start w:val="1"/>
      <w:numFmt w:val="lowerRoman"/>
      <w:lvlText w:val="%6."/>
      <w:lvlJc w:val="right"/>
      <w:pPr>
        <w:ind w:left="4461" w:hanging="180"/>
      </w:pPr>
      <w:rPr>
        <w:rFonts w:hint="default"/>
      </w:rPr>
    </w:lvl>
    <w:lvl w:ilvl="6">
      <w:start w:val="1"/>
      <w:numFmt w:val="decimal"/>
      <w:lvlText w:val="%7."/>
      <w:lvlJc w:val="left"/>
      <w:pPr>
        <w:ind w:left="5181" w:hanging="360"/>
      </w:pPr>
      <w:rPr>
        <w:rFonts w:hint="default"/>
      </w:rPr>
    </w:lvl>
    <w:lvl w:ilvl="7">
      <w:start w:val="1"/>
      <w:numFmt w:val="lowerLetter"/>
      <w:lvlText w:val="%8."/>
      <w:lvlJc w:val="left"/>
      <w:pPr>
        <w:ind w:left="5901" w:hanging="360"/>
      </w:pPr>
      <w:rPr>
        <w:rFonts w:hint="default"/>
      </w:rPr>
    </w:lvl>
    <w:lvl w:ilvl="8">
      <w:start w:val="1"/>
      <w:numFmt w:val="lowerRoman"/>
      <w:lvlText w:val="%9."/>
      <w:lvlJc w:val="right"/>
      <w:pPr>
        <w:ind w:left="6621" w:hanging="180"/>
      </w:pPr>
      <w:rPr>
        <w:rFonts w:hint="default"/>
      </w:rPr>
    </w:lvl>
  </w:abstractNum>
  <w:abstractNum w:abstractNumId="68" w15:restartNumberingAfterBreak="0">
    <w:nsid w:val="53145AA3"/>
    <w:multiLevelType w:val="multilevel"/>
    <w:tmpl w:val="E612C034"/>
    <w:lvl w:ilvl="0">
      <w:start w:val="1"/>
      <w:numFmt w:val="decimal"/>
      <w:lvlText w:val="%1."/>
      <w:lvlJc w:val="left"/>
      <w:pPr>
        <w:ind w:left="630" w:hanging="360"/>
      </w:pPr>
      <w:rPr>
        <w:rFonts w:hint="default"/>
        <w:b/>
      </w:rPr>
    </w:lvl>
    <w:lvl w:ilvl="1">
      <w:start w:val="1"/>
      <w:numFmt w:val="decimal"/>
      <w:pStyle w:val="Naslov2"/>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69" w15:restartNumberingAfterBreak="0">
    <w:nsid w:val="5350796F"/>
    <w:multiLevelType w:val="hybridMultilevel"/>
    <w:tmpl w:val="F69C52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40170AF"/>
    <w:multiLevelType w:val="singleLevel"/>
    <w:tmpl w:val="DA7A1714"/>
    <w:lvl w:ilvl="0">
      <w:start w:val="1"/>
      <w:numFmt w:val="bullet"/>
      <w:pStyle w:val="SECTIONContents"/>
      <w:lvlText w:val=""/>
      <w:lvlJc w:val="left"/>
      <w:pPr>
        <w:tabs>
          <w:tab w:val="num" w:pos="360"/>
        </w:tabs>
        <w:ind w:left="360" w:hanging="360"/>
      </w:pPr>
      <w:rPr>
        <w:rFonts w:ascii="Symbol" w:hAnsi="Symbol" w:hint="default"/>
      </w:rPr>
    </w:lvl>
  </w:abstractNum>
  <w:abstractNum w:abstractNumId="71" w15:restartNumberingAfterBreak="0">
    <w:nsid w:val="54D0771C"/>
    <w:multiLevelType w:val="multilevel"/>
    <w:tmpl w:val="8D0211FC"/>
    <w:lvl w:ilvl="0">
      <w:start w:val="1"/>
      <w:numFmt w:val="bullet"/>
      <w:lvlText w:val=""/>
      <w:lvlJc w:val="left"/>
      <w:pPr>
        <w:tabs>
          <w:tab w:val="num" w:pos="1288"/>
        </w:tabs>
        <w:ind w:left="568" w:firstLine="0"/>
      </w:pPr>
      <w:rPr>
        <w:rFonts w:ascii="Symbol" w:hAnsi="Symbol"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558F17FC"/>
    <w:multiLevelType w:val="multilevel"/>
    <w:tmpl w:val="35EAE410"/>
    <w:lvl w:ilvl="0">
      <w:start w:val="580"/>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569E2F0F"/>
    <w:multiLevelType w:val="hybridMultilevel"/>
    <w:tmpl w:val="20AAA16C"/>
    <w:lvl w:ilvl="0" w:tplc="EDEAEA4C">
      <w:start w:val="1"/>
      <w:numFmt w:val="decimal"/>
      <w:lvlText w:val="%1.."/>
      <w:lvlJc w:val="left"/>
      <w:pPr>
        <w:ind w:left="4135" w:hanging="360"/>
      </w:pPr>
      <w:rPr>
        <w:rFonts w:hint="default"/>
      </w:rPr>
    </w:lvl>
    <w:lvl w:ilvl="1" w:tplc="08090019" w:tentative="1">
      <w:start w:val="1"/>
      <w:numFmt w:val="lowerLetter"/>
      <w:lvlText w:val="%2."/>
      <w:lvlJc w:val="left"/>
      <w:pPr>
        <w:ind w:left="4855" w:hanging="360"/>
      </w:pPr>
    </w:lvl>
    <w:lvl w:ilvl="2" w:tplc="0809001B" w:tentative="1">
      <w:start w:val="1"/>
      <w:numFmt w:val="lowerRoman"/>
      <w:lvlText w:val="%3."/>
      <w:lvlJc w:val="right"/>
      <w:pPr>
        <w:ind w:left="5575" w:hanging="180"/>
      </w:pPr>
    </w:lvl>
    <w:lvl w:ilvl="3" w:tplc="0809000F" w:tentative="1">
      <w:start w:val="1"/>
      <w:numFmt w:val="decimal"/>
      <w:lvlText w:val="%4."/>
      <w:lvlJc w:val="left"/>
      <w:pPr>
        <w:ind w:left="6295" w:hanging="360"/>
      </w:pPr>
    </w:lvl>
    <w:lvl w:ilvl="4" w:tplc="08090019" w:tentative="1">
      <w:start w:val="1"/>
      <w:numFmt w:val="lowerLetter"/>
      <w:lvlText w:val="%5."/>
      <w:lvlJc w:val="left"/>
      <w:pPr>
        <w:ind w:left="7015" w:hanging="360"/>
      </w:pPr>
    </w:lvl>
    <w:lvl w:ilvl="5" w:tplc="0809001B" w:tentative="1">
      <w:start w:val="1"/>
      <w:numFmt w:val="lowerRoman"/>
      <w:lvlText w:val="%6."/>
      <w:lvlJc w:val="right"/>
      <w:pPr>
        <w:ind w:left="7735" w:hanging="180"/>
      </w:pPr>
    </w:lvl>
    <w:lvl w:ilvl="6" w:tplc="0809000F" w:tentative="1">
      <w:start w:val="1"/>
      <w:numFmt w:val="decimal"/>
      <w:lvlText w:val="%7."/>
      <w:lvlJc w:val="left"/>
      <w:pPr>
        <w:ind w:left="8455" w:hanging="360"/>
      </w:pPr>
    </w:lvl>
    <w:lvl w:ilvl="7" w:tplc="08090019" w:tentative="1">
      <w:start w:val="1"/>
      <w:numFmt w:val="lowerLetter"/>
      <w:lvlText w:val="%8."/>
      <w:lvlJc w:val="left"/>
      <w:pPr>
        <w:ind w:left="9175" w:hanging="360"/>
      </w:pPr>
    </w:lvl>
    <w:lvl w:ilvl="8" w:tplc="0809001B" w:tentative="1">
      <w:start w:val="1"/>
      <w:numFmt w:val="lowerRoman"/>
      <w:lvlText w:val="%9."/>
      <w:lvlJc w:val="right"/>
      <w:pPr>
        <w:ind w:left="9895" w:hanging="180"/>
      </w:pPr>
    </w:lvl>
  </w:abstractNum>
  <w:abstractNum w:abstractNumId="74" w15:restartNumberingAfterBreak="0">
    <w:nsid w:val="56E902FE"/>
    <w:multiLevelType w:val="hybridMultilevel"/>
    <w:tmpl w:val="FDDA4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7E361B6"/>
    <w:multiLevelType w:val="multilevel"/>
    <w:tmpl w:val="B810B2A0"/>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8370955"/>
    <w:multiLevelType w:val="hybridMultilevel"/>
    <w:tmpl w:val="682E1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951545F"/>
    <w:multiLevelType w:val="multilevel"/>
    <w:tmpl w:val="0EF0493A"/>
    <w:lvl w:ilvl="0">
      <w:start w:val="1"/>
      <w:numFmt w:val="decimal"/>
      <w:pStyle w:val="list-number-color"/>
      <w:lvlText w:val="%1."/>
      <w:lvlJc w:val="left"/>
      <w:pPr>
        <w:ind w:left="284" w:hanging="284"/>
      </w:pPr>
      <w:rPr>
        <w:rFonts w:hint="default"/>
        <w:color w:val="006DB6"/>
      </w:rPr>
    </w:lvl>
    <w:lvl w:ilvl="1">
      <w:start w:val="1"/>
      <w:numFmt w:val="lowerLetter"/>
      <w:lvlText w:val="%2."/>
      <w:lvlJc w:val="left"/>
      <w:pPr>
        <w:ind w:left="568" w:hanging="284"/>
      </w:pPr>
      <w:rPr>
        <w:rFonts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78" w15:restartNumberingAfterBreak="0">
    <w:nsid w:val="5A9839B5"/>
    <w:multiLevelType w:val="multilevel"/>
    <w:tmpl w:val="AB765A26"/>
    <w:lvl w:ilvl="0">
      <w:start w:val="211"/>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5C6B4CF2"/>
    <w:multiLevelType w:val="hybridMultilevel"/>
    <w:tmpl w:val="990AC17C"/>
    <w:lvl w:ilvl="0" w:tplc="3D30EB82">
      <w:start w:val="22"/>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0" w15:restartNumberingAfterBreak="0">
    <w:nsid w:val="5C7D7940"/>
    <w:multiLevelType w:val="multilevel"/>
    <w:tmpl w:val="94E2401E"/>
    <w:lvl w:ilvl="0">
      <w:start w:val="446"/>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5CF16021"/>
    <w:multiLevelType w:val="multilevel"/>
    <w:tmpl w:val="09C40548"/>
    <w:lvl w:ilvl="0">
      <w:start w:val="1"/>
      <w:numFmt w:val="bullet"/>
      <w:lvlText w:val=""/>
      <w:lvlJc w:val="left"/>
      <w:pPr>
        <w:ind w:left="1084" w:hanging="360"/>
      </w:pPr>
      <w:rPr>
        <w:rFonts w:ascii="Symbol" w:hAnsi="Symbol" w:hint="default"/>
      </w:rPr>
    </w:lvl>
    <w:lvl w:ilvl="1">
      <w:start w:val="1"/>
      <w:numFmt w:val="bullet"/>
      <w:lvlText w:val=""/>
      <w:lvlJc w:val="left"/>
      <w:pPr>
        <w:ind w:left="1084" w:hanging="360"/>
      </w:pPr>
      <w:rPr>
        <w:rFonts w:ascii="Symbol" w:hAnsi="Symbol" w:hint="default"/>
      </w:rPr>
    </w:lvl>
    <w:lvl w:ilvl="2">
      <w:start w:val="1"/>
      <w:numFmt w:val="decimal"/>
      <w:lvlText w:val="%1.%2.%3"/>
      <w:lvlJc w:val="left"/>
      <w:pPr>
        <w:ind w:left="1444" w:hanging="720"/>
      </w:pPr>
      <w:rPr>
        <w:rFonts w:hint="default"/>
      </w:rPr>
    </w:lvl>
    <w:lvl w:ilvl="3">
      <w:start w:val="1"/>
      <w:numFmt w:val="decimal"/>
      <w:lvlText w:val="%1.%2.%3.%4"/>
      <w:lvlJc w:val="left"/>
      <w:pPr>
        <w:ind w:left="1804" w:hanging="108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2164" w:hanging="1440"/>
      </w:pPr>
      <w:rPr>
        <w:rFonts w:hint="default"/>
      </w:rPr>
    </w:lvl>
    <w:lvl w:ilvl="6">
      <w:start w:val="1"/>
      <w:numFmt w:val="decimal"/>
      <w:lvlText w:val="%1.%2.%3.%4.%5.%6.%7"/>
      <w:lvlJc w:val="left"/>
      <w:pPr>
        <w:ind w:left="2164" w:hanging="1440"/>
      </w:pPr>
      <w:rPr>
        <w:rFonts w:hint="default"/>
      </w:rPr>
    </w:lvl>
    <w:lvl w:ilvl="7">
      <w:start w:val="1"/>
      <w:numFmt w:val="decimal"/>
      <w:lvlText w:val="%1.%2.%3.%4.%5.%6.%7.%8"/>
      <w:lvlJc w:val="left"/>
      <w:pPr>
        <w:ind w:left="2524" w:hanging="1800"/>
      </w:pPr>
      <w:rPr>
        <w:rFonts w:hint="default"/>
      </w:rPr>
    </w:lvl>
    <w:lvl w:ilvl="8">
      <w:start w:val="1"/>
      <w:numFmt w:val="decimal"/>
      <w:lvlText w:val="%1.%2.%3.%4.%5.%6.%7.%8.%9"/>
      <w:lvlJc w:val="left"/>
      <w:pPr>
        <w:ind w:left="2524" w:hanging="1800"/>
      </w:pPr>
      <w:rPr>
        <w:rFonts w:hint="default"/>
      </w:rPr>
    </w:lvl>
  </w:abstractNum>
  <w:abstractNum w:abstractNumId="82" w15:restartNumberingAfterBreak="0">
    <w:nsid w:val="5D5B2EEF"/>
    <w:multiLevelType w:val="multilevel"/>
    <w:tmpl w:val="674C413C"/>
    <w:lvl w:ilvl="0">
      <w:start w:val="1"/>
      <w:numFmt w:val="bullet"/>
      <w:pStyle w:val="list-bullet-black"/>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83" w15:restartNumberingAfterBreak="0">
    <w:nsid w:val="5DF2463C"/>
    <w:multiLevelType w:val="multilevel"/>
    <w:tmpl w:val="AC141218"/>
    <w:lvl w:ilvl="0">
      <w:start w:val="471"/>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F92319E"/>
    <w:multiLevelType w:val="hybridMultilevel"/>
    <w:tmpl w:val="809C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1BE0914"/>
    <w:multiLevelType w:val="hybridMultilevel"/>
    <w:tmpl w:val="2F94CBC6"/>
    <w:lvl w:ilvl="0" w:tplc="B94E71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27859F8"/>
    <w:multiLevelType w:val="multilevel"/>
    <w:tmpl w:val="FC20EB3E"/>
    <w:lvl w:ilvl="0">
      <w:start w:val="355"/>
      <w:numFmt w:val="decimal"/>
      <w:lvlText w:val="%1."/>
      <w:lvlJc w:val="left"/>
      <w:pPr>
        <w:tabs>
          <w:tab w:val="num" w:pos="1146"/>
        </w:tabs>
        <w:ind w:left="426"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658606B3"/>
    <w:multiLevelType w:val="hybridMultilevel"/>
    <w:tmpl w:val="4F7EEA9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8" w15:restartNumberingAfterBreak="0">
    <w:nsid w:val="663C5743"/>
    <w:multiLevelType w:val="multilevel"/>
    <w:tmpl w:val="09C40548"/>
    <w:lvl w:ilvl="0">
      <w:start w:val="1"/>
      <w:numFmt w:val="bullet"/>
      <w:lvlText w:val=""/>
      <w:lvlJc w:val="left"/>
      <w:pPr>
        <w:ind w:left="1084" w:hanging="360"/>
      </w:pPr>
      <w:rPr>
        <w:rFonts w:ascii="Symbol" w:hAnsi="Symbol" w:hint="default"/>
      </w:rPr>
    </w:lvl>
    <w:lvl w:ilvl="1">
      <w:start w:val="1"/>
      <w:numFmt w:val="bullet"/>
      <w:lvlText w:val=""/>
      <w:lvlJc w:val="left"/>
      <w:pPr>
        <w:ind w:left="1084" w:hanging="360"/>
      </w:pPr>
      <w:rPr>
        <w:rFonts w:ascii="Symbol" w:hAnsi="Symbol" w:hint="default"/>
      </w:rPr>
    </w:lvl>
    <w:lvl w:ilvl="2">
      <w:start w:val="1"/>
      <w:numFmt w:val="decimal"/>
      <w:lvlText w:val="%1.%2.%3"/>
      <w:lvlJc w:val="left"/>
      <w:pPr>
        <w:ind w:left="1444" w:hanging="720"/>
      </w:pPr>
      <w:rPr>
        <w:rFonts w:hint="default"/>
      </w:rPr>
    </w:lvl>
    <w:lvl w:ilvl="3">
      <w:start w:val="1"/>
      <w:numFmt w:val="decimal"/>
      <w:lvlText w:val="%1.%2.%3.%4"/>
      <w:lvlJc w:val="left"/>
      <w:pPr>
        <w:ind w:left="1804" w:hanging="108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2164" w:hanging="1440"/>
      </w:pPr>
      <w:rPr>
        <w:rFonts w:hint="default"/>
      </w:rPr>
    </w:lvl>
    <w:lvl w:ilvl="6">
      <w:start w:val="1"/>
      <w:numFmt w:val="decimal"/>
      <w:lvlText w:val="%1.%2.%3.%4.%5.%6.%7"/>
      <w:lvlJc w:val="left"/>
      <w:pPr>
        <w:ind w:left="2164" w:hanging="1440"/>
      </w:pPr>
      <w:rPr>
        <w:rFonts w:hint="default"/>
      </w:rPr>
    </w:lvl>
    <w:lvl w:ilvl="7">
      <w:start w:val="1"/>
      <w:numFmt w:val="decimal"/>
      <w:lvlText w:val="%1.%2.%3.%4.%5.%6.%7.%8"/>
      <w:lvlJc w:val="left"/>
      <w:pPr>
        <w:ind w:left="2524" w:hanging="1800"/>
      </w:pPr>
      <w:rPr>
        <w:rFonts w:hint="default"/>
      </w:rPr>
    </w:lvl>
    <w:lvl w:ilvl="8">
      <w:start w:val="1"/>
      <w:numFmt w:val="decimal"/>
      <w:lvlText w:val="%1.%2.%3.%4.%5.%6.%7.%8.%9"/>
      <w:lvlJc w:val="left"/>
      <w:pPr>
        <w:ind w:left="2524" w:hanging="1800"/>
      </w:pPr>
      <w:rPr>
        <w:rFonts w:hint="default"/>
      </w:rPr>
    </w:lvl>
  </w:abstractNum>
  <w:abstractNum w:abstractNumId="89" w15:restartNumberingAfterBreak="0">
    <w:nsid w:val="66662B96"/>
    <w:multiLevelType w:val="hybridMultilevel"/>
    <w:tmpl w:val="3CA60F02"/>
    <w:lvl w:ilvl="0" w:tplc="04090001">
      <w:start w:val="1"/>
      <w:numFmt w:val="bullet"/>
      <w:lvlText w:val=""/>
      <w:lvlJc w:val="left"/>
      <w:pPr>
        <w:ind w:left="720" w:hanging="360"/>
      </w:pPr>
      <w:rPr>
        <w:rFonts w:ascii="Symbol" w:hAnsi="Symbol" w:hint="default"/>
      </w:rPr>
    </w:lvl>
    <w:lvl w:ilvl="1" w:tplc="32F44962">
      <w:numFmt w:val="bullet"/>
      <w:lvlText w:val="•"/>
      <w:lvlJc w:val="left"/>
      <w:pPr>
        <w:ind w:left="1800" w:hanging="720"/>
      </w:pPr>
      <w:rPr>
        <w:rFonts w:ascii="Times New Roman" w:eastAsia="ヒラギノ角ゴ Pro W3"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91" w15:restartNumberingAfterBreak="0">
    <w:nsid w:val="66EA5B32"/>
    <w:multiLevelType w:val="multilevel"/>
    <w:tmpl w:val="E3667E5A"/>
    <w:lvl w:ilvl="0">
      <w:start w:val="347"/>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6923365C"/>
    <w:multiLevelType w:val="multilevel"/>
    <w:tmpl w:val="22A80CEE"/>
    <w:lvl w:ilvl="0">
      <w:start w:val="1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6A5D4BD9"/>
    <w:multiLevelType w:val="hybridMultilevel"/>
    <w:tmpl w:val="84869952"/>
    <w:lvl w:ilvl="0" w:tplc="39107E9C">
      <w:start w:val="1"/>
      <w:numFmt w:val="bullet"/>
      <w:lvlText w:val=""/>
      <w:lvlJc w:val="left"/>
      <w:pPr>
        <w:ind w:left="1440" w:hanging="360"/>
      </w:pPr>
      <w:rPr>
        <w:rFonts w:ascii="Symbol" w:hAnsi="Symbol" w:hint="default"/>
      </w:rPr>
    </w:lvl>
    <w:lvl w:ilvl="1" w:tplc="85D8395E" w:tentative="1">
      <w:start w:val="1"/>
      <w:numFmt w:val="bullet"/>
      <w:lvlText w:val="o"/>
      <w:lvlJc w:val="left"/>
      <w:pPr>
        <w:ind w:left="2160" w:hanging="360"/>
      </w:pPr>
      <w:rPr>
        <w:rFonts w:ascii="Courier New" w:hAnsi="Courier New" w:cs="Courier New" w:hint="default"/>
      </w:rPr>
    </w:lvl>
    <w:lvl w:ilvl="2" w:tplc="2B167900" w:tentative="1">
      <w:start w:val="1"/>
      <w:numFmt w:val="bullet"/>
      <w:lvlText w:val=""/>
      <w:lvlJc w:val="left"/>
      <w:pPr>
        <w:ind w:left="2880" w:hanging="360"/>
      </w:pPr>
      <w:rPr>
        <w:rFonts w:ascii="Wingdings" w:hAnsi="Wingdings" w:hint="default"/>
      </w:rPr>
    </w:lvl>
    <w:lvl w:ilvl="3" w:tplc="7C10FF8A" w:tentative="1">
      <w:start w:val="1"/>
      <w:numFmt w:val="bullet"/>
      <w:lvlText w:val=""/>
      <w:lvlJc w:val="left"/>
      <w:pPr>
        <w:ind w:left="3600" w:hanging="360"/>
      </w:pPr>
      <w:rPr>
        <w:rFonts w:ascii="Symbol" w:hAnsi="Symbol" w:hint="default"/>
      </w:rPr>
    </w:lvl>
    <w:lvl w:ilvl="4" w:tplc="D608799C" w:tentative="1">
      <w:start w:val="1"/>
      <w:numFmt w:val="bullet"/>
      <w:lvlText w:val="o"/>
      <w:lvlJc w:val="left"/>
      <w:pPr>
        <w:ind w:left="4320" w:hanging="360"/>
      </w:pPr>
      <w:rPr>
        <w:rFonts w:ascii="Courier New" w:hAnsi="Courier New" w:cs="Courier New" w:hint="default"/>
      </w:rPr>
    </w:lvl>
    <w:lvl w:ilvl="5" w:tplc="D7D485A4" w:tentative="1">
      <w:start w:val="1"/>
      <w:numFmt w:val="bullet"/>
      <w:lvlText w:val=""/>
      <w:lvlJc w:val="left"/>
      <w:pPr>
        <w:ind w:left="5040" w:hanging="360"/>
      </w:pPr>
      <w:rPr>
        <w:rFonts w:ascii="Wingdings" w:hAnsi="Wingdings" w:hint="default"/>
      </w:rPr>
    </w:lvl>
    <w:lvl w:ilvl="6" w:tplc="441420E8" w:tentative="1">
      <w:start w:val="1"/>
      <w:numFmt w:val="bullet"/>
      <w:lvlText w:val=""/>
      <w:lvlJc w:val="left"/>
      <w:pPr>
        <w:ind w:left="5760" w:hanging="360"/>
      </w:pPr>
      <w:rPr>
        <w:rFonts w:ascii="Symbol" w:hAnsi="Symbol" w:hint="default"/>
      </w:rPr>
    </w:lvl>
    <w:lvl w:ilvl="7" w:tplc="D8D86B14" w:tentative="1">
      <w:start w:val="1"/>
      <w:numFmt w:val="bullet"/>
      <w:lvlText w:val="o"/>
      <w:lvlJc w:val="left"/>
      <w:pPr>
        <w:ind w:left="6480" w:hanging="360"/>
      </w:pPr>
      <w:rPr>
        <w:rFonts w:ascii="Courier New" w:hAnsi="Courier New" w:cs="Courier New" w:hint="default"/>
      </w:rPr>
    </w:lvl>
    <w:lvl w:ilvl="8" w:tplc="80188474" w:tentative="1">
      <w:start w:val="1"/>
      <w:numFmt w:val="bullet"/>
      <w:lvlText w:val=""/>
      <w:lvlJc w:val="left"/>
      <w:pPr>
        <w:ind w:left="7200" w:hanging="360"/>
      </w:pPr>
      <w:rPr>
        <w:rFonts w:ascii="Wingdings" w:hAnsi="Wingdings" w:hint="default"/>
      </w:rPr>
    </w:lvl>
  </w:abstractNum>
  <w:abstractNum w:abstractNumId="94" w15:restartNumberingAfterBreak="0">
    <w:nsid w:val="6A9E022F"/>
    <w:multiLevelType w:val="hybridMultilevel"/>
    <w:tmpl w:val="69A8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196C5E"/>
    <w:multiLevelType w:val="hybridMultilevel"/>
    <w:tmpl w:val="50AAE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C74797A"/>
    <w:multiLevelType w:val="multilevel"/>
    <w:tmpl w:val="186EA742"/>
    <w:lvl w:ilvl="0">
      <w:start w:val="562"/>
      <w:numFmt w:val="decimal"/>
      <w:lvlText w:val="%1."/>
      <w:lvlJc w:val="left"/>
      <w:pPr>
        <w:ind w:left="512" w:hanging="370"/>
      </w:pPr>
      <w:rPr>
        <w:rFonts w:hint="default"/>
      </w:rPr>
    </w:lvl>
    <w:lvl w:ilvl="1">
      <w:start w:val="1"/>
      <w:numFmt w:val="decimal"/>
      <w:lvlText w:val="%1.%2"/>
      <w:lvlJc w:val="left"/>
      <w:pPr>
        <w:ind w:left="512" w:hanging="37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862" w:hanging="72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222" w:hanging="108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582" w:hanging="1440"/>
      </w:pPr>
      <w:rPr>
        <w:rFonts w:hint="default"/>
      </w:rPr>
    </w:lvl>
  </w:abstractNum>
  <w:abstractNum w:abstractNumId="97" w15:restartNumberingAfterBreak="0">
    <w:nsid w:val="6C943A85"/>
    <w:multiLevelType w:val="hybridMultilevel"/>
    <w:tmpl w:val="B8CE2DCC"/>
    <w:lvl w:ilvl="0" w:tplc="040C0001">
      <w:start w:val="1"/>
      <w:numFmt w:val="upperLetter"/>
      <w:pStyle w:val="SubTitle2"/>
      <w:lvlText w:val="%1."/>
      <w:lvlJc w:val="left"/>
      <w:pPr>
        <w:tabs>
          <w:tab w:val="num" w:pos="1224"/>
        </w:tabs>
        <w:ind w:left="1224" w:hanging="360"/>
      </w:pPr>
      <w:rPr>
        <w:rFonts w:hint="default"/>
        <w:i w:val="0"/>
      </w:rPr>
    </w:lvl>
    <w:lvl w:ilvl="1" w:tplc="040C0003">
      <w:start w:val="1"/>
      <w:numFmt w:val="decimal"/>
      <w:lvlText w:val="%2."/>
      <w:lvlJc w:val="left"/>
      <w:pPr>
        <w:tabs>
          <w:tab w:val="num" w:pos="1944"/>
        </w:tabs>
        <w:ind w:left="1944" w:hanging="360"/>
      </w:pPr>
    </w:lvl>
    <w:lvl w:ilvl="2" w:tplc="040C0005" w:tentative="1">
      <w:start w:val="1"/>
      <w:numFmt w:val="lowerRoman"/>
      <w:lvlText w:val="%3."/>
      <w:lvlJc w:val="right"/>
      <w:pPr>
        <w:tabs>
          <w:tab w:val="num" w:pos="2664"/>
        </w:tabs>
        <w:ind w:left="2664" w:hanging="180"/>
      </w:pPr>
    </w:lvl>
    <w:lvl w:ilvl="3" w:tplc="040C0001" w:tentative="1">
      <w:start w:val="1"/>
      <w:numFmt w:val="decimal"/>
      <w:lvlText w:val="%4."/>
      <w:lvlJc w:val="left"/>
      <w:pPr>
        <w:tabs>
          <w:tab w:val="num" w:pos="3384"/>
        </w:tabs>
        <w:ind w:left="3384" w:hanging="360"/>
      </w:pPr>
    </w:lvl>
    <w:lvl w:ilvl="4" w:tplc="040C0003" w:tentative="1">
      <w:start w:val="1"/>
      <w:numFmt w:val="lowerLetter"/>
      <w:lvlText w:val="%5."/>
      <w:lvlJc w:val="left"/>
      <w:pPr>
        <w:tabs>
          <w:tab w:val="num" w:pos="4104"/>
        </w:tabs>
        <w:ind w:left="4104" w:hanging="360"/>
      </w:pPr>
    </w:lvl>
    <w:lvl w:ilvl="5" w:tplc="040C0005" w:tentative="1">
      <w:start w:val="1"/>
      <w:numFmt w:val="lowerRoman"/>
      <w:lvlText w:val="%6."/>
      <w:lvlJc w:val="right"/>
      <w:pPr>
        <w:tabs>
          <w:tab w:val="num" w:pos="4824"/>
        </w:tabs>
        <w:ind w:left="4824" w:hanging="180"/>
      </w:pPr>
    </w:lvl>
    <w:lvl w:ilvl="6" w:tplc="040C0001" w:tentative="1">
      <w:start w:val="1"/>
      <w:numFmt w:val="decimal"/>
      <w:lvlText w:val="%7."/>
      <w:lvlJc w:val="left"/>
      <w:pPr>
        <w:tabs>
          <w:tab w:val="num" w:pos="5544"/>
        </w:tabs>
        <w:ind w:left="5544" w:hanging="360"/>
      </w:pPr>
    </w:lvl>
    <w:lvl w:ilvl="7" w:tplc="040C0003" w:tentative="1">
      <w:start w:val="1"/>
      <w:numFmt w:val="lowerLetter"/>
      <w:lvlText w:val="%8."/>
      <w:lvlJc w:val="left"/>
      <w:pPr>
        <w:tabs>
          <w:tab w:val="num" w:pos="6264"/>
        </w:tabs>
        <w:ind w:left="6264" w:hanging="360"/>
      </w:pPr>
    </w:lvl>
    <w:lvl w:ilvl="8" w:tplc="040C0005" w:tentative="1">
      <w:start w:val="1"/>
      <w:numFmt w:val="lowerRoman"/>
      <w:lvlText w:val="%9."/>
      <w:lvlJc w:val="right"/>
      <w:pPr>
        <w:tabs>
          <w:tab w:val="num" w:pos="6984"/>
        </w:tabs>
        <w:ind w:left="6984" w:hanging="180"/>
      </w:pPr>
    </w:lvl>
  </w:abstractNum>
  <w:abstractNum w:abstractNumId="98" w15:restartNumberingAfterBreak="0">
    <w:nsid w:val="6D9716A6"/>
    <w:multiLevelType w:val="hybridMultilevel"/>
    <w:tmpl w:val="3976E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F874F27"/>
    <w:multiLevelType w:val="multilevel"/>
    <w:tmpl w:val="A552ECD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F8A533F"/>
    <w:multiLevelType w:val="multilevel"/>
    <w:tmpl w:val="2CE6F496"/>
    <w:lvl w:ilvl="0">
      <w:start w:val="418"/>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72504081"/>
    <w:multiLevelType w:val="hybridMultilevel"/>
    <w:tmpl w:val="7C1482E6"/>
    <w:lvl w:ilvl="0" w:tplc="57C8F8EA">
      <w:start w:val="426"/>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4CD2F29"/>
    <w:multiLevelType w:val="multilevel"/>
    <w:tmpl w:val="8DFC6832"/>
    <w:lvl w:ilvl="0">
      <w:start w:val="304"/>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75213A06"/>
    <w:multiLevelType w:val="hybridMultilevel"/>
    <w:tmpl w:val="F5B6D8CC"/>
    <w:lvl w:ilvl="0" w:tplc="040C000F">
      <w:start w:val="1"/>
      <w:numFmt w:val="decimal"/>
      <w:lvlText w:val="%1."/>
      <w:lvlJc w:val="left"/>
      <w:pPr>
        <w:ind w:left="1077" w:hanging="360"/>
      </w:pPr>
      <w:rPr>
        <w:rFonts w:hint="default"/>
      </w:rPr>
    </w:lvl>
    <w:lvl w:ilvl="1" w:tplc="040C0003" w:tentative="1">
      <w:start w:val="1"/>
      <w:numFmt w:val="bullet"/>
      <w:lvlText w:val="o"/>
      <w:lvlJc w:val="left"/>
      <w:pPr>
        <w:ind w:left="2157" w:hanging="360"/>
      </w:pPr>
      <w:rPr>
        <w:rFonts w:ascii="Courier New" w:hAnsi="Courier New" w:cs="Courier New"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abstractNum w:abstractNumId="104" w15:restartNumberingAfterBreak="0">
    <w:nsid w:val="76FF6804"/>
    <w:multiLevelType w:val="multilevel"/>
    <w:tmpl w:val="FF249068"/>
    <w:lvl w:ilvl="0">
      <w:start w:val="468"/>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77B3665B"/>
    <w:multiLevelType w:val="multilevel"/>
    <w:tmpl w:val="C16005C4"/>
    <w:lvl w:ilvl="0">
      <w:start w:val="421"/>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789E1F8B"/>
    <w:multiLevelType w:val="multilevel"/>
    <w:tmpl w:val="7492701E"/>
    <w:lvl w:ilvl="0">
      <w:start w:val="419"/>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78E8249E"/>
    <w:multiLevelType w:val="multilevel"/>
    <w:tmpl w:val="A8A2DDC0"/>
    <w:lvl w:ilvl="0">
      <w:start w:val="1"/>
      <w:numFmt w:val="decimal"/>
      <w:pStyle w:val="list-number-black"/>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108" w15:restartNumberingAfterBreak="0">
    <w:nsid w:val="7933631A"/>
    <w:multiLevelType w:val="multilevel"/>
    <w:tmpl w:val="38E4D070"/>
    <w:lvl w:ilvl="0">
      <w:start w:val="342"/>
      <w:numFmt w:val="decimal"/>
      <w:lvlText w:val="%1."/>
      <w:lvlJc w:val="left"/>
      <w:pPr>
        <w:tabs>
          <w:tab w:val="num" w:pos="720"/>
        </w:tabs>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B78728C"/>
    <w:multiLevelType w:val="hybridMultilevel"/>
    <w:tmpl w:val="5B02AE48"/>
    <w:lvl w:ilvl="0" w:tplc="31DEA0A0">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10" w15:restartNumberingAfterBreak="0">
    <w:nsid w:val="7C621B3A"/>
    <w:multiLevelType w:val="multilevel"/>
    <w:tmpl w:val="94EA7230"/>
    <w:lvl w:ilvl="0">
      <w:start w:val="379"/>
      <w:numFmt w:val="decimal"/>
      <w:lvlText w:val="%1."/>
      <w:lvlJc w:val="left"/>
      <w:pPr>
        <w:tabs>
          <w:tab w:val="num" w:pos="1288"/>
        </w:tabs>
        <w:ind w:left="568"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7CED74F4"/>
    <w:multiLevelType w:val="hybridMultilevel"/>
    <w:tmpl w:val="FECEE208"/>
    <w:lvl w:ilvl="0" w:tplc="C0D43D1E">
      <w:start w:val="504"/>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D8E77BB"/>
    <w:multiLevelType w:val="hybridMultilevel"/>
    <w:tmpl w:val="24AE71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7F7919CB"/>
    <w:multiLevelType w:val="hybridMultilevel"/>
    <w:tmpl w:val="A6F0C25C"/>
    <w:lvl w:ilvl="0" w:tplc="D018AE4A">
      <w:start w:val="26"/>
      <w:numFmt w:val="decimal"/>
      <w:lvlText w:val="%1."/>
      <w:lvlJc w:val="left"/>
      <w:pPr>
        <w:ind w:left="1260" w:hanging="360"/>
      </w:pPr>
      <w:rPr>
        <w:rFonts w:hint="default"/>
        <w:b w:val="0"/>
        <w:i w:val="0"/>
        <w:color w:val="auto"/>
      </w:rPr>
    </w:lvl>
    <w:lvl w:ilvl="1" w:tplc="040C0003" w:tentative="1">
      <w:start w:val="1"/>
      <w:numFmt w:val="lowerLetter"/>
      <w:lvlText w:val="%2."/>
      <w:lvlJc w:val="left"/>
      <w:pPr>
        <w:ind w:left="1980" w:hanging="360"/>
      </w:pPr>
    </w:lvl>
    <w:lvl w:ilvl="2" w:tplc="040C0005" w:tentative="1">
      <w:start w:val="1"/>
      <w:numFmt w:val="lowerRoman"/>
      <w:lvlText w:val="%3."/>
      <w:lvlJc w:val="right"/>
      <w:pPr>
        <w:ind w:left="2700" w:hanging="180"/>
      </w:pPr>
    </w:lvl>
    <w:lvl w:ilvl="3" w:tplc="040C0001" w:tentative="1">
      <w:start w:val="1"/>
      <w:numFmt w:val="decimal"/>
      <w:lvlText w:val="%4."/>
      <w:lvlJc w:val="left"/>
      <w:pPr>
        <w:ind w:left="3420" w:hanging="360"/>
      </w:pPr>
    </w:lvl>
    <w:lvl w:ilvl="4" w:tplc="040C0003" w:tentative="1">
      <w:start w:val="1"/>
      <w:numFmt w:val="lowerLetter"/>
      <w:lvlText w:val="%5."/>
      <w:lvlJc w:val="left"/>
      <w:pPr>
        <w:ind w:left="4140" w:hanging="360"/>
      </w:pPr>
    </w:lvl>
    <w:lvl w:ilvl="5" w:tplc="040C0005" w:tentative="1">
      <w:start w:val="1"/>
      <w:numFmt w:val="lowerRoman"/>
      <w:lvlText w:val="%6."/>
      <w:lvlJc w:val="right"/>
      <w:pPr>
        <w:ind w:left="4860" w:hanging="180"/>
      </w:pPr>
    </w:lvl>
    <w:lvl w:ilvl="6" w:tplc="040C0001" w:tentative="1">
      <w:start w:val="1"/>
      <w:numFmt w:val="decimal"/>
      <w:lvlText w:val="%7."/>
      <w:lvlJc w:val="left"/>
      <w:pPr>
        <w:ind w:left="5580" w:hanging="360"/>
      </w:pPr>
    </w:lvl>
    <w:lvl w:ilvl="7" w:tplc="040C0003" w:tentative="1">
      <w:start w:val="1"/>
      <w:numFmt w:val="lowerLetter"/>
      <w:lvlText w:val="%8."/>
      <w:lvlJc w:val="left"/>
      <w:pPr>
        <w:ind w:left="6300" w:hanging="360"/>
      </w:pPr>
    </w:lvl>
    <w:lvl w:ilvl="8" w:tplc="040C0005" w:tentative="1">
      <w:start w:val="1"/>
      <w:numFmt w:val="lowerRoman"/>
      <w:lvlText w:val="%9."/>
      <w:lvlJc w:val="right"/>
      <w:pPr>
        <w:ind w:left="7020" w:hanging="180"/>
      </w:pPr>
    </w:lvl>
  </w:abstractNum>
  <w:abstractNum w:abstractNumId="114" w15:restartNumberingAfterBreak="0">
    <w:nsid w:val="7FBE7266"/>
    <w:multiLevelType w:val="multilevel"/>
    <w:tmpl w:val="E7C04E48"/>
    <w:lvl w:ilvl="0">
      <w:start w:val="3"/>
      <w:numFmt w:val="decimal"/>
      <w:lvlText w:val="%1"/>
      <w:lvlJc w:val="left"/>
      <w:pPr>
        <w:ind w:left="360" w:hanging="360"/>
      </w:pPr>
      <w:rPr>
        <w:rFonts w:eastAsiaTheme="minorHAnsi" w:hint="default"/>
      </w:rPr>
    </w:lvl>
    <w:lvl w:ilvl="1">
      <w:start w:val="6"/>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num w:numId="1">
    <w:abstractNumId w:val="14"/>
  </w:num>
  <w:num w:numId="2">
    <w:abstractNumId w:val="62"/>
  </w:num>
  <w:num w:numId="3">
    <w:abstractNumId w:val="3"/>
  </w:num>
  <w:num w:numId="4">
    <w:abstractNumId w:val="50"/>
  </w:num>
  <w:num w:numId="5">
    <w:abstractNumId w:val="51"/>
  </w:num>
  <w:num w:numId="6">
    <w:abstractNumId w:val="61"/>
  </w:num>
  <w:num w:numId="7">
    <w:abstractNumId w:val="87"/>
  </w:num>
  <w:num w:numId="8">
    <w:abstractNumId w:val="38"/>
  </w:num>
  <w:num w:numId="9">
    <w:abstractNumId w:val="46"/>
  </w:num>
  <w:num w:numId="10">
    <w:abstractNumId w:val="97"/>
  </w:num>
  <w:num w:numId="11">
    <w:abstractNumId w:val="45"/>
  </w:num>
  <w:num w:numId="12">
    <w:abstractNumId w:val="68"/>
  </w:num>
  <w:num w:numId="13">
    <w:abstractNumId w:val="90"/>
  </w:num>
  <w:num w:numId="14">
    <w:abstractNumId w:val="82"/>
  </w:num>
  <w:num w:numId="15">
    <w:abstractNumId w:val="107"/>
  </w:num>
  <w:num w:numId="16">
    <w:abstractNumId w:val="77"/>
  </w:num>
  <w:num w:numId="17">
    <w:abstractNumId w:val="16"/>
  </w:num>
  <w:num w:numId="18">
    <w:abstractNumId w:val="53"/>
  </w:num>
  <w:num w:numId="19">
    <w:abstractNumId w:val="30"/>
  </w:num>
  <w:num w:numId="20">
    <w:abstractNumId w:val="37"/>
  </w:num>
  <w:num w:numId="21">
    <w:abstractNumId w:val="47"/>
  </w:num>
  <w:num w:numId="22">
    <w:abstractNumId w:val="40"/>
  </w:num>
  <w:num w:numId="23">
    <w:abstractNumId w:val="69"/>
  </w:num>
  <w:num w:numId="24">
    <w:abstractNumId w:val="1"/>
  </w:num>
  <w:num w:numId="25">
    <w:abstractNumId w:val="95"/>
  </w:num>
  <w:num w:numId="26">
    <w:abstractNumId w:val="4"/>
  </w:num>
  <w:num w:numId="27">
    <w:abstractNumId w:val="112"/>
  </w:num>
  <w:num w:numId="28">
    <w:abstractNumId w:val="109"/>
  </w:num>
  <w:num w:numId="29">
    <w:abstractNumId w:val="52"/>
  </w:num>
  <w:num w:numId="30">
    <w:abstractNumId w:val="17"/>
  </w:num>
  <w:num w:numId="31">
    <w:abstractNumId w:val="74"/>
  </w:num>
  <w:num w:numId="32">
    <w:abstractNumId w:val="113"/>
  </w:num>
  <w:num w:numId="33">
    <w:abstractNumId w:val="63"/>
  </w:num>
  <w:num w:numId="34">
    <w:abstractNumId w:val="88"/>
  </w:num>
  <w:num w:numId="35">
    <w:abstractNumId w:val="92"/>
  </w:num>
  <w:num w:numId="36">
    <w:abstractNumId w:val="81"/>
  </w:num>
  <w:num w:numId="37">
    <w:abstractNumId w:val="79"/>
  </w:num>
  <w:num w:numId="38">
    <w:abstractNumId w:val="93"/>
  </w:num>
  <w:num w:numId="39">
    <w:abstractNumId w:val="34"/>
  </w:num>
  <w:num w:numId="40">
    <w:abstractNumId w:val="84"/>
  </w:num>
  <w:num w:numId="41">
    <w:abstractNumId w:val="70"/>
  </w:num>
  <w:num w:numId="42">
    <w:abstractNumId w:val="0"/>
  </w:num>
  <w:num w:numId="43">
    <w:abstractNumId w:val="25"/>
  </w:num>
  <w:num w:numId="44">
    <w:abstractNumId w:val="89"/>
  </w:num>
  <w:num w:numId="45">
    <w:abstractNumId w:val="22"/>
  </w:num>
  <w:num w:numId="46">
    <w:abstractNumId w:val="5"/>
  </w:num>
  <w:num w:numId="47">
    <w:abstractNumId w:val="67"/>
  </w:num>
  <w:num w:numId="48">
    <w:abstractNumId w:val="27"/>
  </w:num>
  <w:num w:numId="49">
    <w:abstractNumId w:val="23"/>
  </w:num>
  <w:num w:numId="50">
    <w:abstractNumId w:val="99"/>
  </w:num>
  <w:num w:numId="51">
    <w:abstractNumId w:val="7"/>
  </w:num>
  <w:num w:numId="52">
    <w:abstractNumId w:val="98"/>
  </w:num>
  <w:num w:numId="53">
    <w:abstractNumId w:val="41"/>
  </w:num>
  <w:num w:numId="54">
    <w:abstractNumId w:val="33"/>
  </w:num>
  <w:num w:numId="55">
    <w:abstractNumId w:val="78"/>
  </w:num>
  <w:num w:numId="56">
    <w:abstractNumId w:val="48"/>
  </w:num>
  <w:num w:numId="57">
    <w:abstractNumId w:val="18"/>
  </w:num>
  <w:num w:numId="58">
    <w:abstractNumId w:val="8"/>
  </w:num>
  <w:num w:numId="59">
    <w:abstractNumId w:val="10"/>
  </w:num>
  <w:num w:numId="60">
    <w:abstractNumId w:val="36"/>
  </w:num>
  <w:num w:numId="61">
    <w:abstractNumId w:val="44"/>
  </w:num>
  <w:num w:numId="62">
    <w:abstractNumId w:val="60"/>
  </w:num>
  <w:num w:numId="63">
    <w:abstractNumId w:val="76"/>
  </w:num>
  <w:num w:numId="64">
    <w:abstractNumId w:val="91"/>
  </w:num>
  <w:num w:numId="65">
    <w:abstractNumId w:val="28"/>
  </w:num>
  <w:num w:numId="66">
    <w:abstractNumId w:val="86"/>
  </w:num>
  <w:num w:numId="67">
    <w:abstractNumId w:val="49"/>
  </w:num>
  <w:num w:numId="68">
    <w:abstractNumId w:val="29"/>
  </w:num>
  <w:num w:numId="69">
    <w:abstractNumId w:val="12"/>
  </w:num>
  <w:num w:numId="70">
    <w:abstractNumId w:val="21"/>
  </w:num>
  <w:num w:numId="71">
    <w:abstractNumId w:val="106"/>
  </w:num>
  <w:num w:numId="72">
    <w:abstractNumId w:val="105"/>
  </w:num>
  <w:num w:numId="73">
    <w:abstractNumId w:val="56"/>
  </w:num>
  <w:num w:numId="74">
    <w:abstractNumId w:val="94"/>
  </w:num>
  <w:num w:numId="75">
    <w:abstractNumId w:val="80"/>
  </w:num>
  <w:num w:numId="76">
    <w:abstractNumId w:val="19"/>
  </w:num>
  <w:num w:numId="77">
    <w:abstractNumId w:val="58"/>
  </w:num>
  <w:num w:numId="78">
    <w:abstractNumId w:val="100"/>
  </w:num>
  <w:num w:numId="79">
    <w:abstractNumId w:val="42"/>
  </w:num>
  <w:num w:numId="80">
    <w:abstractNumId w:val="102"/>
  </w:num>
  <w:num w:numId="81">
    <w:abstractNumId w:val="108"/>
  </w:num>
  <w:num w:numId="82">
    <w:abstractNumId w:val="110"/>
  </w:num>
  <w:num w:numId="83">
    <w:abstractNumId w:val="104"/>
  </w:num>
  <w:num w:numId="84">
    <w:abstractNumId w:val="64"/>
  </w:num>
  <w:num w:numId="85">
    <w:abstractNumId w:val="71"/>
  </w:num>
  <w:num w:numId="86">
    <w:abstractNumId w:val="31"/>
  </w:num>
  <w:num w:numId="87">
    <w:abstractNumId w:val="57"/>
  </w:num>
  <w:num w:numId="88">
    <w:abstractNumId w:val="26"/>
  </w:num>
  <w:num w:numId="89">
    <w:abstractNumId w:val="83"/>
  </w:num>
  <w:num w:numId="90">
    <w:abstractNumId w:val="103"/>
  </w:num>
  <w:num w:numId="91">
    <w:abstractNumId w:val="24"/>
  </w:num>
  <w:num w:numId="92">
    <w:abstractNumId w:val="101"/>
  </w:num>
  <w:num w:numId="93">
    <w:abstractNumId w:val="9"/>
  </w:num>
  <w:num w:numId="94">
    <w:abstractNumId w:val="20"/>
  </w:num>
  <w:num w:numId="95">
    <w:abstractNumId w:val="85"/>
  </w:num>
  <w:num w:numId="96">
    <w:abstractNumId w:val="39"/>
  </w:num>
  <w:num w:numId="97">
    <w:abstractNumId w:val="15"/>
  </w:num>
  <w:num w:numId="98">
    <w:abstractNumId w:val="96"/>
  </w:num>
  <w:num w:numId="99">
    <w:abstractNumId w:val="59"/>
  </w:num>
  <w:num w:numId="100">
    <w:abstractNumId w:val="75"/>
  </w:num>
  <w:num w:numId="101">
    <w:abstractNumId w:val="65"/>
  </w:num>
  <w:num w:numId="102">
    <w:abstractNumId w:val="55"/>
  </w:num>
  <w:num w:numId="103">
    <w:abstractNumId w:val="43"/>
  </w:num>
  <w:num w:numId="104">
    <w:abstractNumId w:val="35"/>
  </w:num>
  <w:num w:numId="105">
    <w:abstractNumId w:val="2"/>
  </w:num>
  <w:num w:numId="106">
    <w:abstractNumId w:val="54"/>
  </w:num>
  <w:num w:numId="107">
    <w:abstractNumId w:val="66"/>
  </w:num>
  <w:num w:numId="108">
    <w:abstractNumId w:val="114"/>
  </w:num>
  <w:num w:numId="109">
    <w:abstractNumId w:val="6"/>
  </w:num>
  <w:num w:numId="110">
    <w:abstractNumId w:val="13"/>
  </w:num>
  <w:num w:numId="111">
    <w:abstractNumId w:val="72"/>
  </w:num>
  <w:num w:numId="112">
    <w:abstractNumId w:val="11"/>
  </w:num>
  <w:num w:numId="113">
    <w:abstractNumId w:val="111"/>
  </w:num>
  <w:num w:numId="114">
    <w:abstractNumId w:val="32"/>
  </w:num>
  <w:num w:numId="115">
    <w:abstractNumId w:val="7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25"/>
    <w:rsid w:val="00003E42"/>
    <w:rsid w:val="00005321"/>
    <w:rsid w:val="00016CCD"/>
    <w:rsid w:val="000173E7"/>
    <w:rsid w:val="0002056E"/>
    <w:rsid w:val="000310F5"/>
    <w:rsid w:val="00037FCB"/>
    <w:rsid w:val="00043639"/>
    <w:rsid w:val="00051023"/>
    <w:rsid w:val="000531C9"/>
    <w:rsid w:val="000568EC"/>
    <w:rsid w:val="000654EB"/>
    <w:rsid w:val="0007172D"/>
    <w:rsid w:val="0007431C"/>
    <w:rsid w:val="00075DD9"/>
    <w:rsid w:val="00076279"/>
    <w:rsid w:val="00096A50"/>
    <w:rsid w:val="000A0B8D"/>
    <w:rsid w:val="000C327A"/>
    <w:rsid w:val="000C3679"/>
    <w:rsid w:val="000C44FB"/>
    <w:rsid w:val="000C5978"/>
    <w:rsid w:val="000C61A6"/>
    <w:rsid w:val="000D3B83"/>
    <w:rsid w:val="000E2E6A"/>
    <w:rsid w:val="000E3672"/>
    <w:rsid w:val="000E6FD9"/>
    <w:rsid w:val="000F1BDA"/>
    <w:rsid w:val="000F63D3"/>
    <w:rsid w:val="00103029"/>
    <w:rsid w:val="00105066"/>
    <w:rsid w:val="0010525D"/>
    <w:rsid w:val="00105F03"/>
    <w:rsid w:val="00106633"/>
    <w:rsid w:val="00107AF7"/>
    <w:rsid w:val="001114E6"/>
    <w:rsid w:val="00120436"/>
    <w:rsid w:val="00120CEF"/>
    <w:rsid w:val="00122E41"/>
    <w:rsid w:val="001304FA"/>
    <w:rsid w:val="001356A0"/>
    <w:rsid w:val="00141E3B"/>
    <w:rsid w:val="00145E6E"/>
    <w:rsid w:val="0015142F"/>
    <w:rsid w:val="001540E9"/>
    <w:rsid w:val="001548C8"/>
    <w:rsid w:val="0016027E"/>
    <w:rsid w:val="00160DBA"/>
    <w:rsid w:val="00161120"/>
    <w:rsid w:val="00161492"/>
    <w:rsid w:val="00161FA8"/>
    <w:rsid w:val="00165BEE"/>
    <w:rsid w:val="00166717"/>
    <w:rsid w:val="00167035"/>
    <w:rsid w:val="001747C3"/>
    <w:rsid w:val="00177ADB"/>
    <w:rsid w:val="00184291"/>
    <w:rsid w:val="00187E70"/>
    <w:rsid w:val="00192C41"/>
    <w:rsid w:val="0019445F"/>
    <w:rsid w:val="001A7002"/>
    <w:rsid w:val="001B00EA"/>
    <w:rsid w:val="001B060C"/>
    <w:rsid w:val="001D4740"/>
    <w:rsid w:val="001E0B51"/>
    <w:rsid w:val="001E227A"/>
    <w:rsid w:val="00200DE4"/>
    <w:rsid w:val="00214ECA"/>
    <w:rsid w:val="0022081A"/>
    <w:rsid w:val="0024261E"/>
    <w:rsid w:val="00242829"/>
    <w:rsid w:val="002441BD"/>
    <w:rsid w:val="00245AE3"/>
    <w:rsid w:val="002550F2"/>
    <w:rsid w:val="00255252"/>
    <w:rsid w:val="00255C63"/>
    <w:rsid w:val="00274848"/>
    <w:rsid w:val="002A2672"/>
    <w:rsid w:val="002A341D"/>
    <w:rsid w:val="002B2D82"/>
    <w:rsid w:val="002B2F99"/>
    <w:rsid w:val="002C0FBC"/>
    <w:rsid w:val="002C33F6"/>
    <w:rsid w:val="002D0968"/>
    <w:rsid w:val="002D452E"/>
    <w:rsid w:val="002D672A"/>
    <w:rsid w:val="002E7D37"/>
    <w:rsid w:val="002F0630"/>
    <w:rsid w:val="002F3B55"/>
    <w:rsid w:val="002F435F"/>
    <w:rsid w:val="002F5ADE"/>
    <w:rsid w:val="0030017E"/>
    <w:rsid w:val="00306AC5"/>
    <w:rsid w:val="0031034A"/>
    <w:rsid w:val="00310D44"/>
    <w:rsid w:val="00315EB0"/>
    <w:rsid w:val="00317B21"/>
    <w:rsid w:val="00320442"/>
    <w:rsid w:val="003274DB"/>
    <w:rsid w:val="00332E71"/>
    <w:rsid w:val="00334B88"/>
    <w:rsid w:val="00335E4B"/>
    <w:rsid w:val="003370A6"/>
    <w:rsid w:val="00337877"/>
    <w:rsid w:val="00340515"/>
    <w:rsid w:val="003549DC"/>
    <w:rsid w:val="00361409"/>
    <w:rsid w:val="00361D69"/>
    <w:rsid w:val="003648EB"/>
    <w:rsid w:val="003670E9"/>
    <w:rsid w:val="00374990"/>
    <w:rsid w:val="00377940"/>
    <w:rsid w:val="00382A38"/>
    <w:rsid w:val="0039229F"/>
    <w:rsid w:val="0039480F"/>
    <w:rsid w:val="00395F9A"/>
    <w:rsid w:val="00397739"/>
    <w:rsid w:val="003C4280"/>
    <w:rsid w:val="003D17D0"/>
    <w:rsid w:val="003E245F"/>
    <w:rsid w:val="003E4C9A"/>
    <w:rsid w:val="003F2402"/>
    <w:rsid w:val="003F5121"/>
    <w:rsid w:val="0041059D"/>
    <w:rsid w:val="00423BC8"/>
    <w:rsid w:val="00433D31"/>
    <w:rsid w:val="00434460"/>
    <w:rsid w:val="00434D4D"/>
    <w:rsid w:val="00435FC6"/>
    <w:rsid w:val="00443332"/>
    <w:rsid w:val="004447CD"/>
    <w:rsid w:val="0045428F"/>
    <w:rsid w:val="004603BA"/>
    <w:rsid w:val="0047087C"/>
    <w:rsid w:val="00473AF2"/>
    <w:rsid w:val="004746DA"/>
    <w:rsid w:val="004833E6"/>
    <w:rsid w:val="004949EA"/>
    <w:rsid w:val="004B0600"/>
    <w:rsid w:val="004B1F4E"/>
    <w:rsid w:val="004C5CF4"/>
    <w:rsid w:val="004D303A"/>
    <w:rsid w:val="004D3C15"/>
    <w:rsid w:val="004D7287"/>
    <w:rsid w:val="004E1A7F"/>
    <w:rsid w:val="004F2E4C"/>
    <w:rsid w:val="004F40A0"/>
    <w:rsid w:val="00502DC8"/>
    <w:rsid w:val="00506A0D"/>
    <w:rsid w:val="0051171A"/>
    <w:rsid w:val="0051449A"/>
    <w:rsid w:val="00521E8F"/>
    <w:rsid w:val="00522F4F"/>
    <w:rsid w:val="00525EAB"/>
    <w:rsid w:val="005263CA"/>
    <w:rsid w:val="005316F3"/>
    <w:rsid w:val="005478D6"/>
    <w:rsid w:val="005569F2"/>
    <w:rsid w:val="00565978"/>
    <w:rsid w:val="00573BB4"/>
    <w:rsid w:val="00585711"/>
    <w:rsid w:val="00586B3A"/>
    <w:rsid w:val="00597AE3"/>
    <w:rsid w:val="005A1DD9"/>
    <w:rsid w:val="005A689B"/>
    <w:rsid w:val="005B58F7"/>
    <w:rsid w:val="005C07AB"/>
    <w:rsid w:val="005C261A"/>
    <w:rsid w:val="005C39C4"/>
    <w:rsid w:val="005D140A"/>
    <w:rsid w:val="005D224D"/>
    <w:rsid w:val="005E1403"/>
    <w:rsid w:val="005E195C"/>
    <w:rsid w:val="005E4DBA"/>
    <w:rsid w:val="005E5582"/>
    <w:rsid w:val="005F43BB"/>
    <w:rsid w:val="005F673D"/>
    <w:rsid w:val="00603E65"/>
    <w:rsid w:val="0061087C"/>
    <w:rsid w:val="00616199"/>
    <w:rsid w:val="00624C80"/>
    <w:rsid w:val="00625581"/>
    <w:rsid w:val="006306E0"/>
    <w:rsid w:val="00631FD5"/>
    <w:rsid w:val="00634C73"/>
    <w:rsid w:val="00635522"/>
    <w:rsid w:val="006401F0"/>
    <w:rsid w:val="00645450"/>
    <w:rsid w:val="00661512"/>
    <w:rsid w:val="00661614"/>
    <w:rsid w:val="00662669"/>
    <w:rsid w:val="006642BB"/>
    <w:rsid w:val="006672EE"/>
    <w:rsid w:val="00681081"/>
    <w:rsid w:val="006815FC"/>
    <w:rsid w:val="0068375E"/>
    <w:rsid w:val="0068453C"/>
    <w:rsid w:val="0068477C"/>
    <w:rsid w:val="00694D06"/>
    <w:rsid w:val="006A5F73"/>
    <w:rsid w:val="006B2A62"/>
    <w:rsid w:val="006B62AF"/>
    <w:rsid w:val="006C06CC"/>
    <w:rsid w:val="006C28B8"/>
    <w:rsid w:val="006C29FE"/>
    <w:rsid w:val="006C2FE1"/>
    <w:rsid w:val="006C4C00"/>
    <w:rsid w:val="006D4B64"/>
    <w:rsid w:val="006E0A09"/>
    <w:rsid w:val="006E28EE"/>
    <w:rsid w:val="006E511F"/>
    <w:rsid w:val="006E73E4"/>
    <w:rsid w:val="006F276C"/>
    <w:rsid w:val="006F73CD"/>
    <w:rsid w:val="00700091"/>
    <w:rsid w:val="00706597"/>
    <w:rsid w:val="007159A1"/>
    <w:rsid w:val="00716510"/>
    <w:rsid w:val="00717321"/>
    <w:rsid w:val="007242E5"/>
    <w:rsid w:val="007308E6"/>
    <w:rsid w:val="00732585"/>
    <w:rsid w:val="007402E8"/>
    <w:rsid w:val="00743992"/>
    <w:rsid w:val="00743BA7"/>
    <w:rsid w:val="00743C26"/>
    <w:rsid w:val="007518E4"/>
    <w:rsid w:val="00752686"/>
    <w:rsid w:val="007604FD"/>
    <w:rsid w:val="00762FDF"/>
    <w:rsid w:val="00776CF3"/>
    <w:rsid w:val="00776F20"/>
    <w:rsid w:val="00784AD7"/>
    <w:rsid w:val="00787D84"/>
    <w:rsid w:val="00791B75"/>
    <w:rsid w:val="0079576F"/>
    <w:rsid w:val="007A617C"/>
    <w:rsid w:val="007B4D8C"/>
    <w:rsid w:val="007C31C2"/>
    <w:rsid w:val="007C672F"/>
    <w:rsid w:val="007D0FAC"/>
    <w:rsid w:val="007D212B"/>
    <w:rsid w:val="007E2FD4"/>
    <w:rsid w:val="007E33BD"/>
    <w:rsid w:val="007E584D"/>
    <w:rsid w:val="007F1D28"/>
    <w:rsid w:val="007F4362"/>
    <w:rsid w:val="0080252E"/>
    <w:rsid w:val="008037D9"/>
    <w:rsid w:val="00803804"/>
    <w:rsid w:val="00811EC9"/>
    <w:rsid w:val="00815608"/>
    <w:rsid w:val="00833CBE"/>
    <w:rsid w:val="00835385"/>
    <w:rsid w:val="00841B20"/>
    <w:rsid w:val="00842ECB"/>
    <w:rsid w:val="00843953"/>
    <w:rsid w:val="00844E6D"/>
    <w:rsid w:val="00850394"/>
    <w:rsid w:val="00861EF5"/>
    <w:rsid w:val="00864BA2"/>
    <w:rsid w:val="008721BD"/>
    <w:rsid w:val="00876E3F"/>
    <w:rsid w:val="0087733F"/>
    <w:rsid w:val="00884FB2"/>
    <w:rsid w:val="00895866"/>
    <w:rsid w:val="008B1459"/>
    <w:rsid w:val="008B2A6D"/>
    <w:rsid w:val="008D2590"/>
    <w:rsid w:val="008D3EF5"/>
    <w:rsid w:val="008E0EF0"/>
    <w:rsid w:val="008E618D"/>
    <w:rsid w:val="008E722C"/>
    <w:rsid w:val="00904A03"/>
    <w:rsid w:val="00904D51"/>
    <w:rsid w:val="00915345"/>
    <w:rsid w:val="00916760"/>
    <w:rsid w:val="009178B2"/>
    <w:rsid w:val="00921730"/>
    <w:rsid w:val="00934452"/>
    <w:rsid w:val="009457F5"/>
    <w:rsid w:val="00952313"/>
    <w:rsid w:val="0098404A"/>
    <w:rsid w:val="00996DBD"/>
    <w:rsid w:val="009A4600"/>
    <w:rsid w:val="009A6288"/>
    <w:rsid w:val="009A6A8F"/>
    <w:rsid w:val="009B139D"/>
    <w:rsid w:val="009B299C"/>
    <w:rsid w:val="009B2D79"/>
    <w:rsid w:val="009B43C6"/>
    <w:rsid w:val="009C6DD7"/>
    <w:rsid w:val="009D36F1"/>
    <w:rsid w:val="009D423A"/>
    <w:rsid w:val="009D64BB"/>
    <w:rsid w:val="009F2E43"/>
    <w:rsid w:val="009F36F3"/>
    <w:rsid w:val="00A058D7"/>
    <w:rsid w:val="00A0636A"/>
    <w:rsid w:val="00A07C63"/>
    <w:rsid w:val="00A15BF2"/>
    <w:rsid w:val="00A213B1"/>
    <w:rsid w:val="00A24325"/>
    <w:rsid w:val="00A37969"/>
    <w:rsid w:val="00A44CD5"/>
    <w:rsid w:val="00A44F83"/>
    <w:rsid w:val="00A602FA"/>
    <w:rsid w:val="00A60F01"/>
    <w:rsid w:val="00A7022F"/>
    <w:rsid w:val="00A711F2"/>
    <w:rsid w:val="00A82BB7"/>
    <w:rsid w:val="00A869D1"/>
    <w:rsid w:val="00AB3A56"/>
    <w:rsid w:val="00AC401A"/>
    <w:rsid w:val="00AD7A86"/>
    <w:rsid w:val="00AE0D69"/>
    <w:rsid w:val="00AE138D"/>
    <w:rsid w:val="00B12328"/>
    <w:rsid w:val="00B17E91"/>
    <w:rsid w:val="00B17EA8"/>
    <w:rsid w:val="00B224C6"/>
    <w:rsid w:val="00B25839"/>
    <w:rsid w:val="00B44497"/>
    <w:rsid w:val="00B55AF7"/>
    <w:rsid w:val="00B65F48"/>
    <w:rsid w:val="00B966BC"/>
    <w:rsid w:val="00B96AF6"/>
    <w:rsid w:val="00BB347D"/>
    <w:rsid w:val="00BB64DF"/>
    <w:rsid w:val="00BC5236"/>
    <w:rsid w:val="00BD22A3"/>
    <w:rsid w:val="00BD4F91"/>
    <w:rsid w:val="00BD5D04"/>
    <w:rsid w:val="00BE2557"/>
    <w:rsid w:val="00BF2054"/>
    <w:rsid w:val="00BF2560"/>
    <w:rsid w:val="00BF4747"/>
    <w:rsid w:val="00C12AEE"/>
    <w:rsid w:val="00C135BA"/>
    <w:rsid w:val="00C22754"/>
    <w:rsid w:val="00C2402F"/>
    <w:rsid w:val="00C2605B"/>
    <w:rsid w:val="00C30762"/>
    <w:rsid w:val="00C33509"/>
    <w:rsid w:val="00C346B5"/>
    <w:rsid w:val="00C35ACC"/>
    <w:rsid w:val="00C36076"/>
    <w:rsid w:val="00C377DF"/>
    <w:rsid w:val="00C4073A"/>
    <w:rsid w:val="00C41C56"/>
    <w:rsid w:val="00C52F37"/>
    <w:rsid w:val="00C56006"/>
    <w:rsid w:val="00C63883"/>
    <w:rsid w:val="00C64120"/>
    <w:rsid w:val="00C66FE9"/>
    <w:rsid w:val="00C712A1"/>
    <w:rsid w:val="00C74405"/>
    <w:rsid w:val="00C801E0"/>
    <w:rsid w:val="00C8138C"/>
    <w:rsid w:val="00C86C46"/>
    <w:rsid w:val="00C87E67"/>
    <w:rsid w:val="00C907DA"/>
    <w:rsid w:val="00CA6469"/>
    <w:rsid w:val="00CB47ED"/>
    <w:rsid w:val="00CB6D5A"/>
    <w:rsid w:val="00CB7F1E"/>
    <w:rsid w:val="00CC03DD"/>
    <w:rsid w:val="00CC194B"/>
    <w:rsid w:val="00CC2B5D"/>
    <w:rsid w:val="00CC482D"/>
    <w:rsid w:val="00CD001C"/>
    <w:rsid w:val="00CE5ED9"/>
    <w:rsid w:val="00CE5F86"/>
    <w:rsid w:val="00CF0545"/>
    <w:rsid w:val="00CF622C"/>
    <w:rsid w:val="00D013CA"/>
    <w:rsid w:val="00D02CC9"/>
    <w:rsid w:val="00D05A65"/>
    <w:rsid w:val="00D05D38"/>
    <w:rsid w:val="00D13368"/>
    <w:rsid w:val="00D1361D"/>
    <w:rsid w:val="00D23EDB"/>
    <w:rsid w:val="00D24CBA"/>
    <w:rsid w:val="00D31290"/>
    <w:rsid w:val="00D31552"/>
    <w:rsid w:val="00D34C55"/>
    <w:rsid w:val="00D4304D"/>
    <w:rsid w:val="00D43134"/>
    <w:rsid w:val="00D43145"/>
    <w:rsid w:val="00D43FED"/>
    <w:rsid w:val="00D5285E"/>
    <w:rsid w:val="00D57A77"/>
    <w:rsid w:val="00D6017F"/>
    <w:rsid w:val="00D628A2"/>
    <w:rsid w:val="00D66921"/>
    <w:rsid w:val="00D732E0"/>
    <w:rsid w:val="00D737E9"/>
    <w:rsid w:val="00D81E73"/>
    <w:rsid w:val="00D83FC2"/>
    <w:rsid w:val="00D912D9"/>
    <w:rsid w:val="00D9423A"/>
    <w:rsid w:val="00D94B19"/>
    <w:rsid w:val="00DA621D"/>
    <w:rsid w:val="00DA743C"/>
    <w:rsid w:val="00DA7CE7"/>
    <w:rsid w:val="00DB0467"/>
    <w:rsid w:val="00DB50FA"/>
    <w:rsid w:val="00DC13C5"/>
    <w:rsid w:val="00DC5687"/>
    <w:rsid w:val="00DD3815"/>
    <w:rsid w:val="00DF0A6B"/>
    <w:rsid w:val="00DF7E82"/>
    <w:rsid w:val="00E0065F"/>
    <w:rsid w:val="00E020E5"/>
    <w:rsid w:val="00E025B0"/>
    <w:rsid w:val="00E040CA"/>
    <w:rsid w:val="00E12685"/>
    <w:rsid w:val="00E15FFD"/>
    <w:rsid w:val="00E160A2"/>
    <w:rsid w:val="00E331A9"/>
    <w:rsid w:val="00E343CA"/>
    <w:rsid w:val="00E42308"/>
    <w:rsid w:val="00E4300A"/>
    <w:rsid w:val="00E502FD"/>
    <w:rsid w:val="00E51AC6"/>
    <w:rsid w:val="00E55A2B"/>
    <w:rsid w:val="00E6788A"/>
    <w:rsid w:val="00E7728F"/>
    <w:rsid w:val="00E77F8B"/>
    <w:rsid w:val="00E807FF"/>
    <w:rsid w:val="00E82213"/>
    <w:rsid w:val="00E8551B"/>
    <w:rsid w:val="00E91C03"/>
    <w:rsid w:val="00E93EF1"/>
    <w:rsid w:val="00EA132A"/>
    <w:rsid w:val="00EA2501"/>
    <w:rsid w:val="00EA2FDF"/>
    <w:rsid w:val="00EB19A8"/>
    <w:rsid w:val="00EB3CEC"/>
    <w:rsid w:val="00EB4174"/>
    <w:rsid w:val="00EB5A05"/>
    <w:rsid w:val="00EC4385"/>
    <w:rsid w:val="00EC6AD2"/>
    <w:rsid w:val="00ED2160"/>
    <w:rsid w:val="00ED6F7A"/>
    <w:rsid w:val="00EE1946"/>
    <w:rsid w:val="00EF0FF0"/>
    <w:rsid w:val="00EF35CE"/>
    <w:rsid w:val="00EF4A0E"/>
    <w:rsid w:val="00EF5E20"/>
    <w:rsid w:val="00F04246"/>
    <w:rsid w:val="00F13A6E"/>
    <w:rsid w:val="00F15491"/>
    <w:rsid w:val="00F1583B"/>
    <w:rsid w:val="00F22524"/>
    <w:rsid w:val="00F22829"/>
    <w:rsid w:val="00F341F2"/>
    <w:rsid w:val="00F36A86"/>
    <w:rsid w:val="00F42810"/>
    <w:rsid w:val="00F51486"/>
    <w:rsid w:val="00F527C0"/>
    <w:rsid w:val="00F5425E"/>
    <w:rsid w:val="00F61CF0"/>
    <w:rsid w:val="00F627CC"/>
    <w:rsid w:val="00F658D7"/>
    <w:rsid w:val="00F66BE4"/>
    <w:rsid w:val="00F70FF1"/>
    <w:rsid w:val="00F73F32"/>
    <w:rsid w:val="00F82DB5"/>
    <w:rsid w:val="00F866BD"/>
    <w:rsid w:val="00F9206C"/>
    <w:rsid w:val="00F924A5"/>
    <w:rsid w:val="00F94472"/>
    <w:rsid w:val="00FA07D6"/>
    <w:rsid w:val="00FA34B4"/>
    <w:rsid w:val="00FA4FD5"/>
    <w:rsid w:val="00FB20FE"/>
    <w:rsid w:val="00FB21EA"/>
    <w:rsid w:val="00FC037B"/>
    <w:rsid w:val="00FD1C54"/>
    <w:rsid w:val="00FD2AD9"/>
    <w:rsid w:val="00FD3CAB"/>
    <w:rsid w:val="00FD748F"/>
    <w:rsid w:val="00FE6076"/>
    <w:rsid w:val="00FF0429"/>
    <w:rsid w:val="00FF4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3803"/>
  <w15:docId w15:val="{FAA304D3-9769-49BC-ABBE-3AB0FF29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240" w:after="240" w:line="276" w:lineRule="auto"/>
        <w:ind w:left="539"/>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8"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325"/>
    <w:pPr>
      <w:spacing w:after="0" w:line="240" w:lineRule="auto"/>
    </w:pPr>
    <w:rPr>
      <w:rFonts w:eastAsia="Times New Roman" w:cs="Times New Roman"/>
      <w:szCs w:val="24"/>
      <w:lang w:val="en-US"/>
    </w:rPr>
  </w:style>
  <w:style w:type="paragraph" w:styleId="Heading1">
    <w:name w:val="heading 1"/>
    <w:basedOn w:val="Normal"/>
    <w:next w:val="Normal"/>
    <w:link w:val="Heading1Char"/>
    <w:qFormat/>
    <w:rsid w:val="00A24325"/>
    <w:pPr>
      <w:keepNext/>
      <w:spacing w:after="240"/>
      <w:jc w:val="center"/>
      <w:outlineLvl w:val="0"/>
    </w:pPr>
    <w:rPr>
      <w:bCs/>
      <w:color w:val="1F497D" w:themeColor="text2"/>
      <w:sz w:val="40"/>
    </w:rPr>
  </w:style>
  <w:style w:type="paragraph" w:styleId="Heading2">
    <w:name w:val="heading 2"/>
    <w:basedOn w:val="Normal"/>
    <w:next w:val="Normal"/>
    <w:link w:val="Heading2Char"/>
    <w:qFormat/>
    <w:rsid w:val="00A24325"/>
    <w:pPr>
      <w:keepNext/>
      <w:spacing w:after="240"/>
      <w:jc w:val="left"/>
      <w:outlineLvl w:val="1"/>
    </w:pPr>
    <w:rPr>
      <w:bCs/>
      <w:color w:val="17365D" w:themeColor="text2" w:themeShade="BF"/>
      <w:sz w:val="32"/>
    </w:rPr>
  </w:style>
  <w:style w:type="paragraph" w:styleId="Heading3">
    <w:name w:val="heading 3"/>
    <w:basedOn w:val="Normal"/>
    <w:next w:val="Normal"/>
    <w:link w:val="Heading3Char"/>
    <w:uiPriority w:val="9"/>
    <w:qFormat/>
    <w:rsid w:val="00A24325"/>
    <w:pPr>
      <w:keepNext/>
      <w:outlineLvl w:val="2"/>
    </w:pPr>
    <w:rPr>
      <w:rFonts w:ascii="Arial" w:hAnsi="Arial"/>
      <w:b/>
      <w:bCs/>
      <w:color w:val="1F497D" w:themeColor="text2"/>
      <w:sz w:val="28"/>
    </w:rPr>
  </w:style>
  <w:style w:type="paragraph" w:styleId="Heading4">
    <w:name w:val="heading 4"/>
    <w:basedOn w:val="Normal"/>
    <w:next w:val="Normal"/>
    <w:link w:val="Heading4Char"/>
    <w:uiPriority w:val="9"/>
    <w:qFormat/>
    <w:rsid w:val="00A24325"/>
    <w:pPr>
      <w:keepNext/>
      <w:outlineLvl w:val="3"/>
    </w:pPr>
    <w:rPr>
      <w:b/>
      <w:bCs/>
      <w:color w:val="1F497D" w:themeColor="text2"/>
      <w:sz w:val="24"/>
    </w:rPr>
  </w:style>
  <w:style w:type="paragraph" w:styleId="Heading5">
    <w:name w:val="heading 5"/>
    <w:basedOn w:val="Normal"/>
    <w:next w:val="Normal"/>
    <w:link w:val="Heading5Char"/>
    <w:uiPriority w:val="9"/>
    <w:qFormat/>
    <w:rsid w:val="00A24325"/>
    <w:pPr>
      <w:keepNext/>
      <w:outlineLvl w:val="4"/>
    </w:pPr>
    <w:rPr>
      <w:b/>
      <w:bCs/>
    </w:rPr>
  </w:style>
  <w:style w:type="paragraph" w:styleId="Heading6">
    <w:name w:val="heading 6"/>
    <w:basedOn w:val="Normal"/>
    <w:next w:val="Normal"/>
    <w:link w:val="Heading6Char"/>
    <w:uiPriority w:val="1"/>
    <w:qFormat/>
    <w:rsid w:val="00A24325"/>
    <w:pPr>
      <w:keepNext/>
      <w:spacing w:before="60" w:after="60"/>
      <w:outlineLvl w:val="5"/>
    </w:pPr>
    <w:rPr>
      <w:b/>
      <w:bCs/>
      <w:i/>
      <w:iCs/>
    </w:rPr>
  </w:style>
  <w:style w:type="paragraph" w:styleId="Heading7">
    <w:name w:val="heading 7"/>
    <w:basedOn w:val="Normal"/>
    <w:next w:val="Normal"/>
    <w:link w:val="Heading7Char"/>
    <w:uiPriority w:val="9"/>
    <w:qFormat/>
    <w:rsid w:val="00A24325"/>
    <w:pPr>
      <w:keepNext/>
      <w:outlineLvl w:val="6"/>
    </w:pPr>
    <w:rPr>
      <w:b/>
      <w:bCs/>
      <w:sz w:val="20"/>
    </w:rPr>
  </w:style>
  <w:style w:type="paragraph" w:styleId="Heading8">
    <w:name w:val="heading 8"/>
    <w:basedOn w:val="Normal"/>
    <w:next w:val="Normal"/>
    <w:link w:val="Heading8Char"/>
    <w:uiPriority w:val="9"/>
    <w:qFormat/>
    <w:rsid w:val="00A24325"/>
    <w:pPr>
      <w:keepNext/>
      <w:spacing w:after="120"/>
      <w:jc w:val="center"/>
      <w:outlineLvl w:val="7"/>
    </w:pPr>
    <w:rPr>
      <w:b/>
      <w:bCs/>
    </w:rPr>
  </w:style>
  <w:style w:type="paragraph" w:styleId="Heading9">
    <w:name w:val="heading 9"/>
    <w:basedOn w:val="Normal"/>
    <w:next w:val="Normal"/>
    <w:link w:val="Heading9Char"/>
    <w:uiPriority w:val="9"/>
    <w:unhideWhenUsed/>
    <w:qFormat/>
    <w:rsid w:val="00A24325"/>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4325"/>
    <w:rPr>
      <w:rFonts w:eastAsia="Times New Roman" w:cs="Times New Roman"/>
      <w:bCs/>
      <w:color w:val="1F497D" w:themeColor="text2"/>
      <w:sz w:val="40"/>
      <w:szCs w:val="24"/>
      <w:lang w:val="en-US"/>
    </w:rPr>
  </w:style>
  <w:style w:type="character" w:customStyle="1" w:styleId="Heading2Char">
    <w:name w:val="Heading 2 Char"/>
    <w:basedOn w:val="DefaultParagraphFont"/>
    <w:link w:val="Heading2"/>
    <w:rsid w:val="00A24325"/>
    <w:rPr>
      <w:rFonts w:eastAsia="Times New Roman" w:cs="Times New Roman"/>
      <w:bCs/>
      <w:color w:val="17365D" w:themeColor="text2" w:themeShade="BF"/>
      <w:sz w:val="32"/>
      <w:szCs w:val="24"/>
      <w:lang w:val="en-US"/>
    </w:rPr>
  </w:style>
  <w:style w:type="character" w:customStyle="1" w:styleId="Heading3Char">
    <w:name w:val="Heading 3 Char"/>
    <w:basedOn w:val="DefaultParagraphFont"/>
    <w:link w:val="Heading3"/>
    <w:uiPriority w:val="9"/>
    <w:rsid w:val="00A24325"/>
    <w:rPr>
      <w:rFonts w:ascii="Arial" w:eastAsia="Times New Roman" w:hAnsi="Arial" w:cs="Times New Roman"/>
      <w:b/>
      <w:bCs/>
      <w:color w:val="1F497D" w:themeColor="text2"/>
      <w:sz w:val="28"/>
      <w:szCs w:val="24"/>
      <w:lang w:val="en-US"/>
    </w:rPr>
  </w:style>
  <w:style w:type="character" w:customStyle="1" w:styleId="Heading4Char">
    <w:name w:val="Heading 4 Char"/>
    <w:basedOn w:val="DefaultParagraphFont"/>
    <w:link w:val="Heading4"/>
    <w:uiPriority w:val="9"/>
    <w:rsid w:val="00A24325"/>
    <w:rPr>
      <w:rFonts w:eastAsia="Times New Roman" w:cs="Times New Roman"/>
      <w:b/>
      <w:bCs/>
      <w:color w:val="1F497D" w:themeColor="text2"/>
      <w:sz w:val="24"/>
      <w:szCs w:val="24"/>
      <w:lang w:val="en-US"/>
    </w:rPr>
  </w:style>
  <w:style w:type="character" w:customStyle="1" w:styleId="Heading5Char">
    <w:name w:val="Heading 5 Char"/>
    <w:basedOn w:val="DefaultParagraphFont"/>
    <w:link w:val="Heading5"/>
    <w:uiPriority w:val="9"/>
    <w:rsid w:val="00A24325"/>
    <w:rPr>
      <w:rFonts w:eastAsia="Times New Roman" w:cs="Times New Roman"/>
      <w:b/>
      <w:bCs/>
      <w:szCs w:val="24"/>
      <w:lang w:val="en-US"/>
    </w:rPr>
  </w:style>
  <w:style w:type="character" w:customStyle="1" w:styleId="Heading6Char">
    <w:name w:val="Heading 6 Char"/>
    <w:basedOn w:val="DefaultParagraphFont"/>
    <w:link w:val="Heading6"/>
    <w:uiPriority w:val="1"/>
    <w:rsid w:val="00A24325"/>
    <w:rPr>
      <w:rFonts w:eastAsia="Times New Roman" w:cs="Times New Roman"/>
      <w:b/>
      <w:bCs/>
      <w:i/>
      <w:iCs/>
      <w:szCs w:val="24"/>
      <w:lang w:val="en-US"/>
    </w:rPr>
  </w:style>
  <w:style w:type="character" w:customStyle="1" w:styleId="Heading7Char">
    <w:name w:val="Heading 7 Char"/>
    <w:basedOn w:val="DefaultParagraphFont"/>
    <w:link w:val="Heading7"/>
    <w:uiPriority w:val="9"/>
    <w:rsid w:val="00A24325"/>
    <w:rPr>
      <w:rFonts w:eastAsia="Times New Roman" w:cs="Times New Roman"/>
      <w:b/>
      <w:bCs/>
      <w:sz w:val="20"/>
      <w:szCs w:val="24"/>
      <w:lang w:val="en-US"/>
    </w:rPr>
  </w:style>
  <w:style w:type="character" w:customStyle="1" w:styleId="Heading8Char">
    <w:name w:val="Heading 8 Char"/>
    <w:basedOn w:val="DefaultParagraphFont"/>
    <w:link w:val="Heading8"/>
    <w:uiPriority w:val="9"/>
    <w:rsid w:val="00A24325"/>
    <w:rPr>
      <w:rFonts w:eastAsia="Times New Roman" w:cs="Times New Roman"/>
      <w:b/>
      <w:bCs/>
      <w:szCs w:val="24"/>
      <w:lang w:val="en-US"/>
    </w:rPr>
  </w:style>
  <w:style w:type="character" w:customStyle="1" w:styleId="Heading9Char">
    <w:name w:val="Heading 9 Char"/>
    <w:basedOn w:val="DefaultParagraphFont"/>
    <w:link w:val="Heading9"/>
    <w:uiPriority w:val="9"/>
    <w:rsid w:val="00A24325"/>
    <w:rPr>
      <w:rFonts w:asciiTheme="majorHAnsi" w:eastAsiaTheme="majorEastAsia" w:hAnsiTheme="majorHAnsi" w:cstheme="majorBidi"/>
      <w:i/>
      <w:iCs/>
      <w:spacing w:val="5"/>
      <w:sz w:val="20"/>
      <w:szCs w:val="20"/>
      <w:lang w:val="en-US"/>
    </w:rPr>
  </w:style>
  <w:style w:type="paragraph" w:styleId="Title">
    <w:name w:val="Title"/>
    <w:basedOn w:val="Normal"/>
    <w:link w:val="TitleChar"/>
    <w:uiPriority w:val="10"/>
    <w:qFormat/>
    <w:rsid w:val="00A24325"/>
    <w:pPr>
      <w:jc w:val="center"/>
    </w:pPr>
    <w:rPr>
      <w:b/>
      <w:bCs/>
    </w:rPr>
  </w:style>
  <w:style w:type="character" w:customStyle="1" w:styleId="TitleChar">
    <w:name w:val="Title Char"/>
    <w:basedOn w:val="DefaultParagraphFont"/>
    <w:link w:val="Title"/>
    <w:uiPriority w:val="10"/>
    <w:rsid w:val="00A24325"/>
    <w:rPr>
      <w:rFonts w:eastAsia="Times New Roman" w:cs="Times New Roman"/>
      <w:b/>
      <w:bCs/>
      <w:szCs w:val="24"/>
      <w:lang w:val="en-US"/>
    </w:rPr>
  </w:style>
  <w:style w:type="paragraph" w:styleId="BodyText">
    <w:name w:val="Body Text"/>
    <w:basedOn w:val="Normal"/>
    <w:link w:val="BodyTextChar"/>
    <w:qFormat/>
    <w:rsid w:val="00A24325"/>
    <w:rPr>
      <w:sz w:val="20"/>
    </w:rPr>
  </w:style>
  <w:style w:type="character" w:customStyle="1" w:styleId="BodyTextChar">
    <w:name w:val="Body Text Char"/>
    <w:basedOn w:val="DefaultParagraphFont"/>
    <w:link w:val="BodyText"/>
    <w:rsid w:val="00A24325"/>
    <w:rPr>
      <w:rFonts w:eastAsia="Times New Roman" w:cs="Times New Roman"/>
      <w:sz w:val="20"/>
      <w:szCs w:val="24"/>
      <w:lang w:val="en-US"/>
    </w:rPr>
  </w:style>
  <w:style w:type="paragraph" w:styleId="BodyText2">
    <w:name w:val="Body Text 2"/>
    <w:basedOn w:val="Normal"/>
    <w:link w:val="BodyText2Char"/>
    <w:rsid w:val="00A24325"/>
  </w:style>
  <w:style w:type="character" w:customStyle="1" w:styleId="BodyText2Char">
    <w:name w:val="Body Text 2 Char"/>
    <w:basedOn w:val="DefaultParagraphFont"/>
    <w:link w:val="BodyText2"/>
    <w:rsid w:val="00A24325"/>
    <w:rPr>
      <w:rFonts w:eastAsia="Times New Roman" w:cs="Times New Roman"/>
      <w:szCs w:val="24"/>
      <w:lang w:val="en-US"/>
    </w:rPr>
  </w:style>
  <w:style w:type="character" w:styleId="FootnoteReference">
    <w:name w:val="footnote reference"/>
    <w:aliases w:val="Ref,de nota al pie,ftref,16 Point,Superscript 6 Point,BVI fnr,fr,Used by Word for Help footnote symbols,Footnote Reference1,heading1, BVI fnr, Car Car Char Car Char Car Car Char Car Char Char,SUPERS,Style,16 Point Char,footnote ref"/>
    <w:basedOn w:val="DefaultParagraphFont"/>
    <w:link w:val="BVIfnrCarCar"/>
    <w:uiPriority w:val="99"/>
    <w:qFormat/>
    <w:rsid w:val="00A24325"/>
    <w:rPr>
      <w:vertAlign w:val="superscript"/>
    </w:rPr>
  </w:style>
  <w:style w:type="paragraph" w:styleId="FootnoteText">
    <w:name w:val="footnote text"/>
    <w:aliases w:val="fn,footnote text,Footnote ak,Footnotes,single space,FOOTNOTES,Footnote Text Char1 Char,Footnote Text Char Char1 Char,Footnote Text Char1 Char1,Footnote Text Char Char Char1,Footnote Text Char1 Char Char,ALTS FOOTNOTE,Geneva 9,ADB,Boston 10"/>
    <w:basedOn w:val="Normal"/>
    <w:link w:val="FootnoteTextChar"/>
    <w:uiPriority w:val="99"/>
    <w:qFormat/>
    <w:rsid w:val="00A24325"/>
    <w:rPr>
      <w:sz w:val="20"/>
      <w:szCs w:val="20"/>
    </w:rPr>
  </w:style>
  <w:style w:type="character" w:customStyle="1" w:styleId="FootnoteTextChar">
    <w:name w:val="Footnote Text Char"/>
    <w:aliases w:val="fn Char,footnote text Char,Footnote ak Char,Footnotes Char,single space Char,FOOTNOTES Char,Footnote Text Char1 Char Char1,Footnote Text Char Char1 Char Char,Footnote Text Char1 Char1 Char,Footnote Text Char Char Char1 Char,ADB Char"/>
    <w:basedOn w:val="DefaultParagraphFont"/>
    <w:link w:val="FootnoteText"/>
    <w:uiPriority w:val="99"/>
    <w:rsid w:val="00A24325"/>
    <w:rPr>
      <w:rFonts w:eastAsia="Times New Roman" w:cs="Times New Roman"/>
      <w:sz w:val="20"/>
      <w:szCs w:val="20"/>
      <w:lang w:val="en-US"/>
    </w:rPr>
  </w:style>
  <w:style w:type="paragraph" w:styleId="BodyTextIndent">
    <w:name w:val="Body Text Indent"/>
    <w:basedOn w:val="Normal"/>
    <w:link w:val="BodyTextIndentChar"/>
    <w:uiPriority w:val="99"/>
    <w:rsid w:val="00A24325"/>
    <w:pPr>
      <w:ind w:left="720" w:hanging="720"/>
    </w:pPr>
  </w:style>
  <w:style w:type="character" w:customStyle="1" w:styleId="BodyTextIndentChar">
    <w:name w:val="Body Text Indent Char"/>
    <w:basedOn w:val="DefaultParagraphFont"/>
    <w:link w:val="BodyTextIndent"/>
    <w:uiPriority w:val="99"/>
    <w:rsid w:val="00A24325"/>
    <w:rPr>
      <w:rFonts w:eastAsia="Times New Roman" w:cs="Times New Roman"/>
      <w:szCs w:val="24"/>
      <w:lang w:val="en-US"/>
    </w:rPr>
  </w:style>
  <w:style w:type="paragraph" w:styleId="BodyText3">
    <w:name w:val="Body Text 3"/>
    <w:basedOn w:val="Normal"/>
    <w:link w:val="BodyText3Char"/>
    <w:uiPriority w:val="99"/>
    <w:rsid w:val="00A24325"/>
  </w:style>
  <w:style w:type="character" w:customStyle="1" w:styleId="BodyText3Char">
    <w:name w:val="Body Text 3 Char"/>
    <w:basedOn w:val="DefaultParagraphFont"/>
    <w:link w:val="BodyText3"/>
    <w:uiPriority w:val="99"/>
    <w:rsid w:val="00A24325"/>
    <w:rPr>
      <w:rFonts w:eastAsia="Times New Roman" w:cs="Times New Roman"/>
      <w:szCs w:val="24"/>
      <w:lang w:val="en-US"/>
    </w:rPr>
  </w:style>
  <w:style w:type="paragraph" w:styleId="Footer">
    <w:name w:val="footer"/>
    <w:basedOn w:val="Normal"/>
    <w:link w:val="FooterChar"/>
    <w:uiPriority w:val="99"/>
    <w:rsid w:val="00A24325"/>
    <w:pPr>
      <w:tabs>
        <w:tab w:val="center" w:pos="4320"/>
        <w:tab w:val="right" w:pos="8640"/>
      </w:tabs>
    </w:pPr>
  </w:style>
  <w:style w:type="character" w:customStyle="1" w:styleId="FooterChar">
    <w:name w:val="Footer Char"/>
    <w:basedOn w:val="DefaultParagraphFont"/>
    <w:link w:val="Footer"/>
    <w:uiPriority w:val="99"/>
    <w:rsid w:val="00A24325"/>
    <w:rPr>
      <w:rFonts w:eastAsia="Times New Roman" w:cs="Times New Roman"/>
      <w:szCs w:val="24"/>
      <w:lang w:val="en-US"/>
    </w:rPr>
  </w:style>
  <w:style w:type="character" w:styleId="PageNumber">
    <w:name w:val="page number"/>
    <w:basedOn w:val="DefaultParagraphFont"/>
    <w:rsid w:val="00A24325"/>
  </w:style>
  <w:style w:type="paragraph" w:styleId="BodyTextIndent2">
    <w:name w:val="Body Text Indent 2"/>
    <w:basedOn w:val="Normal"/>
    <w:link w:val="BodyTextIndent2Char"/>
    <w:rsid w:val="00A24325"/>
    <w:pPr>
      <w:ind w:left="720" w:hanging="720"/>
    </w:pPr>
  </w:style>
  <w:style w:type="character" w:customStyle="1" w:styleId="BodyTextIndent2Char">
    <w:name w:val="Body Text Indent 2 Char"/>
    <w:basedOn w:val="DefaultParagraphFont"/>
    <w:link w:val="BodyTextIndent2"/>
    <w:rsid w:val="00A24325"/>
    <w:rPr>
      <w:rFonts w:eastAsia="Times New Roman" w:cs="Times New Roman"/>
      <w:szCs w:val="24"/>
      <w:lang w:val="en-US"/>
    </w:rPr>
  </w:style>
  <w:style w:type="paragraph" w:styleId="BalloonText">
    <w:name w:val="Balloon Text"/>
    <w:basedOn w:val="Normal"/>
    <w:link w:val="BalloonTextChar"/>
    <w:uiPriority w:val="99"/>
    <w:semiHidden/>
    <w:rsid w:val="00A24325"/>
    <w:rPr>
      <w:rFonts w:ascii="Tahoma" w:hAnsi="Tahoma" w:cs="Tahoma"/>
      <w:sz w:val="16"/>
      <w:szCs w:val="16"/>
    </w:rPr>
  </w:style>
  <w:style w:type="character" w:customStyle="1" w:styleId="BalloonTextChar">
    <w:name w:val="Balloon Text Char"/>
    <w:basedOn w:val="DefaultParagraphFont"/>
    <w:link w:val="BalloonText"/>
    <w:uiPriority w:val="99"/>
    <w:semiHidden/>
    <w:rsid w:val="00A24325"/>
    <w:rPr>
      <w:rFonts w:ascii="Tahoma" w:eastAsia="Times New Roman" w:hAnsi="Tahoma" w:cs="Tahoma"/>
      <w:sz w:val="16"/>
      <w:szCs w:val="16"/>
      <w:lang w:val="en-US"/>
    </w:rPr>
  </w:style>
  <w:style w:type="table" w:styleId="TableGrid">
    <w:name w:val="Table Grid"/>
    <w:aliases w:val="TabelEcorys"/>
    <w:basedOn w:val="TableNormal"/>
    <w:uiPriority w:val="39"/>
    <w:rsid w:val="00A24325"/>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24325"/>
    <w:pPr>
      <w:tabs>
        <w:tab w:val="center" w:pos="4320"/>
        <w:tab w:val="right" w:pos="8640"/>
      </w:tabs>
    </w:pPr>
  </w:style>
  <w:style w:type="character" w:customStyle="1" w:styleId="HeaderChar">
    <w:name w:val="Header Char"/>
    <w:basedOn w:val="DefaultParagraphFont"/>
    <w:link w:val="Header"/>
    <w:uiPriority w:val="99"/>
    <w:rsid w:val="00A24325"/>
    <w:rPr>
      <w:rFonts w:eastAsia="Times New Roman" w:cs="Times New Roman"/>
      <w:szCs w:val="24"/>
      <w:lang w:val="en-US"/>
    </w:rPr>
  </w:style>
  <w:style w:type="paragraph" w:styleId="BlockText">
    <w:name w:val="Block Text"/>
    <w:basedOn w:val="Normal"/>
    <w:rsid w:val="00A24325"/>
    <w:pPr>
      <w:ind w:left="1140" w:right="-180"/>
    </w:pPr>
    <w:rPr>
      <w:i/>
      <w:iCs/>
    </w:rPr>
  </w:style>
  <w:style w:type="character" w:styleId="Hyperlink">
    <w:name w:val="Hyperlink"/>
    <w:basedOn w:val="DefaultParagraphFont"/>
    <w:uiPriority w:val="99"/>
    <w:rsid w:val="00A24325"/>
    <w:rPr>
      <w:color w:val="0000FF"/>
      <w:u w:val="single"/>
    </w:rPr>
  </w:style>
  <w:style w:type="paragraph" w:customStyle="1" w:styleId="Default">
    <w:name w:val="Default"/>
    <w:rsid w:val="00A24325"/>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ListParagraph">
    <w:name w:val="List Paragraph"/>
    <w:aliases w:val="Main numbered paragraph,References,Numbered List Paragraph,123 List Paragraph,Bullets,List Paragraph (numbered (a)),List Paragraph nowy,Liste 1,List_Paragraph,Multilevel para_II,List Paragraph1,Bullet paras,Body,Bullet,Akapit z listą BS,3"/>
    <w:basedOn w:val="Normal"/>
    <w:link w:val="ListParagraphChar"/>
    <w:uiPriority w:val="34"/>
    <w:qFormat/>
    <w:rsid w:val="00A24325"/>
    <w:pPr>
      <w:ind w:left="720"/>
      <w:contextualSpacing/>
    </w:pPr>
  </w:style>
  <w:style w:type="character" w:styleId="CommentReference">
    <w:name w:val="annotation reference"/>
    <w:basedOn w:val="DefaultParagraphFont"/>
    <w:uiPriority w:val="99"/>
    <w:rsid w:val="00A24325"/>
    <w:rPr>
      <w:sz w:val="16"/>
      <w:szCs w:val="16"/>
    </w:rPr>
  </w:style>
  <w:style w:type="paragraph" w:styleId="CommentText">
    <w:name w:val="annotation text"/>
    <w:basedOn w:val="Normal"/>
    <w:link w:val="CommentTextChar"/>
    <w:uiPriority w:val="99"/>
    <w:rsid w:val="00A24325"/>
    <w:rPr>
      <w:sz w:val="20"/>
      <w:szCs w:val="20"/>
    </w:rPr>
  </w:style>
  <w:style w:type="character" w:customStyle="1" w:styleId="CommentTextChar">
    <w:name w:val="Comment Text Char"/>
    <w:basedOn w:val="DefaultParagraphFont"/>
    <w:link w:val="CommentText"/>
    <w:uiPriority w:val="99"/>
    <w:rsid w:val="00A24325"/>
    <w:rPr>
      <w:rFonts w:eastAsia="Times New Roman" w:cs="Times New Roman"/>
      <w:sz w:val="20"/>
      <w:szCs w:val="20"/>
      <w:lang w:val="en-US"/>
    </w:rPr>
  </w:style>
  <w:style w:type="paragraph" w:styleId="CommentSubject">
    <w:name w:val="annotation subject"/>
    <w:basedOn w:val="CommentText"/>
    <w:next w:val="CommentText"/>
    <w:link w:val="CommentSubjectChar"/>
    <w:uiPriority w:val="99"/>
    <w:rsid w:val="00A24325"/>
    <w:rPr>
      <w:b/>
      <w:bCs/>
    </w:rPr>
  </w:style>
  <w:style w:type="character" w:customStyle="1" w:styleId="CommentSubjectChar">
    <w:name w:val="Comment Subject Char"/>
    <w:basedOn w:val="CommentTextChar"/>
    <w:link w:val="CommentSubject"/>
    <w:uiPriority w:val="99"/>
    <w:rsid w:val="00A24325"/>
    <w:rPr>
      <w:rFonts w:eastAsia="Times New Roman" w:cs="Times New Roman"/>
      <w:b/>
      <w:bCs/>
      <w:sz w:val="20"/>
      <w:szCs w:val="20"/>
      <w:lang w:val="en-US"/>
    </w:rPr>
  </w:style>
  <w:style w:type="table" w:customStyle="1" w:styleId="TableGrid1">
    <w:name w:val="Table Grid1"/>
    <w:basedOn w:val="TableNormal"/>
    <w:next w:val="TableGrid"/>
    <w:uiPriority w:val="59"/>
    <w:rsid w:val="00A243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24325"/>
    <w:pPr>
      <w:spacing w:after="0" w:line="240" w:lineRule="auto"/>
    </w:pPr>
    <w:rPr>
      <w:rFonts w:ascii="Times New Roman" w:eastAsia="Times New Roman" w:hAnsi="Times New Roman"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24325"/>
  </w:style>
  <w:style w:type="paragraph" w:styleId="Subtitle">
    <w:name w:val="Subtitle"/>
    <w:basedOn w:val="Normal"/>
    <w:next w:val="Normal"/>
    <w:link w:val="SubtitleChar"/>
    <w:uiPriority w:val="11"/>
    <w:qFormat/>
    <w:rsid w:val="00A24325"/>
    <w:pPr>
      <w:spacing w:after="600" w:line="276" w:lineRule="auto"/>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A24325"/>
    <w:rPr>
      <w:rFonts w:asciiTheme="majorHAnsi" w:eastAsiaTheme="majorEastAsia" w:hAnsiTheme="majorHAnsi" w:cstheme="majorBidi"/>
      <w:i/>
      <w:iCs/>
      <w:spacing w:val="13"/>
      <w:szCs w:val="24"/>
      <w:lang w:val="en-US"/>
    </w:rPr>
  </w:style>
  <w:style w:type="character" w:styleId="Strong">
    <w:name w:val="Strong"/>
    <w:uiPriority w:val="22"/>
    <w:qFormat/>
    <w:rsid w:val="00A24325"/>
    <w:rPr>
      <w:b/>
      <w:bCs/>
    </w:rPr>
  </w:style>
  <w:style w:type="character" w:styleId="Emphasis">
    <w:name w:val="Emphasis"/>
    <w:uiPriority w:val="20"/>
    <w:qFormat/>
    <w:rsid w:val="00A24325"/>
    <w:rPr>
      <w:b/>
      <w:bCs/>
      <w:i/>
      <w:iCs/>
      <w:spacing w:val="10"/>
      <w:bdr w:val="none" w:sz="0" w:space="0" w:color="auto"/>
      <w:shd w:val="clear" w:color="auto" w:fill="auto"/>
    </w:rPr>
  </w:style>
  <w:style w:type="paragraph" w:styleId="NoSpacing">
    <w:name w:val="No Spacing"/>
    <w:basedOn w:val="Normal"/>
    <w:link w:val="NoSpacingChar"/>
    <w:uiPriority w:val="1"/>
    <w:qFormat/>
    <w:rsid w:val="00A24325"/>
    <w:rPr>
      <w:rFonts w:eastAsiaTheme="minorEastAsia" w:cstheme="minorBidi"/>
      <w:szCs w:val="22"/>
    </w:rPr>
  </w:style>
  <w:style w:type="paragraph" w:styleId="Quote">
    <w:name w:val="Quote"/>
    <w:basedOn w:val="Normal"/>
    <w:next w:val="Normal"/>
    <w:link w:val="QuoteChar"/>
    <w:uiPriority w:val="29"/>
    <w:qFormat/>
    <w:rsid w:val="00A24325"/>
    <w:pPr>
      <w:spacing w:before="200" w:line="276" w:lineRule="auto"/>
      <w:ind w:left="360" w:right="360"/>
    </w:pPr>
    <w:rPr>
      <w:rFonts w:eastAsiaTheme="minorEastAsia" w:cstheme="minorBidi"/>
      <w:i/>
      <w:iCs/>
      <w:szCs w:val="22"/>
    </w:rPr>
  </w:style>
  <w:style w:type="character" w:customStyle="1" w:styleId="QuoteChar">
    <w:name w:val="Quote Char"/>
    <w:basedOn w:val="DefaultParagraphFont"/>
    <w:link w:val="Quote"/>
    <w:uiPriority w:val="29"/>
    <w:rsid w:val="00A24325"/>
    <w:rPr>
      <w:rFonts w:eastAsiaTheme="minorEastAsia"/>
      <w:i/>
      <w:iCs/>
      <w:lang w:val="en-US"/>
    </w:rPr>
  </w:style>
  <w:style w:type="paragraph" w:styleId="IntenseQuote">
    <w:name w:val="Intense Quote"/>
    <w:basedOn w:val="Normal"/>
    <w:next w:val="Normal"/>
    <w:link w:val="IntenseQuoteChar"/>
    <w:uiPriority w:val="30"/>
    <w:qFormat/>
    <w:rsid w:val="00A24325"/>
    <w:pPr>
      <w:pBdr>
        <w:bottom w:val="single" w:sz="4" w:space="1" w:color="auto"/>
      </w:pBdr>
      <w:spacing w:before="200" w:after="280" w:line="276" w:lineRule="auto"/>
      <w:ind w:left="1008" w:right="1152"/>
    </w:pPr>
    <w:rPr>
      <w:rFonts w:eastAsiaTheme="minorEastAsia" w:cstheme="minorBidi"/>
      <w:b/>
      <w:bCs/>
      <w:i/>
      <w:iCs/>
      <w:szCs w:val="22"/>
    </w:rPr>
  </w:style>
  <w:style w:type="character" w:customStyle="1" w:styleId="IntenseQuoteChar">
    <w:name w:val="Intense Quote Char"/>
    <w:basedOn w:val="DefaultParagraphFont"/>
    <w:link w:val="IntenseQuote"/>
    <w:uiPriority w:val="30"/>
    <w:rsid w:val="00A24325"/>
    <w:rPr>
      <w:rFonts w:eastAsiaTheme="minorEastAsia"/>
      <w:b/>
      <w:bCs/>
      <w:i/>
      <w:iCs/>
      <w:lang w:val="en-US"/>
    </w:rPr>
  </w:style>
  <w:style w:type="character" w:styleId="SubtleEmphasis">
    <w:name w:val="Subtle Emphasis"/>
    <w:uiPriority w:val="19"/>
    <w:qFormat/>
    <w:rsid w:val="00A24325"/>
    <w:rPr>
      <w:i/>
      <w:iCs/>
    </w:rPr>
  </w:style>
  <w:style w:type="character" w:styleId="IntenseEmphasis">
    <w:name w:val="Intense Emphasis"/>
    <w:uiPriority w:val="21"/>
    <w:qFormat/>
    <w:rsid w:val="00A24325"/>
    <w:rPr>
      <w:b/>
      <w:bCs/>
    </w:rPr>
  </w:style>
  <w:style w:type="character" w:styleId="SubtleReference">
    <w:name w:val="Subtle Reference"/>
    <w:uiPriority w:val="31"/>
    <w:qFormat/>
    <w:rsid w:val="00A24325"/>
    <w:rPr>
      <w:smallCaps/>
    </w:rPr>
  </w:style>
  <w:style w:type="character" w:styleId="IntenseReference">
    <w:name w:val="Intense Reference"/>
    <w:uiPriority w:val="32"/>
    <w:qFormat/>
    <w:rsid w:val="00A24325"/>
    <w:rPr>
      <w:smallCaps/>
      <w:spacing w:val="5"/>
      <w:u w:val="single"/>
    </w:rPr>
  </w:style>
  <w:style w:type="character" w:styleId="BookTitle">
    <w:name w:val="Book Title"/>
    <w:uiPriority w:val="33"/>
    <w:qFormat/>
    <w:rsid w:val="00A24325"/>
    <w:rPr>
      <w:i/>
      <w:iCs/>
      <w:smallCaps/>
      <w:spacing w:val="5"/>
    </w:rPr>
  </w:style>
  <w:style w:type="paragraph" w:styleId="TOCHeading">
    <w:name w:val="TOC Heading"/>
    <w:basedOn w:val="Heading1"/>
    <w:next w:val="Normal"/>
    <w:uiPriority w:val="39"/>
    <w:unhideWhenUsed/>
    <w:qFormat/>
    <w:rsid w:val="00A24325"/>
    <w:pPr>
      <w:keepNext w:val="0"/>
      <w:spacing w:before="480" w:line="276" w:lineRule="auto"/>
      <w:contextualSpacing/>
      <w:outlineLvl w:val="9"/>
    </w:pPr>
    <w:rPr>
      <w:rFonts w:asciiTheme="majorHAnsi" w:eastAsiaTheme="majorEastAsia" w:hAnsiTheme="majorHAnsi" w:cstheme="majorBidi"/>
      <w:sz w:val="28"/>
      <w:szCs w:val="28"/>
    </w:rPr>
  </w:style>
  <w:style w:type="table" w:customStyle="1" w:styleId="TableGrid3">
    <w:name w:val="Table Grid3"/>
    <w:basedOn w:val="TableNormal"/>
    <w:next w:val="TableGrid"/>
    <w:uiPriority w:val="59"/>
    <w:rsid w:val="00A24325"/>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243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24325"/>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ak Char1,Footnotes Char1,FOOTNOTES Char1,Footnote Text Char1 Char Char2,Footnote Text Char Char1 Char Char1,Footnote Text Char1 Char1 Char1,Footnote Text Char Char Char1 Char1"/>
    <w:semiHidden/>
    <w:rsid w:val="00A24325"/>
    <w:rPr>
      <w:lang w:eastAsia="en-US"/>
    </w:rPr>
  </w:style>
  <w:style w:type="paragraph" w:customStyle="1" w:styleId="ParagraphNumbering">
    <w:name w:val="Paragraph Numbering"/>
    <w:basedOn w:val="Normal"/>
    <w:link w:val="ParagraphNumberingChar"/>
    <w:qFormat/>
    <w:rsid w:val="00A24325"/>
    <w:pPr>
      <w:numPr>
        <w:numId w:val="1"/>
      </w:numPr>
      <w:spacing w:after="240" w:line="264" w:lineRule="auto"/>
    </w:pPr>
    <w:rPr>
      <w:rFonts w:eastAsiaTheme="minorHAnsi"/>
    </w:rPr>
  </w:style>
  <w:style w:type="paragraph" w:styleId="ListBullet">
    <w:name w:val="List Bullet"/>
    <w:basedOn w:val="Normal"/>
    <w:uiPriority w:val="2"/>
    <w:qFormat/>
    <w:rsid w:val="00A24325"/>
    <w:pPr>
      <w:spacing w:after="120"/>
    </w:pPr>
    <w:rPr>
      <w:rFonts w:eastAsiaTheme="minorHAnsi"/>
    </w:rPr>
  </w:style>
  <w:style w:type="paragraph" w:customStyle="1" w:styleId="Blockquote">
    <w:name w:val="Blockquote"/>
    <w:basedOn w:val="Normal"/>
    <w:rsid w:val="00A24325"/>
    <w:pPr>
      <w:widowControl w:val="0"/>
      <w:snapToGrid w:val="0"/>
      <w:spacing w:before="100" w:after="100"/>
      <w:ind w:left="360" w:right="360"/>
    </w:pPr>
    <w:rPr>
      <w:bCs/>
      <w:szCs w:val="20"/>
    </w:rPr>
  </w:style>
  <w:style w:type="table" w:customStyle="1" w:styleId="TableGrid22">
    <w:name w:val="Table Grid22"/>
    <w:basedOn w:val="TableNormal"/>
    <w:next w:val="TableGrid"/>
    <w:uiPriority w:val="59"/>
    <w:rsid w:val="00A24325"/>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24325"/>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4325"/>
    <w:rPr>
      <w:rFonts w:ascii="Calibri" w:eastAsiaTheme="minorHAnsi" w:hAnsi="Calibri" w:cstheme="minorBidi"/>
      <w:szCs w:val="21"/>
    </w:rPr>
  </w:style>
  <w:style w:type="character" w:customStyle="1" w:styleId="PlainTextChar">
    <w:name w:val="Plain Text Char"/>
    <w:basedOn w:val="DefaultParagraphFont"/>
    <w:link w:val="PlainText"/>
    <w:uiPriority w:val="99"/>
    <w:rsid w:val="00A24325"/>
    <w:rPr>
      <w:rFonts w:ascii="Calibri" w:hAnsi="Calibri"/>
      <w:szCs w:val="21"/>
      <w:lang w:val="en-US"/>
    </w:rPr>
  </w:style>
  <w:style w:type="paragraph" w:styleId="TOC1">
    <w:name w:val="toc 1"/>
    <w:basedOn w:val="Normal"/>
    <w:next w:val="Normal"/>
    <w:autoRedefine/>
    <w:uiPriority w:val="39"/>
    <w:unhideWhenUsed/>
    <w:qFormat/>
    <w:rsid w:val="005D140A"/>
    <w:pPr>
      <w:tabs>
        <w:tab w:val="right" w:leader="dot" w:pos="9710"/>
      </w:tabs>
      <w:spacing w:before="0" w:after="100"/>
    </w:pPr>
    <w:rPr>
      <w:b/>
      <w:noProof/>
    </w:rPr>
  </w:style>
  <w:style w:type="paragraph" w:styleId="TOC2">
    <w:name w:val="toc 2"/>
    <w:basedOn w:val="Normal"/>
    <w:next w:val="Normal"/>
    <w:autoRedefine/>
    <w:uiPriority w:val="39"/>
    <w:unhideWhenUsed/>
    <w:rsid w:val="00A24325"/>
    <w:pPr>
      <w:tabs>
        <w:tab w:val="left" w:pos="660"/>
        <w:tab w:val="right" w:leader="dot" w:pos="10247"/>
      </w:tabs>
      <w:spacing w:after="100"/>
      <w:ind w:left="240"/>
    </w:pPr>
  </w:style>
  <w:style w:type="paragraph" w:styleId="TOC3">
    <w:name w:val="toc 3"/>
    <w:basedOn w:val="Normal"/>
    <w:next w:val="Normal"/>
    <w:autoRedefine/>
    <w:uiPriority w:val="39"/>
    <w:unhideWhenUsed/>
    <w:rsid w:val="00A24325"/>
    <w:pPr>
      <w:tabs>
        <w:tab w:val="right" w:leader="dot" w:pos="10160"/>
      </w:tabs>
      <w:spacing w:after="100"/>
      <w:ind w:left="480"/>
      <w:jc w:val="center"/>
    </w:pPr>
  </w:style>
  <w:style w:type="character" w:styleId="FollowedHyperlink">
    <w:name w:val="FollowedHyperlink"/>
    <w:basedOn w:val="DefaultParagraphFont"/>
    <w:uiPriority w:val="99"/>
    <w:semiHidden/>
    <w:unhideWhenUsed/>
    <w:rsid w:val="00A24325"/>
    <w:rPr>
      <w:color w:val="800080" w:themeColor="followedHyperlink"/>
      <w:u w:val="single"/>
    </w:rPr>
  </w:style>
  <w:style w:type="table" w:customStyle="1" w:styleId="table-style-blauw-100-outline">
    <w:name w:val="table-style-blauw-100-outline"/>
    <w:basedOn w:val="TableNormal"/>
    <w:rsid w:val="00A24325"/>
    <w:pPr>
      <w:spacing w:after="0" w:line="280" w:lineRule="atLeast"/>
    </w:pPr>
    <w:rPr>
      <w:rFonts w:ascii="Arial" w:eastAsia="Times New Roman" w:hAnsi="Arial" w:cs="Times New Roman"/>
      <w:color w:val="000000"/>
      <w:sz w:val="16"/>
      <w:szCs w:val="24"/>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table" w:customStyle="1" w:styleId="TabelEcorys1">
    <w:name w:val="TabelEcorys1"/>
    <w:basedOn w:val="TableNormal"/>
    <w:uiPriority w:val="59"/>
    <w:rsid w:val="00A24325"/>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A24325"/>
    <w:pPr>
      <w:spacing w:after="0" w:line="240" w:lineRule="auto"/>
    </w:pPr>
    <w:rPr>
      <w:rFonts w:eastAsia="Times New Roman" w:cs="Times New Roman"/>
      <w:szCs w:val="24"/>
      <w:lang w:val="en-US"/>
    </w:rPr>
  </w:style>
  <w:style w:type="paragraph" w:styleId="DocumentMap">
    <w:name w:val="Document Map"/>
    <w:basedOn w:val="Normal"/>
    <w:link w:val="DocumentMapChar"/>
    <w:semiHidden/>
    <w:unhideWhenUsed/>
    <w:rsid w:val="00A24325"/>
    <w:rPr>
      <w:rFonts w:ascii="Times New Roman" w:hAnsi="Times New Roman"/>
      <w:sz w:val="24"/>
    </w:rPr>
  </w:style>
  <w:style w:type="character" w:customStyle="1" w:styleId="DocumentMapChar">
    <w:name w:val="Document Map Char"/>
    <w:basedOn w:val="DefaultParagraphFont"/>
    <w:link w:val="DocumentMap"/>
    <w:semiHidden/>
    <w:rsid w:val="00A24325"/>
    <w:rPr>
      <w:rFonts w:ascii="Times New Roman" w:eastAsia="Times New Roman" w:hAnsi="Times New Roman" w:cs="Times New Roman"/>
      <w:sz w:val="24"/>
      <w:szCs w:val="24"/>
      <w:lang w:val="en-US"/>
    </w:rPr>
  </w:style>
  <w:style w:type="paragraph" w:customStyle="1" w:styleId="PEFAfigurecaption">
    <w:name w:val="PEFA figure caption"/>
    <w:basedOn w:val="Normal"/>
    <w:qFormat/>
    <w:rsid w:val="00A24325"/>
    <w:rPr>
      <w:b/>
    </w:rPr>
  </w:style>
  <w:style w:type="paragraph" w:styleId="EndnoteText">
    <w:name w:val="endnote text"/>
    <w:basedOn w:val="Normal"/>
    <w:link w:val="EndnoteTextChar"/>
    <w:uiPriority w:val="99"/>
    <w:unhideWhenUsed/>
    <w:rsid w:val="00A24325"/>
    <w:pPr>
      <w:jc w:val="left"/>
    </w:pPr>
    <w:rPr>
      <w:rFonts w:eastAsiaTheme="minorHAnsi" w:cstheme="minorBidi"/>
      <w:sz w:val="20"/>
      <w:szCs w:val="20"/>
    </w:rPr>
  </w:style>
  <w:style w:type="character" w:customStyle="1" w:styleId="EndnoteTextChar">
    <w:name w:val="Endnote Text Char"/>
    <w:basedOn w:val="DefaultParagraphFont"/>
    <w:link w:val="EndnoteText"/>
    <w:uiPriority w:val="99"/>
    <w:rsid w:val="00A24325"/>
    <w:rPr>
      <w:sz w:val="20"/>
      <w:szCs w:val="20"/>
      <w:lang w:val="en-US"/>
    </w:rPr>
  </w:style>
  <w:style w:type="character" w:styleId="EndnoteReference">
    <w:name w:val="endnote reference"/>
    <w:basedOn w:val="DefaultParagraphFont"/>
    <w:uiPriority w:val="99"/>
    <w:unhideWhenUsed/>
    <w:rsid w:val="00A24325"/>
    <w:rPr>
      <w:vertAlign w:val="superscript"/>
    </w:rPr>
  </w:style>
  <w:style w:type="table" w:customStyle="1" w:styleId="TableGrid4">
    <w:name w:val="Table Grid4"/>
    <w:basedOn w:val="TableNormal"/>
    <w:next w:val="TableGrid"/>
    <w:uiPriority w:val="59"/>
    <w:rsid w:val="00A24325"/>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24325"/>
  </w:style>
  <w:style w:type="paragraph" w:customStyle="1" w:styleId="Brdtext-hllihop">
    <w:name w:val="Brödtext - håll ihop"/>
    <w:basedOn w:val="BodyText"/>
    <w:next w:val="BodyText"/>
    <w:link w:val="Brdtext-hllihopChar"/>
    <w:rsid w:val="00A24325"/>
    <w:pPr>
      <w:keepNext/>
      <w:widowControl w:val="0"/>
      <w:adjustRightInd w:val="0"/>
      <w:spacing w:after="240"/>
      <w:textAlignment w:val="baseline"/>
    </w:pPr>
    <w:rPr>
      <w:rFonts w:ascii="Garamond" w:hAnsi="Garamond"/>
      <w:spacing w:val="-5"/>
      <w:sz w:val="24"/>
      <w:szCs w:val="20"/>
      <w:lang w:val="en-GB"/>
    </w:rPr>
  </w:style>
  <w:style w:type="character" w:customStyle="1" w:styleId="Brdtext-hllihopChar">
    <w:name w:val="Brödtext - håll ihop Char"/>
    <w:basedOn w:val="DefaultParagraphFont"/>
    <w:link w:val="Brdtext-hllihop"/>
    <w:rsid w:val="00A24325"/>
    <w:rPr>
      <w:rFonts w:ascii="Garamond" w:eastAsia="Times New Roman" w:hAnsi="Garamond" w:cs="Times New Roman"/>
      <w:spacing w:val="-5"/>
      <w:sz w:val="24"/>
      <w:szCs w:val="20"/>
    </w:rPr>
  </w:style>
  <w:style w:type="character" w:customStyle="1" w:styleId="BalloonTextChar1">
    <w:name w:val="Balloon Text Char1"/>
    <w:basedOn w:val="DefaultParagraphFont"/>
    <w:uiPriority w:val="99"/>
    <w:semiHidden/>
    <w:rsid w:val="00A24325"/>
    <w:rPr>
      <w:rFonts w:ascii="Tahoma" w:hAnsi="Tahoma" w:cs="Tahoma"/>
      <w:sz w:val="16"/>
      <w:szCs w:val="16"/>
    </w:rPr>
  </w:style>
  <w:style w:type="character" w:styleId="PlaceholderText">
    <w:name w:val="Placeholder Text"/>
    <w:basedOn w:val="DefaultParagraphFont"/>
    <w:uiPriority w:val="99"/>
    <w:unhideWhenUsed/>
    <w:rsid w:val="00A24325"/>
    <w:rPr>
      <w:color w:val="808080"/>
    </w:rPr>
  </w:style>
  <w:style w:type="table" w:customStyle="1" w:styleId="TabelEcorys2">
    <w:name w:val="TabelEcorys2"/>
    <w:basedOn w:val="TableNormal"/>
    <w:next w:val="TableGrid"/>
    <w:uiPriority w:val="59"/>
    <w:rsid w:val="00A24325"/>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ain numbered paragraph Char,References Char,Numbered List Paragraph Char,123 List Paragraph Char,Bullets Char,List Paragraph (numbered (a)) Char,List Paragraph nowy Char,Liste 1 Char,List_Paragraph Char,Multilevel para_II Char"/>
    <w:basedOn w:val="DefaultParagraphFont"/>
    <w:link w:val="ListParagraph"/>
    <w:uiPriority w:val="34"/>
    <w:qFormat/>
    <w:locked/>
    <w:rsid w:val="00A24325"/>
    <w:rPr>
      <w:rFonts w:eastAsia="Times New Roman" w:cs="Times New Roman"/>
      <w:szCs w:val="24"/>
      <w:lang w:val="en-US"/>
    </w:rPr>
  </w:style>
  <w:style w:type="paragraph" w:styleId="TOC4">
    <w:name w:val="toc 4"/>
    <w:basedOn w:val="Normal"/>
    <w:next w:val="Normal"/>
    <w:autoRedefine/>
    <w:uiPriority w:val="39"/>
    <w:unhideWhenUsed/>
    <w:rsid w:val="00A24325"/>
    <w:pPr>
      <w:spacing w:after="100" w:line="259" w:lineRule="auto"/>
      <w:ind w:left="660"/>
      <w:jc w:val="left"/>
    </w:pPr>
    <w:rPr>
      <w:rFonts w:eastAsiaTheme="minorEastAsia" w:cstheme="minorBidi"/>
      <w:szCs w:val="22"/>
    </w:rPr>
  </w:style>
  <w:style w:type="paragraph" w:styleId="TOC5">
    <w:name w:val="toc 5"/>
    <w:basedOn w:val="Normal"/>
    <w:next w:val="Normal"/>
    <w:autoRedefine/>
    <w:uiPriority w:val="39"/>
    <w:unhideWhenUsed/>
    <w:rsid w:val="00A24325"/>
    <w:pPr>
      <w:spacing w:after="100" w:line="259" w:lineRule="auto"/>
      <w:ind w:left="880"/>
      <w:jc w:val="left"/>
    </w:pPr>
    <w:rPr>
      <w:rFonts w:eastAsiaTheme="minorEastAsia" w:cstheme="minorBidi"/>
      <w:szCs w:val="22"/>
    </w:rPr>
  </w:style>
  <w:style w:type="paragraph" w:styleId="TOC6">
    <w:name w:val="toc 6"/>
    <w:basedOn w:val="Normal"/>
    <w:next w:val="Normal"/>
    <w:autoRedefine/>
    <w:uiPriority w:val="39"/>
    <w:unhideWhenUsed/>
    <w:rsid w:val="00A24325"/>
    <w:pPr>
      <w:spacing w:after="100" w:line="259" w:lineRule="auto"/>
      <w:ind w:left="1100"/>
      <w:jc w:val="left"/>
    </w:pPr>
    <w:rPr>
      <w:rFonts w:eastAsiaTheme="minorEastAsia" w:cstheme="minorBidi"/>
      <w:szCs w:val="22"/>
    </w:rPr>
  </w:style>
  <w:style w:type="paragraph" w:styleId="TOC7">
    <w:name w:val="toc 7"/>
    <w:basedOn w:val="Normal"/>
    <w:next w:val="Normal"/>
    <w:autoRedefine/>
    <w:uiPriority w:val="8"/>
    <w:unhideWhenUsed/>
    <w:rsid w:val="00A24325"/>
    <w:pPr>
      <w:spacing w:after="100" w:line="259" w:lineRule="auto"/>
      <w:ind w:left="1320"/>
      <w:jc w:val="left"/>
    </w:pPr>
    <w:rPr>
      <w:rFonts w:eastAsiaTheme="minorEastAsia" w:cstheme="minorBidi"/>
      <w:szCs w:val="22"/>
    </w:rPr>
  </w:style>
  <w:style w:type="paragraph" w:styleId="TOC8">
    <w:name w:val="toc 8"/>
    <w:basedOn w:val="Normal"/>
    <w:next w:val="Normal"/>
    <w:autoRedefine/>
    <w:uiPriority w:val="39"/>
    <w:unhideWhenUsed/>
    <w:rsid w:val="00A24325"/>
    <w:pPr>
      <w:spacing w:after="100" w:line="259" w:lineRule="auto"/>
      <w:ind w:left="1540"/>
      <w:jc w:val="left"/>
    </w:pPr>
    <w:rPr>
      <w:rFonts w:eastAsiaTheme="minorEastAsia" w:cstheme="minorBidi"/>
      <w:szCs w:val="22"/>
    </w:rPr>
  </w:style>
  <w:style w:type="paragraph" w:styleId="TOC9">
    <w:name w:val="toc 9"/>
    <w:basedOn w:val="Normal"/>
    <w:next w:val="Normal"/>
    <w:autoRedefine/>
    <w:uiPriority w:val="39"/>
    <w:unhideWhenUsed/>
    <w:rsid w:val="00A24325"/>
    <w:pPr>
      <w:spacing w:after="100" w:line="259" w:lineRule="auto"/>
      <w:ind w:left="1760"/>
      <w:jc w:val="left"/>
    </w:pPr>
    <w:rPr>
      <w:rFonts w:eastAsiaTheme="minorEastAsia" w:cstheme="minorBidi"/>
      <w:szCs w:val="22"/>
    </w:rPr>
  </w:style>
  <w:style w:type="numbering" w:customStyle="1" w:styleId="NoList3">
    <w:name w:val="No List3"/>
    <w:next w:val="NoList"/>
    <w:uiPriority w:val="99"/>
    <w:semiHidden/>
    <w:unhideWhenUsed/>
    <w:rsid w:val="00A24325"/>
  </w:style>
  <w:style w:type="character" w:customStyle="1" w:styleId="ParagraphNumberingChar">
    <w:name w:val="Paragraph Numbering Char"/>
    <w:basedOn w:val="DefaultParagraphFont"/>
    <w:link w:val="ParagraphNumbering"/>
    <w:rsid w:val="00A24325"/>
    <w:rPr>
      <w:rFonts w:cs="Times New Roman"/>
      <w:szCs w:val="24"/>
      <w:lang w:val="en-US"/>
    </w:rPr>
  </w:style>
  <w:style w:type="table" w:styleId="TableClassic1">
    <w:name w:val="Table Classic 1"/>
    <w:basedOn w:val="TableNormal"/>
    <w:rsid w:val="00A24325"/>
    <w:pPr>
      <w:keepLines/>
      <w:spacing w:after="0" w:line="240" w:lineRule="auto"/>
    </w:pPr>
    <w:rPr>
      <w:rFonts w:ascii="Times New Roman" w:eastAsia="Times New Roman" w:hAnsi="Times New Roman" w:cs="Times New Roman"/>
      <w:sz w:val="24"/>
      <w:szCs w:val="24"/>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umberedParagraph">
    <w:name w:val="Numbered Paragraph"/>
    <w:basedOn w:val="Normal"/>
    <w:qFormat/>
    <w:rsid w:val="00A24325"/>
    <w:pPr>
      <w:numPr>
        <w:numId w:val="3"/>
      </w:numPr>
      <w:spacing w:before="120" w:after="120"/>
    </w:pPr>
    <w:rPr>
      <w:rFonts w:ascii="Tahoma" w:eastAsiaTheme="minorEastAsia" w:hAnsi="Tahoma" w:cstheme="minorBidi"/>
      <w:sz w:val="20"/>
      <w:szCs w:val="22"/>
      <w:lang w:val="en-GB" w:eastAsia="en-GB"/>
    </w:rPr>
  </w:style>
  <w:style w:type="paragraph" w:customStyle="1" w:styleId="BVIfnrCarCar">
    <w:name w:val="BVI fnr Car Car"/>
    <w:aliases w:val="BVI fnr Car,BVI fnr Car Car Car Car Char"/>
    <w:basedOn w:val="Normal"/>
    <w:link w:val="FootnoteReference"/>
    <w:uiPriority w:val="99"/>
    <w:rsid w:val="00A24325"/>
    <w:pPr>
      <w:spacing w:after="160" w:line="240" w:lineRule="exact"/>
      <w:jc w:val="left"/>
    </w:pPr>
    <w:rPr>
      <w:rFonts w:eastAsiaTheme="minorHAnsi" w:cstheme="minorBidi"/>
      <w:szCs w:val="22"/>
      <w:vertAlign w:val="superscript"/>
      <w:lang w:val="en-GB"/>
    </w:rPr>
  </w:style>
  <w:style w:type="character" w:customStyle="1" w:styleId="UnresolvedMention1">
    <w:name w:val="Unresolved Mention1"/>
    <w:basedOn w:val="DefaultParagraphFont"/>
    <w:uiPriority w:val="99"/>
    <w:semiHidden/>
    <w:unhideWhenUsed/>
    <w:rsid w:val="00A24325"/>
    <w:rPr>
      <w:color w:val="808080"/>
      <w:shd w:val="clear" w:color="auto" w:fill="E6E6E6"/>
    </w:rPr>
  </w:style>
  <w:style w:type="paragraph" w:customStyle="1" w:styleId="default0">
    <w:name w:val="default"/>
    <w:basedOn w:val="Normal"/>
    <w:rsid w:val="00A24325"/>
    <w:pPr>
      <w:spacing w:before="100" w:beforeAutospacing="1" w:after="100" w:afterAutospacing="1"/>
      <w:jc w:val="left"/>
    </w:pPr>
    <w:rPr>
      <w:rFonts w:ascii="Times New Roman" w:hAnsi="Times New Roman"/>
      <w:sz w:val="24"/>
      <w:lang w:val="en-ID" w:eastAsia="en-ID"/>
    </w:rPr>
  </w:style>
  <w:style w:type="paragraph" w:styleId="z-TopofForm">
    <w:name w:val="HTML Top of Form"/>
    <w:basedOn w:val="Normal"/>
    <w:next w:val="Normal"/>
    <w:link w:val="z-TopofFormChar"/>
    <w:hidden/>
    <w:rsid w:val="00A24325"/>
    <w:pPr>
      <w:pBdr>
        <w:bottom w:val="single" w:sz="6" w:space="1" w:color="auto"/>
      </w:pBdr>
      <w:jc w:val="center"/>
    </w:pPr>
    <w:rPr>
      <w:rFonts w:ascii="Arial" w:eastAsia="MS Mincho" w:hAnsi="Arial" w:cs="Arial"/>
      <w:vanish/>
      <w:sz w:val="16"/>
      <w:szCs w:val="16"/>
      <w:lang w:eastAsia="ja-JP"/>
    </w:rPr>
  </w:style>
  <w:style w:type="character" w:customStyle="1" w:styleId="z-TopofFormChar">
    <w:name w:val="z-Top of Form Char"/>
    <w:basedOn w:val="DefaultParagraphFont"/>
    <w:link w:val="z-TopofForm"/>
    <w:rsid w:val="00A24325"/>
    <w:rPr>
      <w:rFonts w:ascii="Arial" w:eastAsia="MS Mincho" w:hAnsi="Arial" w:cs="Arial"/>
      <w:vanish/>
      <w:sz w:val="16"/>
      <w:szCs w:val="16"/>
      <w:lang w:val="en-US" w:eastAsia="ja-JP"/>
    </w:rPr>
  </w:style>
  <w:style w:type="paragraph" w:customStyle="1" w:styleId="Headinglevel2PEFA">
    <w:name w:val="Heading level 2 PEFA"/>
    <w:basedOn w:val="ListParagraph"/>
    <w:link w:val="Headinglevel2PEFAChar"/>
    <w:qFormat/>
    <w:rsid w:val="00A24325"/>
    <w:pPr>
      <w:numPr>
        <w:ilvl w:val="1"/>
        <w:numId w:val="2"/>
      </w:numPr>
      <w:spacing w:after="240"/>
      <w:contextualSpacing w:val="0"/>
    </w:pPr>
    <w:rPr>
      <w:rFonts w:ascii="Calibri" w:hAnsi="Calibri"/>
      <w:b/>
      <w:color w:val="244061" w:themeColor="accent1" w:themeShade="80"/>
      <w:sz w:val="24"/>
    </w:rPr>
  </w:style>
  <w:style w:type="character" w:customStyle="1" w:styleId="Headinglevel2PEFAChar">
    <w:name w:val="Heading level 2 PEFA Char"/>
    <w:basedOn w:val="ListParagraphChar"/>
    <w:link w:val="Headinglevel2PEFA"/>
    <w:rsid w:val="00A24325"/>
    <w:rPr>
      <w:rFonts w:ascii="Calibri" w:eastAsia="Times New Roman" w:hAnsi="Calibri" w:cs="Times New Roman"/>
      <w:b/>
      <w:color w:val="244061" w:themeColor="accent1" w:themeShade="80"/>
      <w:sz w:val="24"/>
      <w:szCs w:val="24"/>
      <w:lang w:val="en-US"/>
    </w:rPr>
  </w:style>
  <w:style w:type="paragraph" w:customStyle="1" w:styleId="msonormal0">
    <w:name w:val="msonormal"/>
    <w:basedOn w:val="Normal"/>
    <w:rsid w:val="00A24325"/>
    <w:pPr>
      <w:spacing w:before="100" w:beforeAutospacing="1" w:after="100" w:afterAutospacing="1"/>
      <w:jc w:val="left"/>
    </w:pPr>
    <w:rPr>
      <w:rFonts w:ascii="Times New Roman" w:hAnsi="Times New Roman"/>
      <w:sz w:val="24"/>
      <w:lang w:val="en-ID" w:eastAsia="en-ID"/>
    </w:rPr>
  </w:style>
  <w:style w:type="paragraph" w:customStyle="1" w:styleId="font5">
    <w:name w:val="font5"/>
    <w:basedOn w:val="Normal"/>
    <w:rsid w:val="00A24325"/>
    <w:pPr>
      <w:spacing w:before="100" w:beforeAutospacing="1" w:after="100" w:afterAutospacing="1"/>
      <w:jc w:val="left"/>
    </w:pPr>
    <w:rPr>
      <w:rFonts w:ascii="Times New Roman" w:hAnsi="Times New Roman"/>
      <w:color w:val="000000"/>
      <w:sz w:val="24"/>
      <w:lang w:val="en-ID" w:eastAsia="en-ID"/>
    </w:rPr>
  </w:style>
  <w:style w:type="paragraph" w:customStyle="1" w:styleId="font6">
    <w:name w:val="font6"/>
    <w:basedOn w:val="Normal"/>
    <w:rsid w:val="00A24325"/>
    <w:pPr>
      <w:spacing w:before="100" w:beforeAutospacing="1" w:after="100" w:afterAutospacing="1"/>
      <w:jc w:val="left"/>
    </w:pPr>
    <w:rPr>
      <w:rFonts w:ascii="Times New Roman" w:hAnsi="Times New Roman"/>
      <w:b/>
      <w:bCs/>
      <w:color w:val="000000"/>
      <w:sz w:val="24"/>
      <w:lang w:val="en-ID" w:eastAsia="en-ID"/>
    </w:rPr>
  </w:style>
  <w:style w:type="paragraph" w:customStyle="1" w:styleId="font7">
    <w:name w:val="font7"/>
    <w:basedOn w:val="Normal"/>
    <w:rsid w:val="00A24325"/>
    <w:pPr>
      <w:spacing w:before="100" w:beforeAutospacing="1" w:after="100" w:afterAutospacing="1"/>
      <w:jc w:val="left"/>
    </w:pPr>
    <w:rPr>
      <w:rFonts w:ascii="Calibri" w:hAnsi="Calibri" w:cs="Calibri"/>
      <w:color w:val="000000"/>
      <w:sz w:val="24"/>
      <w:lang w:val="en-ID" w:eastAsia="en-ID"/>
    </w:rPr>
  </w:style>
  <w:style w:type="paragraph" w:customStyle="1" w:styleId="font8">
    <w:name w:val="font8"/>
    <w:basedOn w:val="Normal"/>
    <w:rsid w:val="00A24325"/>
    <w:pPr>
      <w:spacing w:before="100" w:beforeAutospacing="1" w:after="100" w:afterAutospacing="1"/>
      <w:jc w:val="left"/>
    </w:pPr>
    <w:rPr>
      <w:rFonts w:ascii="Calibri" w:hAnsi="Calibri" w:cs="Calibri"/>
      <w:b/>
      <w:bCs/>
      <w:color w:val="000000"/>
      <w:sz w:val="24"/>
      <w:lang w:val="en-ID" w:eastAsia="en-ID"/>
    </w:rPr>
  </w:style>
  <w:style w:type="paragraph" w:customStyle="1" w:styleId="xl65">
    <w:name w:val="xl65"/>
    <w:basedOn w:val="Normal"/>
    <w:rsid w:val="00A24325"/>
    <w:pPr>
      <w:spacing w:before="100" w:beforeAutospacing="1" w:after="100" w:afterAutospacing="1"/>
      <w:jc w:val="left"/>
      <w:textAlignment w:val="center"/>
    </w:pPr>
    <w:rPr>
      <w:rFonts w:ascii="Phetsarath OT" w:hAnsi="Phetsarath OT"/>
      <w:b/>
      <w:bCs/>
      <w:sz w:val="26"/>
      <w:szCs w:val="26"/>
      <w:lang w:val="en-ID" w:eastAsia="en-ID"/>
    </w:rPr>
  </w:style>
  <w:style w:type="paragraph" w:customStyle="1" w:styleId="xl66">
    <w:name w:val="xl66"/>
    <w:basedOn w:val="Normal"/>
    <w:rsid w:val="00A24325"/>
    <w:pPr>
      <w:spacing w:before="100" w:beforeAutospacing="1" w:after="100" w:afterAutospacing="1"/>
      <w:jc w:val="left"/>
    </w:pPr>
    <w:rPr>
      <w:rFonts w:ascii="Times New Roman" w:hAnsi="Times New Roman"/>
      <w:sz w:val="24"/>
      <w:lang w:val="en-ID" w:eastAsia="en-ID"/>
    </w:rPr>
  </w:style>
  <w:style w:type="paragraph" w:customStyle="1" w:styleId="xl67">
    <w:name w:val="xl67"/>
    <w:basedOn w:val="Normal"/>
    <w:rsid w:val="00A24325"/>
    <w:pPr>
      <w:spacing w:before="100" w:beforeAutospacing="1" w:after="100" w:afterAutospacing="1"/>
      <w:jc w:val="center"/>
      <w:textAlignment w:val="center"/>
    </w:pPr>
    <w:rPr>
      <w:rFonts w:ascii="Times New Roman" w:hAnsi="Times New Roman"/>
      <w:sz w:val="24"/>
      <w:lang w:val="en-ID" w:eastAsia="en-ID"/>
    </w:rPr>
  </w:style>
  <w:style w:type="paragraph" w:customStyle="1" w:styleId="xl68">
    <w:name w:val="xl68"/>
    <w:basedOn w:val="Normal"/>
    <w:rsid w:val="00A24325"/>
    <w:pPr>
      <w:spacing w:before="100" w:beforeAutospacing="1" w:after="100" w:afterAutospacing="1"/>
      <w:jc w:val="center"/>
      <w:textAlignment w:val="center"/>
    </w:pPr>
    <w:rPr>
      <w:rFonts w:ascii="Phetsarath OT" w:hAnsi="Phetsarath OT"/>
      <w:b/>
      <w:bCs/>
      <w:sz w:val="26"/>
      <w:szCs w:val="26"/>
      <w:lang w:val="en-ID" w:eastAsia="en-ID"/>
    </w:rPr>
  </w:style>
  <w:style w:type="paragraph" w:customStyle="1" w:styleId="xl69">
    <w:name w:val="xl69"/>
    <w:basedOn w:val="Normal"/>
    <w:rsid w:val="00A24325"/>
    <w:pPr>
      <w:spacing w:before="100" w:beforeAutospacing="1" w:after="100" w:afterAutospacing="1"/>
      <w:jc w:val="center"/>
      <w:textAlignment w:val="center"/>
    </w:pPr>
    <w:rPr>
      <w:rFonts w:ascii="Times New Roman" w:hAnsi="Times New Roman"/>
      <w:b/>
      <w:bCs/>
      <w:sz w:val="24"/>
      <w:lang w:val="en-ID" w:eastAsia="en-ID"/>
    </w:rPr>
  </w:style>
  <w:style w:type="paragraph" w:customStyle="1" w:styleId="xl70">
    <w:name w:val="xl70"/>
    <w:basedOn w:val="Normal"/>
    <w:rsid w:val="00A24325"/>
    <w:pPr>
      <w:spacing w:before="100" w:beforeAutospacing="1" w:after="100" w:afterAutospacing="1"/>
      <w:jc w:val="left"/>
    </w:pPr>
    <w:rPr>
      <w:rFonts w:ascii="Times New Roman" w:hAnsi="Times New Roman"/>
      <w:b/>
      <w:bCs/>
      <w:sz w:val="24"/>
      <w:lang w:val="en-ID" w:eastAsia="en-ID"/>
    </w:rPr>
  </w:style>
  <w:style w:type="paragraph" w:customStyle="1" w:styleId="xl71">
    <w:name w:val="xl71"/>
    <w:basedOn w:val="Normal"/>
    <w:rsid w:val="00A24325"/>
    <w:pPr>
      <w:spacing w:before="100" w:beforeAutospacing="1" w:after="100" w:afterAutospacing="1"/>
      <w:jc w:val="left"/>
    </w:pPr>
    <w:rPr>
      <w:rFonts w:ascii="Times New Roman" w:hAnsi="Times New Roman"/>
      <w:b/>
      <w:bCs/>
      <w:sz w:val="24"/>
      <w:u w:val="single"/>
      <w:lang w:val="en-ID" w:eastAsia="en-ID"/>
    </w:rPr>
  </w:style>
  <w:style w:type="paragraph" w:customStyle="1" w:styleId="xl72">
    <w:name w:val="xl72"/>
    <w:basedOn w:val="Normal"/>
    <w:rsid w:val="00A24325"/>
    <w:pPr>
      <w:spacing w:before="100" w:beforeAutospacing="1" w:after="100" w:afterAutospacing="1"/>
      <w:jc w:val="center"/>
    </w:pPr>
    <w:rPr>
      <w:rFonts w:ascii="Times New Roman" w:hAnsi="Times New Roman"/>
      <w:sz w:val="24"/>
      <w:lang w:val="en-ID" w:eastAsia="en-ID"/>
    </w:rPr>
  </w:style>
  <w:style w:type="paragraph" w:customStyle="1" w:styleId="xl73">
    <w:name w:val="xl73"/>
    <w:basedOn w:val="Normal"/>
    <w:rsid w:val="00A24325"/>
    <w:pPr>
      <w:spacing w:before="100" w:beforeAutospacing="1" w:after="100" w:afterAutospacing="1"/>
      <w:jc w:val="center"/>
    </w:pPr>
    <w:rPr>
      <w:rFonts w:ascii="Times New Roman" w:hAnsi="Times New Roman"/>
      <w:b/>
      <w:bCs/>
      <w:sz w:val="24"/>
      <w:lang w:val="en-ID" w:eastAsia="en-ID"/>
    </w:rPr>
  </w:style>
  <w:style w:type="paragraph" w:customStyle="1" w:styleId="xl74">
    <w:name w:val="xl74"/>
    <w:basedOn w:val="Normal"/>
    <w:rsid w:val="00A24325"/>
    <w:pPr>
      <w:spacing w:before="100" w:beforeAutospacing="1" w:after="100" w:afterAutospacing="1"/>
      <w:jc w:val="left"/>
    </w:pPr>
    <w:rPr>
      <w:rFonts w:ascii="Times New Roman" w:hAnsi="Times New Roman"/>
      <w:sz w:val="24"/>
      <w:lang w:val="en-ID" w:eastAsia="en-ID"/>
    </w:rPr>
  </w:style>
  <w:style w:type="paragraph" w:customStyle="1" w:styleId="xl75">
    <w:name w:val="xl75"/>
    <w:basedOn w:val="Normal"/>
    <w:rsid w:val="00A24325"/>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76">
    <w:name w:val="xl76"/>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77">
    <w:name w:val="xl77"/>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78">
    <w:name w:val="xl78"/>
    <w:basedOn w:val="Normal"/>
    <w:rsid w:val="00A24325"/>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79">
    <w:name w:val="xl79"/>
    <w:basedOn w:val="Normal"/>
    <w:rsid w:val="00A24325"/>
    <w:pPr>
      <w:pBdr>
        <w:left w:val="single" w:sz="4" w:space="0" w:color="auto"/>
        <w:bottom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80">
    <w:name w:val="xl80"/>
    <w:basedOn w:val="Normal"/>
    <w:rsid w:val="00A24325"/>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81">
    <w:name w:val="xl81"/>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82">
    <w:name w:val="xl82"/>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lang w:val="en-ID" w:eastAsia="en-ID"/>
    </w:rPr>
  </w:style>
  <w:style w:type="paragraph" w:customStyle="1" w:styleId="xl83">
    <w:name w:val="xl83"/>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val="en-ID" w:eastAsia="en-ID"/>
    </w:rPr>
  </w:style>
  <w:style w:type="paragraph" w:customStyle="1" w:styleId="xl84">
    <w:name w:val="xl84"/>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85">
    <w:name w:val="xl85"/>
    <w:basedOn w:val="Normal"/>
    <w:rsid w:val="00A24325"/>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86">
    <w:name w:val="xl86"/>
    <w:basedOn w:val="Normal"/>
    <w:rsid w:val="00A24325"/>
    <w:pPr>
      <w:pBdr>
        <w:left w:val="single" w:sz="4" w:space="0" w:color="auto"/>
        <w:right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87">
    <w:name w:val="xl87"/>
    <w:basedOn w:val="Normal"/>
    <w:rsid w:val="00A24325"/>
    <w:pPr>
      <w:pBdr>
        <w:left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88">
    <w:name w:val="xl88"/>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val="en-ID" w:eastAsia="en-ID"/>
    </w:rPr>
  </w:style>
  <w:style w:type="paragraph" w:customStyle="1" w:styleId="xl89">
    <w:name w:val="xl89"/>
    <w:basedOn w:val="Normal"/>
    <w:rsid w:val="00A24325"/>
    <w:pPr>
      <w:pBdr>
        <w:top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0">
    <w:name w:val="xl90"/>
    <w:basedOn w:val="Normal"/>
    <w:rsid w:val="00A24325"/>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1">
    <w:name w:val="xl91"/>
    <w:basedOn w:val="Normal"/>
    <w:rsid w:val="00A24325"/>
    <w:pPr>
      <w:pBdr>
        <w:bottom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2">
    <w:name w:val="xl92"/>
    <w:basedOn w:val="Normal"/>
    <w:rsid w:val="00A24325"/>
    <w:pPr>
      <w:pBdr>
        <w:top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3">
    <w:name w:val="xl93"/>
    <w:basedOn w:val="Normal"/>
    <w:rsid w:val="00A24325"/>
    <w:pPr>
      <w:pBdr>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4">
    <w:name w:val="xl94"/>
    <w:basedOn w:val="Normal"/>
    <w:rsid w:val="00A24325"/>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5">
    <w:name w:val="xl95"/>
    <w:basedOn w:val="Normal"/>
    <w:rsid w:val="00A24325"/>
    <w:pPr>
      <w:pBdr>
        <w:left w:val="single" w:sz="4" w:space="0" w:color="auto"/>
        <w:bottom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6">
    <w:name w:val="xl96"/>
    <w:basedOn w:val="Normal"/>
    <w:rsid w:val="00A24325"/>
    <w:pPr>
      <w:pBdr>
        <w:top w:val="single" w:sz="4" w:space="0" w:color="auto"/>
        <w:lef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7">
    <w:name w:val="xl97"/>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8">
    <w:name w:val="xl98"/>
    <w:basedOn w:val="Normal"/>
    <w:rsid w:val="00A24325"/>
    <w:pPr>
      <w:pBdr>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99">
    <w:name w:val="xl99"/>
    <w:basedOn w:val="Normal"/>
    <w:rsid w:val="00A24325"/>
    <w:pPr>
      <w:spacing w:before="100" w:beforeAutospacing="1" w:after="100" w:afterAutospacing="1"/>
      <w:jc w:val="left"/>
    </w:pPr>
    <w:rPr>
      <w:rFonts w:ascii="Times New Roman" w:hAnsi="Times New Roman"/>
      <w:sz w:val="24"/>
      <w:lang w:val="en-ID" w:eastAsia="en-ID"/>
    </w:rPr>
  </w:style>
  <w:style w:type="paragraph" w:customStyle="1" w:styleId="xl100">
    <w:name w:val="xl100"/>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01">
    <w:name w:val="xl101"/>
    <w:basedOn w:val="Normal"/>
    <w:rsid w:val="00A24325"/>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02">
    <w:name w:val="xl102"/>
    <w:basedOn w:val="Normal"/>
    <w:rsid w:val="00A24325"/>
    <w:pPr>
      <w:pBdr>
        <w:top w:val="single" w:sz="4" w:space="0" w:color="auto"/>
        <w:left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103">
    <w:name w:val="xl103"/>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04">
    <w:name w:val="xl104"/>
    <w:basedOn w:val="Normal"/>
    <w:rsid w:val="00A24325"/>
    <w:pPr>
      <w:pBdr>
        <w:top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05">
    <w:name w:val="xl105"/>
    <w:basedOn w:val="Normal"/>
    <w:rsid w:val="00A24325"/>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lang w:val="en-ID" w:eastAsia="en-ID"/>
    </w:rPr>
  </w:style>
  <w:style w:type="paragraph" w:customStyle="1" w:styleId="xl106">
    <w:name w:val="xl106"/>
    <w:basedOn w:val="Normal"/>
    <w:rsid w:val="00A24325"/>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lang w:val="en-ID" w:eastAsia="en-ID"/>
    </w:rPr>
  </w:style>
  <w:style w:type="paragraph" w:customStyle="1" w:styleId="xl107">
    <w:name w:val="xl107"/>
    <w:basedOn w:val="Normal"/>
    <w:rsid w:val="00A24325"/>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08">
    <w:name w:val="xl108"/>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09">
    <w:name w:val="xl109"/>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10">
    <w:name w:val="xl110"/>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11">
    <w:name w:val="xl111"/>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12">
    <w:name w:val="xl112"/>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13">
    <w:name w:val="xl113"/>
    <w:basedOn w:val="Normal"/>
    <w:rsid w:val="00A243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lang w:val="en-ID" w:eastAsia="en-ID"/>
    </w:rPr>
  </w:style>
  <w:style w:type="paragraph" w:customStyle="1" w:styleId="xl114">
    <w:name w:val="xl114"/>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15">
    <w:name w:val="xl115"/>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16">
    <w:name w:val="xl116"/>
    <w:basedOn w:val="Normal"/>
    <w:rsid w:val="00A24325"/>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val="en-ID" w:eastAsia="en-ID"/>
    </w:rPr>
  </w:style>
  <w:style w:type="paragraph" w:customStyle="1" w:styleId="xl117">
    <w:name w:val="xl117"/>
    <w:basedOn w:val="Normal"/>
    <w:rsid w:val="00A24325"/>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lang w:val="en-ID" w:eastAsia="en-ID"/>
    </w:rPr>
  </w:style>
  <w:style w:type="paragraph" w:customStyle="1" w:styleId="xl118">
    <w:name w:val="xl118"/>
    <w:basedOn w:val="Normal"/>
    <w:rsid w:val="00A24325"/>
    <w:pPr>
      <w:pBdr>
        <w:top w:val="single" w:sz="4" w:space="0" w:color="auto"/>
        <w:right w:val="single" w:sz="4" w:space="0" w:color="auto"/>
      </w:pBdr>
      <w:spacing w:before="100" w:beforeAutospacing="1" w:after="100" w:afterAutospacing="1"/>
      <w:jc w:val="left"/>
    </w:pPr>
    <w:rPr>
      <w:rFonts w:ascii="Times New Roman" w:hAnsi="Times New Roman"/>
      <w:b/>
      <w:bCs/>
      <w:sz w:val="24"/>
      <w:lang w:val="en-ID" w:eastAsia="en-ID"/>
    </w:rPr>
  </w:style>
  <w:style w:type="paragraph" w:customStyle="1" w:styleId="xl119">
    <w:name w:val="xl119"/>
    <w:basedOn w:val="Normal"/>
    <w:rsid w:val="00A24325"/>
    <w:pPr>
      <w:pBdr>
        <w:left w:val="single" w:sz="4" w:space="0" w:color="auto"/>
        <w:bottom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20">
    <w:name w:val="xl120"/>
    <w:basedOn w:val="Normal"/>
    <w:rsid w:val="00A24325"/>
    <w:pPr>
      <w:pBdr>
        <w:top w:val="single" w:sz="4" w:space="0" w:color="auto"/>
        <w:lef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21">
    <w:name w:val="xl121"/>
    <w:basedOn w:val="Normal"/>
    <w:rsid w:val="00A24325"/>
    <w:pPr>
      <w:pBdr>
        <w:top w:val="single" w:sz="4" w:space="0" w:color="auto"/>
        <w:bottom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22">
    <w:name w:val="xl122"/>
    <w:basedOn w:val="Normal"/>
    <w:rsid w:val="00A24325"/>
    <w:pPr>
      <w:pBdr>
        <w:top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123">
    <w:name w:val="xl123"/>
    <w:basedOn w:val="Normal"/>
    <w:rsid w:val="00A24325"/>
    <w:pPr>
      <w:pBdr>
        <w:bottom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124">
    <w:name w:val="xl124"/>
    <w:basedOn w:val="Normal"/>
    <w:rsid w:val="00A24325"/>
    <w:pPr>
      <w:pBdr>
        <w:top w:val="single" w:sz="4" w:space="0" w:color="auto"/>
        <w:left w:val="single" w:sz="4" w:space="0" w:color="auto"/>
      </w:pBdr>
      <w:spacing w:before="100" w:beforeAutospacing="1" w:after="100" w:afterAutospacing="1"/>
      <w:jc w:val="center"/>
    </w:pPr>
    <w:rPr>
      <w:rFonts w:ascii="Times New Roman" w:hAnsi="Times New Roman"/>
      <w:b/>
      <w:bCs/>
      <w:sz w:val="24"/>
      <w:lang w:val="en-ID" w:eastAsia="en-ID"/>
    </w:rPr>
  </w:style>
  <w:style w:type="paragraph" w:customStyle="1" w:styleId="xl125">
    <w:name w:val="xl125"/>
    <w:basedOn w:val="Normal"/>
    <w:rsid w:val="00A24325"/>
    <w:pPr>
      <w:pBdr>
        <w:left w:val="single" w:sz="4" w:space="0" w:color="auto"/>
        <w:bottom w:val="single" w:sz="4" w:space="0" w:color="auto"/>
      </w:pBdr>
      <w:spacing w:before="100" w:beforeAutospacing="1" w:after="100" w:afterAutospacing="1"/>
      <w:jc w:val="center"/>
    </w:pPr>
    <w:rPr>
      <w:rFonts w:ascii="Times New Roman" w:hAnsi="Times New Roman"/>
      <w:b/>
      <w:bCs/>
      <w:sz w:val="24"/>
      <w:lang w:val="en-ID" w:eastAsia="en-ID"/>
    </w:rPr>
  </w:style>
  <w:style w:type="paragraph" w:customStyle="1" w:styleId="xl126">
    <w:name w:val="xl126"/>
    <w:basedOn w:val="Normal"/>
    <w:rsid w:val="00A24325"/>
    <w:pPr>
      <w:pBdr>
        <w:left w:val="single" w:sz="4" w:space="0" w:color="auto"/>
        <w:right w:val="single" w:sz="4" w:space="0" w:color="auto"/>
      </w:pBdr>
      <w:spacing w:before="100" w:beforeAutospacing="1" w:after="100" w:afterAutospacing="1"/>
      <w:jc w:val="left"/>
    </w:pPr>
    <w:rPr>
      <w:rFonts w:ascii="Times New Roman" w:hAnsi="Times New Roman"/>
      <w:sz w:val="24"/>
      <w:lang w:val="en-ID" w:eastAsia="en-ID"/>
    </w:rPr>
  </w:style>
  <w:style w:type="paragraph" w:customStyle="1" w:styleId="xl127">
    <w:name w:val="xl127"/>
    <w:basedOn w:val="Normal"/>
    <w:rsid w:val="00A24325"/>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lang w:val="en-ID" w:eastAsia="en-ID"/>
    </w:rPr>
  </w:style>
  <w:style w:type="paragraph" w:customStyle="1" w:styleId="xl128">
    <w:name w:val="xl128"/>
    <w:basedOn w:val="Normal"/>
    <w:rsid w:val="00A24325"/>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ID" w:eastAsia="en-ID"/>
    </w:rPr>
  </w:style>
  <w:style w:type="paragraph" w:styleId="Caption">
    <w:name w:val="caption"/>
    <w:aliases w:val="chart title,quarterly chart caption,quarterly chart caption Char Char,IEQ Table-Figure-Box Caption,Caption SEETO,Beskrivning Char,Beskrivning Char1 Char,Beskrivning Char Char Char,Beskrivning Char1 Char Char Char,Caption Char2,Caption Char1 Char"/>
    <w:basedOn w:val="Normal"/>
    <w:next w:val="Normal"/>
    <w:link w:val="CaptionChar"/>
    <w:uiPriority w:val="35"/>
    <w:unhideWhenUsed/>
    <w:qFormat/>
    <w:rsid w:val="00A24325"/>
    <w:pPr>
      <w:spacing w:after="120" w:line="276" w:lineRule="auto"/>
      <w:jc w:val="center"/>
    </w:pPr>
    <w:rPr>
      <w:rFonts w:ascii="Century Gothic" w:eastAsia="Calibri" w:hAnsi="Century Gothic"/>
      <w:b/>
      <w:bCs/>
      <w:color w:val="003399"/>
      <w:sz w:val="20"/>
      <w:szCs w:val="18"/>
    </w:rPr>
  </w:style>
  <w:style w:type="character" w:customStyle="1" w:styleId="CaptionChar">
    <w:name w:val="Caption Char"/>
    <w:aliases w:val="chart title Char,quarterly chart caption Char,quarterly chart caption Char Char Char,IEQ Table-Figure-Box Caption Char,Caption SEETO Char,Beskrivning Char Char,Beskrivning Char1 Char Char,Beskrivning Char Char Char Char,Caption Char2 Char"/>
    <w:basedOn w:val="DefaultParagraphFont"/>
    <w:link w:val="Caption"/>
    <w:uiPriority w:val="35"/>
    <w:locked/>
    <w:rsid w:val="00A24325"/>
    <w:rPr>
      <w:rFonts w:ascii="Century Gothic" w:eastAsia="Calibri" w:hAnsi="Century Gothic" w:cs="Times New Roman"/>
      <w:b/>
      <w:bCs/>
      <w:color w:val="003399"/>
      <w:sz w:val="20"/>
      <w:szCs w:val="18"/>
      <w:lang w:val="en-US"/>
    </w:rPr>
  </w:style>
  <w:style w:type="paragraph" w:customStyle="1" w:styleId="m-3890428515230460223msoplaintext">
    <w:name w:val="m_-3890428515230460223msoplaintext"/>
    <w:basedOn w:val="Normal"/>
    <w:rsid w:val="00A24325"/>
    <w:pPr>
      <w:spacing w:before="100" w:beforeAutospacing="1" w:after="100" w:afterAutospacing="1"/>
      <w:jc w:val="left"/>
    </w:pPr>
    <w:rPr>
      <w:rFonts w:ascii="Times New Roman" w:hAnsi="Times New Roman"/>
      <w:sz w:val="24"/>
      <w:lang w:val="en-ID" w:eastAsia="en-ID"/>
    </w:rPr>
  </w:style>
  <w:style w:type="paragraph" w:styleId="NormalWeb">
    <w:name w:val="Normal (Web)"/>
    <w:basedOn w:val="Normal"/>
    <w:uiPriority w:val="99"/>
    <w:unhideWhenUsed/>
    <w:rsid w:val="00A24325"/>
    <w:pPr>
      <w:spacing w:before="100" w:beforeAutospacing="1" w:after="100" w:afterAutospacing="1"/>
    </w:pPr>
    <w:rPr>
      <w:rFonts w:ascii="Times New Roman" w:hAnsi="Times New Roman"/>
      <w:sz w:val="24"/>
    </w:rPr>
  </w:style>
  <w:style w:type="character" w:customStyle="1" w:styleId="hps">
    <w:name w:val="hps"/>
    <w:basedOn w:val="DefaultParagraphFont"/>
    <w:rsid w:val="00A24325"/>
  </w:style>
  <w:style w:type="character" w:customStyle="1" w:styleId="FootnoteTextChar2">
    <w:name w:val="Footnote Text Char2"/>
    <w:aliases w:val="ft Char1,fn Char1,single space Char1,footnote text Char1,Texto nota pie Car Char1,ft Car Char1,ft Car Car Char1,Texto nota pie2 Char1,ft1 Char1,ft Car Car Car1 Char1,Texto nota pie Car2 Char1,ft Car Car2 Char1,ft Car Car Car Char1"/>
    <w:uiPriority w:val="99"/>
    <w:semiHidden/>
    <w:locked/>
    <w:rsid w:val="00A24325"/>
    <w:rPr>
      <w:rFonts w:ascii="Times New Roman" w:eastAsia="Times New Roman" w:hAnsi="Times New Roman" w:cs="Times New Roman"/>
    </w:rPr>
  </w:style>
  <w:style w:type="paragraph" w:styleId="TableofFigures">
    <w:name w:val="table of figures"/>
    <w:basedOn w:val="Normal"/>
    <w:next w:val="Normal"/>
    <w:unhideWhenUsed/>
    <w:rsid w:val="00A24325"/>
    <w:pPr>
      <w:spacing w:line="276" w:lineRule="auto"/>
    </w:pPr>
    <w:rPr>
      <w:rFonts w:ascii="Garamond" w:eastAsia="Calibri" w:hAnsi="Garamond"/>
      <w:szCs w:val="22"/>
    </w:rPr>
  </w:style>
  <w:style w:type="character" w:customStyle="1" w:styleId="st">
    <w:name w:val="st"/>
    <w:basedOn w:val="DefaultParagraphFont"/>
    <w:rsid w:val="00A24325"/>
  </w:style>
  <w:style w:type="table" w:styleId="LightShading-Accent5">
    <w:name w:val="Light Shading Accent 5"/>
    <w:basedOn w:val="TableNormal"/>
    <w:uiPriority w:val="60"/>
    <w:rsid w:val="00A24325"/>
    <w:pPr>
      <w:spacing w:after="0" w:line="240" w:lineRule="auto"/>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next w:val="LightShading-Accent5"/>
    <w:uiPriority w:val="60"/>
    <w:rsid w:val="00A24325"/>
    <w:pPr>
      <w:spacing w:after="0" w:line="240" w:lineRule="auto"/>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
    <w:name w:val="Light Shading - Accent 52"/>
    <w:basedOn w:val="TableNormal"/>
    <w:next w:val="LightShading-Accent5"/>
    <w:uiPriority w:val="60"/>
    <w:rsid w:val="00A24325"/>
    <w:pPr>
      <w:spacing w:after="0" w:line="240" w:lineRule="auto"/>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converted-space">
    <w:name w:val="apple-converted-space"/>
    <w:rsid w:val="00A24325"/>
  </w:style>
  <w:style w:type="table" w:customStyle="1" w:styleId="LightShading-Accent53">
    <w:name w:val="Light Shading - Accent 53"/>
    <w:basedOn w:val="TableNormal"/>
    <w:next w:val="LightShading-Accent5"/>
    <w:uiPriority w:val="60"/>
    <w:rsid w:val="00A24325"/>
    <w:pPr>
      <w:spacing w:after="0" w:line="240" w:lineRule="auto"/>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
    <w:name w:val="Light Shading - Accent 511"/>
    <w:basedOn w:val="TableNormal"/>
    <w:next w:val="LightShading-Accent5"/>
    <w:uiPriority w:val="60"/>
    <w:rsid w:val="00A24325"/>
    <w:pPr>
      <w:spacing w:after="0" w:line="240" w:lineRule="auto"/>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1">
    <w:name w:val="Light Shading - Accent 521"/>
    <w:basedOn w:val="TableNormal"/>
    <w:next w:val="LightShading-Accent5"/>
    <w:uiPriority w:val="60"/>
    <w:rsid w:val="00A24325"/>
    <w:pPr>
      <w:spacing w:after="0" w:line="240" w:lineRule="auto"/>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5">
    <w:name w:val="Table Grid5"/>
    <w:basedOn w:val="TableNormal"/>
    <w:next w:val="TableGrid"/>
    <w:uiPriority w:val="39"/>
    <w:rsid w:val="00A243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43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A24325"/>
    <w:pPr>
      <w:jc w:val="center"/>
    </w:pPr>
    <w:rPr>
      <w:rFonts w:ascii="Arial" w:hAnsi="Arial"/>
      <w:b/>
      <w:szCs w:val="20"/>
    </w:rPr>
  </w:style>
  <w:style w:type="character" w:customStyle="1" w:styleId="HighlightedVariable">
    <w:name w:val="Highlighted Variable"/>
    <w:rsid w:val="00A24325"/>
    <w:rPr>
      <w:sz w:val="22"/>
      <w:szCs w:val="22"/>
    </w:rPr>
  </w:style>
  <w:style w:type="paragraph" w:customStyle="1" w:styleId="DefaultText">
    <w:name w:val="Default Text"/>
    <w:basedOn w:val="Normal"/>
    <w:link w:val="DefaultTextChar"/>
    <w:uiPriority w:val="99"/>
    <w:qFormat/>
    <w:rsid w:val="00A24325"/>
    <w:pPr>
      <w:spacing w:line="280" w:lineRule="atLeast"/>
      <w:jc w:val="left"/>
    </w:pPr>
    <w:rPr>
      <w:rFonts w:ascii="Arial" w:hAnsi="Arial"/>
      <w:color w:val="000000"/>
      <w:sz w:val="20"/>
      <w:lang w:eastAsia="nl-NL"/>
    </w:rPr>
  </w:style>
  <w:style w:type="character" w:customStyle="1" w:styleId="DefaultTextChar">
    <w:name w:val="Default Text Char"/>
    <w:basedOn w:val="DefaultParagraphFont"/>
    <w:link w:val="DefaultText"/>
    <w:uiPriority w:val="99"/>
    <w:rsid w:val="00A24325"/>
    <w:rPr>
      <w:rFonts w:ascii="Arial" w:eastAsia="Times New Roman" w:hAnsi="Arial" w:cs="Times New Roman"/>
      <w:color w:val="000000"/>
      <w:sz w:val="20"/>
      <w:szCs w:val="24"/>
      <w:lang w:val="en-US" w:eastAsia="nl-NL"/>
    </w:rPr>
  </w:style>
  <w:style w:type="paragraph" w:customStyle="1" w:styleId="BVIfnrCharChar">
    <w:name w:val="BVI fnr Char Char"/>
    <w:aliases w:val="BVI fnr Car Car Char Char,BVI fnr Car Char Char,BVI fnr Car Car Car Car Char Char,BVI fnr Car Car Car Car Char Char Char1"/>
    <w:basedOn w:val="Normal"/>
    <w:uiPriority w:val="99"/>
    <w:rsid w:val="00A24325"/>
    <w:pPr>
      <w:spacing w:after="240" w:line="240" w:lineRule="exact"/>
    </w:pPr>
    <w:rPr>
      <w:rFonts w:eastAsiaTheme="minorHAnsi" w:cstheme="minorBidi"/>
      <w:szCs w:val="22"/>
      <w:vertAlign w:val="superscript"/>
    </w:rPr>
  </w:style>
  <w:style w:type="paragraph" w:customStyle="1" w:styleId="pdbullet">
    <w:name w:val="pd bullet"/>
    <w:basedOn w:val="ListParagraph"/>
    <w:link w:val="pdbulletChar"/>
    <w:qFormat/>
    <w:rsid w:val="00A24325"/>
    <w:pPr>
      <w:numPr>
        <w:numId w:val="9"/>
      </w:numPr>
      <w:spacing w:before="60" w:after="120"/>
      <w:contextualSpacing w:val="0"/>
    </w:pPr>
    <w:rPr>
      <w:rFonts w:ascii="Times New Roman" w:eastAsiaTheme="minorEastAsia" w:hAnsi="Times New Roman"/>
      <w:spacing w:val="2"/>
      <w:sz w:val="24"/>
    </w:rPr>
  </w:style>
  <w:style w:type="character" w:customStyle="1" w:styleId="pdbulletChar">
    <w:name w:val="pd bullet Char"/>
    <w:basedOn w:val="DefaultParagraphFont"/>
    <w:link w:val="pdbullet"/>
    <w:rsid w:val="00A24325"/>
    <w:rPr>
      <w:rFonts w:ascii="Times New Roman" w:eastAsiaTheme="minorEastAsia" w:hAnsi="Times New Roman" w:cs="Times New Roman"/>
      <w:spacing w:val="2"/>
      <w:sz w:val="24"/>
      <w:szCs w:val="24"/>
      <w:lang w:val="en-US"/>
    </w:rPr>
  </w:style>
  <w:style w:type="paragraph" w:customStyle="1" w:styleId="TableParagraph">
    <w:name w:val="Table Paragraph"/>
    <w:basedOn w:val="Normal"/>
    <w:uiPriority w:val="1"/>
    <w:qFormat/>
    <w:rsid w:val="00A24325"/>
    <w:pPr>
      <w:widowControl w:val="0"/>
      <w:jc w:val="left"/>
    </w:pPr>
    <w:rPr>
      <w:rFonts w:eastAsiaTheme="minorHAnsi" w:cstheme="minorBidi"/>
      <w:szCs w:val="22"/>
    </w:rPr>
  </w:style>
  <w:style w:type="paragraph" w:customStyle="1" w:styleId="BankNormal">
    <w:name w:val="BankNormal"/>
    <w:basedOn w:val="Normal"/>
    <w:link w:val="BankNormalChar"/>
    <w:rsid w:val="00A24325"/>
    <w:pPr>
      <w:spacing w:after="240"/>
      <w:jc w:val="left"/>
    </w:pPr>
    <w:rPr>
      <w:rFonts w:ascii="Times New Roman" w:eastAsia="MS Mincho" w:hAnsi="Times New Roman"/>
      <w:sz w:val="24"/>
      <w:szCs w:val="20"/>
    </w:rPr>
  </w:style>
  <w:style w:type="character" w:customStyle="1" w:styleId="BankNormalChar">
    <w:name w:val="BankNormal Char"/>
    <w:basedOn w:val="DefaultParagraphFont"/>
    <w:link w:val="BankNormal"/>
    <w:locked/>
    <w:rsid w:val="00A24325"/>
    <w:rPr>
      <w:rFonts w:ascii="Times New Roman" w:eastAsia="MS Mincho" w:hAnsi="Times New Roman" w:cs="Times New Roman"/>
      <w:sz w:val="24"/>
      <w:szCs w:val="20"/>
      <w:lang w:val="en-US"/>
    </w:rPr>
  </w:style>
  <w:style w:type="paragraph" w:customStyle="1" w:styleId="ICRTOC">
    <w:name w:val="ICR TOC"/>
    <w:next w:val="Normal"/>
    <w:rsid w:val="00A24325"/>
    <w:pPr>
      <w:keepNext/>
      <w:spacing w:after="0" w:line="240" w:lineRule="auto"/>
    </w:pPr>
    <w:rPr>
      <w:rFonts w:ascii="Times New Roman" w:eastAsia="Times New Roman" w:hAnsi="Times New Roman" w:cs="Times New Roman"/>
      <w:b/>
      <w:bCs/>
      <w:color w:val="000000"/>
      <w:sz w:val="25"/>
      <w:szCs w:val="25"/>
      <w:lang w:val="en-US"/>
    </w:rPr>
  </w:style>
  <w:style w:type="paragraph" w:customStyle="1" w:styleId="SubTitle2">
    <w:name w:val="Sub Title 2"/>
    <w:basedOn w:val="Normal"/>
    <w:rsid w:val="00A24325"/>
    <w:pPr>
      <w:numPr>
        <w:numId w:val="10"/>
      </w:numPr>
      <w:spacing w:before="180" w:after="180"/>
      <w:jc w:val="left"/>
    </w:pPr>
    <w:rPr>
      <w:rFonts w:ascii="Times New Roman" w:hAnsi="Times New Roman"/>
      <w:b/>
      <w:sz w:val="28"/>
      <w:szCs w:val="20"/>
    </w:rPr>
  </w:style>
  <w:style w:type="paragraph" w:customStyle="1" w:styleId="Heading1a">
    <w:name w:val="Heading 1a"/>
    <w:basedOn w:val="Normal"/>
    <w:next w:val="Normal"/>
    <w:rsid w:val="00A24325"/>
    <w:pPr>
      <w:keepNext/>
      <w:keepLines/>
      <w:numPr>
        <w:numId w:val="11"/>
      </w:numPr>
      <w:spacing w:before="1440" w:after="240"/>
      <w:jc w:val="center"/>
      <w:outlineLvl w:val="0"/>
    </w:pPr>
    <w:rPr>
      <w:rFonts w:ascii="Times New Roman" w:hAnsi="Times New Roman"/>
      <w:b/>
      <w:caps/>
      <w:sz w:val="32"/>
    </w:rPr>
  </w:style>
  <w:style w:type="paragraph" w:customStyle="1" w:styleId="MainParanoChapter">
    <w:name w:val="Main Para no Chapter #"/>
    <w:basedOn w:val="Normal"/>
    <w:link w:val="MainParanoChapterChar"/>
    <w:rsid w:val="00A24325"/>
    <w:pPr>
      <w:numPr>
        <w:ilvl w:val="1"/>
        <w:numId w:val="11"/>
      </w:numPr>
      <w:tabs>
        <w:tab w:val="clear" w:pos="720"/>
      </w:tabs>
      <w:spacing w:after="240"/>
      <w:ind w:left="0" w:firstLine="0"/>
      <w:jc w:val="left"/>
      <w:outlineLvl w:val="1"/>
    </w:pPr>
    <w:rPr>
      <w:rFonts w:ascii="Times New Roman" w:hAnsi="Times New Roman"/>
      <w:sz w:val="24"/>
    </w:rPr>
  </w:style>
  <w:style w:type="paragraph" w:customStyle="1" w:styleId="Sub-Para1underX">
    <w:name w:val="Sub-Para 1 under X."/>
    <w:basedOn w:val="Normal"/>
    <w:rsid w:val="00A24325"/>
    <w:pPr>
      <w:numPr>
        <w:ilvl w:val="2"/>
        <w:numId w:val="11"/>
      </w:numPr>
      <w:tabs>
        <w:tab w:val="clear" w:pos="1080"/>
      </w:tabs>
      <w:spacing w:after="240"/>
      <w:ind w:left="1440" w:hanging="720"/>
      <w:jc w:val="left"/>
      <w:outlineLvl w:val="2"/>
    </w:pPr>
    <w:rPr>
      <w:rFonts w:ascii="Times New Roman" w:hAnsi="Times New Roman"/>
      <w:sz w:val="24"/>
    </w:rPr>
  </w:style>
  <w:style w:type="paragraph" w:customStyle="1" w:styleId="Sub-Para2underX">
    <w:name w:val="Sub-Para 2 under X."/>
    <w:basedOn w:val="Normal"/>
    <w:rsid w:val="00A24325"/>
    <w:pPr>
      <w:numPr>
        <w:ilvl w:val="3"/>
        <w:numId w:val="11"/>
      </w:numPr>
      <w:tabs>
        <w:tab w:val="clear" w:pos="1800"/>
      </w:tabs>
      <w:spacing w:after="240"/>
      <w:ind w:left="2160" w:hanging="720"/>
      <w:jc w:val="left"/>
      <w:outlineLvl w:val="3"/>
    </w:pPr>
    <w:rPr>
      <w:rFonts w:ascii="Times New Roman" w:hAnsi="Times New Roman"/>
      <w:sz w:val="24"/>
    </w:rPr>
  </w:style>
  <w:style w:type="paragraph" w:customStyle="1" w:styleId="Sub-Para3underX">
    <w:name w:val="Sub-Para 3 under X."/>
    <w:basedOn w:val="Normal"/>
    <w:rsid w:val="00A24325"/>
    <w:pPr>
      <w:numPr>
        <w:ilvl w:val="4"/>
        <w:numId w:val="11"/>
      </w:numPr>
      <w:tabs>
        <w:tab w:val="clear" w:pos="1440"/>
      </w:tabs>
      <w:spacing w:after="240"/>
      <w:ind w:left="2880" w:hanging="720"/>
      <w:jc w:val="left"/>
      <w:outlineLvl w:val="4"/>
    </w:pPr>
    <w:rPr>
      <w:rFonts w:ascii="Times New Roman" w:hAnsi="Times New Roman"/>
      <w:sz w:val="24"/>
    </w:rPr>
  </w:style>
  <w:style w:type="paragraph" w:customStyle="1" w:styleId="Sub-Para4underX">
    <w:name w:val="Sub-Para 4 under X."/>
    <w:basedOn w:val="Normal"/>
    <w:rsid w:val="00A24325"/>
    <w:pPr>
      <w:numPr>
        <w:ilvl w:val="5"/>
        <w:numId w:val="11"/>
      </w:numPr>
      <w:tabs>
        <w:tab w:val="clear" w:pos="2160"/>
      </w:tabs>
      <w:spacing w:after="240"/>
      <w:ind w:left="3600" w:hanging="720"/>
      <w:jc w:val="left"/>
      <w:outlineLvl w:val="5"/>
    </w:pPr>
    <w:rPr>
      <w:rFonts w:ascii="Times New Roman" w:hAnsi="Times New Roman"/>
      <w:sz w:val="24"/>
    </w:rPr>
  </w:style>
  <w:style w:type="character" w:customStyle="1" w:styleId="m1">
    <w:name w:val="m1"/>
    <w:rsid w:val="00A24325"/>
    <w:rPr>
      <w:color w:val="0000FF"/>
    </w:rPr>
  </w:style>
  <w:style w:type="character" w:customStyle="1" w:styleId="t1">
    <w:name w:val="t1"/>
    <w:rsid w:val="00A24325"/>
    <w:rPr>
      <w:color w:val="990000"/>
    </w:rPr>
  </w:style>
  <w:style w:type="character" w:customStyle="1" w:styleId="tx1">
    <w:name w:val="tx1"/>
    <w:rsid w:val="00A24325"/>
    <w:rPr>
      <w:b/>
      <w:bCs/>
    </w:rPr>
  </w:style>
  <w:style w:type="character" w:customStyle="1" w:styleId="b1">
    <w:name w:val="b1"/>
    <w:rsid w:val="00A24325"/>
    <w:rPr>
      <w:rFonts w:ascii="Courier New" w:hAnsi="Courier New" w:cs="Courier New" w:hint="default"/>
      <w:b/>
      <w:bCs/>
      <w:strike w:val="0"/>
      <w:dstrike w:val="0"/>
      <w:color w:val="FF0000"/>
      <w:u w:val="none"/>
      <w:effect w:val="none"/>
    </w:rPr>
  </w:style>
  <w:style w:type="paragraph" w:customStyle="1" w:styleId="xmsonormal">
    <w:name w:val="x_msonormal"/>
    <w:basedOn w:val="Normal"/>
    <w:rsid w:val="00A24325"/>
    <w:pPr>
      <w:spacing w:before="100" w:beforeAutospacing="1" w:after="100" w:afterAutospacing="1"/>
      <w:jc w:val="left"/>
    </w:pPr>
    <w:rPr>
      <w:rFonts w:ascii="Times New Roman" w:hAnsi="Times New Roman"/>
      <w:sz w:val="24"/>
    </w:rPr>
  </w:style>
  <w:style w:type="numbering" w:customStyle="1" w:styleId="NoList4">
    <w:name w:val="No List4"/>
    <w:next w:val="NoList"/>
    <w:uiPriority w:val="99"/>
    <w:semiHidden/>
    <w:unhideWhenUsed/>
    <w:rsid w:val="00A24325"/>
  </w:style>
  <w:style w:type="paragraph" w:customStyle="1" w:styleId="Style1">
    <w:name w:val="Style1"/>
    <w:basedOn w:val="Normal"/>
    <w:rsid w:val="00A24325"/>
    <w:rPr>
      <w:rFonts w:ascii="Arial" w:hAnsi="Arial" w:cs="Arial"/>
      <w:sz w:val="24"/>
    </w:rPr>
  </w:style>
  <w:style w:type="paragraph" w:customStyle="1" w:styleId="TableText">
    <w:name w:val="Table Text"/>
    <w:basedOn w:val="Normal"/>
    <w:link w:val="TableTextChar"/>
    <w:rsid w:val="00A24325"/>
    <w:pPr>
      <w:spacing w:line="280" w:lineRule="atLeast"/>
      <w:jc w:val="left"/>
    </w:pPr>
    <w:rPr>
      <w:rFonts w:ascii="Arial" w:hAnsi="Arial"/>
      <w:sz w:val="16"/>
      <w:lang w:val="en-GB"/>
    </w:rPr>
  </w:style>
  <w:style w:type="character" w:customStyle="1" w:styleId="Bodytext0">
    <w:name w:val="Body text_"/>
    <w:basedOn w:val="DefaultParagraphFont"/>
    <w:link w:val="BodyText7"/>
    <w:rsid w:val="00A24325"/>
    <w:rPr>
      <w:sz w:val="23"/>
      <w:szCs w:val="23"/>
      <w:shd w:val="clear" w:color="auto" w:fill="FFFFFF"/>
    </w:rPr>
  </w:style>
  <w:style w:type="paragraph" w:customStyle="1" w:styleId="BodyText7">
    <w:name w:val="Body Text7"/>
    <w:basedOn w:val="Normal"/>
    <w:link w:val="Bodytext0"/>
    <w:rsid w:val="00A24325"/>
    <w:pPr>
      <w:widowControl w:val="0"/>
      <w:shd w:val="clear" w:color="auto" w:fill="FFFFFF"/>
      <w:spacing w:after="240" w:line="254" w:lineRule="exact"/>
      <w:ind w:hanging="420"/>
      <w:jc w:val="center"/>
    </w:pPr>
    <w:rPr>
      <w:rFonts w:eastAsiaTheme="minorHAnsi" w:cstheme="minorBidi"/>
      <w:sz w:val="23"/>
      <w:szCs w:val="23"/>
      <w:lang w:val="en-GB"/>
    </w:rPr>
  </w:style>
  <w:style w:type="paragraph" w:customStyle="1" w:styleId="TItreProgramme">
    <w:name w:val="TItre Programme"/>
    <w:basedOn w:val="Normal"/>
    <w:rsid w:val="00A24325"/>
    <w:pPr>
      <w:jc w:val="left"/>
    </w:pPr>
    <w:rPr>
      <w:rFonts w:ascii="Helvetica" w:hAnsi="Helvetica"/>
      <w:b/>
      <w:sz w:val="30"/>
      <w:lang w:eastAsia="fr-FR"/>
    </w:rPr>
  </w:style>
  <w:style w:type="paragraph" w:customStyle="1" w:styleId="TItrecover">
    <w:name w:val="TItre cover"/>
    <w:basedOn w:val="Normal"/>
    <w:rsid w:val="00A24325"/>
    <w:pPr>
      <w:jc w:val="left"/>
    </w:pPr>
    <w:rPr>
      <w:rFonts w:ascii="Helvetica" w:hAnsi="Helvetica"/>
      <w:b/>
      <w:color w:val="FFFFFF"/>
      <w:sz w:val="60"/>
      <w:lang w:eastAsia="fr-FR"/>
    </w:rPr>
  </w:style>
  <w:style w:type="paragraph" w:customStyle="1" w:styleId="TEXTELOGO">
    <w:name w:val="TEXTE LOGO"/>
    <w:basedOn w:val="Normal"/>
    <w:rsid w:val="00A24325"/>
    <w:pPr>
      <w:spacing w:line="360" w:lineRule="auto"/>
      <w:jc w:val="left"/>
    </w:pPr>
    <w:rPr>
      <w:rFonts w:ascii="Helvetica" w:hAnsi="Helvetica"/>
      <w:color w:val="FFFFFF"/>
      <w:sz w:val="24"/>
      <w:lang w:eastAsia="fr-FR"/>
    </w:rPr>
  </w:style>
  <w:style w:type="character" w:customStyle="1" w:styleId="NoSpacingChar">
    <w:name w:val="No Spacing Char"/>
    <w:basedOn w:val="DefaultParagraphFont"/>
    <w:link w:val="NoSpacing"/>
    <w:uiPriority w:val="1"/>
    <w:rsid w:val="00A24325"/>
    <w:rPr>
      <w:rFonts w:eastAsiaTheme="minorEastAsia"/>
      <w:lang w:val="en-US"/>
    </w:rPr>
  </w:style>
  <w:style w:type="table" w:customStyle="1" w:styleId="Tablaconcuadrcula1">
    <w:name w:val="Tabla con cuadrícula1"/>
    <w:basedOn w:val="TableNormal"/>
    <w:next w:val="TableGrid"/>
    <w:uiPriority w:val="59"/>
    <w:rsid w:val="00A2432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A2432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NoList"/>
    <w:uiPriority w:val="99"/>
    <w:semiHidden/>
    <w:unhideWhenUsed/>
    <w:rsid w:val="00A24325"/>
  </w:style>
  <w:style w:type="table" w:customStyle="1" w:styleId="Tablaconcuadrcula3">
    <w:name w:val="Tabla con cuadrícula3"/>
    <w:basedOn w:val="TableNormal"/>
    <w:next w:val="TableGrid"/>
    <w:uiPriority w:val="59"/>
    <w:rsid w:val="00A24325"/>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59"/>
    <w:rsid w:val="00A24325"/>
    <w:pPr>
      <w:spacing w:after="0" w:line="240" w:lineRule="auto"/>
    </w:pPr>
    <w:rPr>
      <w:rFonts w:ascii="Cambria" w:eastAsia="MS Mincho" w:hAnsi="Cambria" w:cs="Times New Roman"/>
      <w:sz w:val="24"/>
      <w:szCs w:val="24"/>
      <w:lang w:val="es-CO"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A24325"/>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DefaultParagraphFont"/>
    <w:uiPriority w:val="99"/>
    <w:unhideWhenUsed/>
    <w:rsid w:val="00A24325"/>
    <w:rPr>
      <w:color w:val="0563C1"/>
      <w:u w:val="single"/>
    </w:rPr>
  </w:style>
  <w:style w:type="paragraph" w:customStyle="1" w:styleId="Sinespaciado1">
    <w:name w:val="Sin espaciado1"/>
    <w:next w:val="NoSpacing"/>
    <w:link w:val="SinespaciadoCar"/>
    <w:uiPriority w:val="1"/>
    <w:qFormat/>
    <w:rsid w:val="00A24325"/>
    <w:pPr>
      <w:spacing w:after="0" w:line="240" w:lineRule="auto"/>
    </w:pPr>
    <w:rPr>
      <w:lang w:val="es-PE"/>
    </w:rPr>
  </w:style>
  <w:style w:type="paragraph" w:customStyle="1" w:styleId="NormalWeb1">
    <w:name w:val="Normal (Web)1"/>
    <w:basedOn w:val="Normal"/>
    <w:next w:val="NormalWeb"/>
    <w:uiPriority w:val="99"/>
    <w:unhideWhenUsed/>
    <w:rsid w:val="00A24325"/>
    <w:pPr>
      <w:spacing w:before="100" w:beforeAutospacing="1" w:after="100" w:afterAutospacing="1"/>
      <w:jc w:val="left"/>
    </w:pPr>
    <w:rPr>
      <w:rFonts w:ascii="Times" w:eastAsiaTheme="minorHAnsi" w:hAnsi="Times"/>
      <w:sz w:val="20"/>
      <w:szCs w:val="20"/>
      <w:lang w:val="es-CO" w:eastAsia="es-ES"/>
    </w:rPr>
  </w:style>
  <w:style w:type="character" w:customStyle="1" w:styleId="SinespaciadoCar">
    <w:name w:val="Sin espaciado Car"/>
    <w:basedOn w:val="DefaultParagraphFont"/>
    <w:link w:val="Sinespaciado1"/>
    <w:uiPriority w:val="1"/>
    <w:rsid w:val="00A24325"/>
    <w:rPr>
      <w:lang w:val="es-PE"/>
    </w:rPr>
  </w:style>
  <w:style w:type="paragraph" w:customStyle="1" w:styleId="Textoindependiente31">
    <w:name w:val="Texto independiente 31"/>
    <w:basedOn w:val="Normal"/>
    <w:next w:val="BodyText3"/>
    <w:link w:val="Textoindependiente3Car"/>
    <w:uiPriority w:val="99"/>
    <w:rsid w:val="00A24325"/>
    <w:rPr>
      <w:rFonts w:ascii="Calibri" w:eastAsia="PMingLiU" w:hAnsi="Calibri" w:cstheme="minorBidi"/>
    </w:rPr>
  </w:style>
  <w:style w:type="character" w:customStyle="1" w:styleId="Textoindependiente3Car">
    <w:name w:val="Texto independiente 3 Car"/>
    <w:basedOn w:val="DefaultParagraphFont"/>
    <w:link w:val="Textoindependiente31"/>
    <w:uiPriority w:val="99"/>
    <w:rsid w:val="00A24325"/>
    <w:rPr>
      <w:rFonts w:ascii="Calibri" w:eastAsia="PMingLiU" w:hAnsi="Calibri"/>
      <w:szCs w:val="24"/>
      <w:lang w:val="en-US"/>
    </w:rPr>
  </w:style>
  <w:style w:type="numbering" w:customStyle="1" w:styleId="Sinlista11">
    <w:name w:val="Sin lista11"/>
    <w:next w:val="NoList"/>
    <w:uiPriority w:val="99"/>
    <w:semiHidden/>
    <w:unhideWhenUsed/>
    <w:rsid w:val="00A24325"/>
  </w:style>
  <w:style w:type="paragraph" w:styleId="ListContinue3">
    <w:name w:val="List Continue 3"/>
    <w:basedOn w:val="Normal"/>
    <w:rsid w:val="00A24325"/>
    <w:pPr>
      <w:spacing w:after="120"/>
      <w:ind w:left="849"/>
    </w:pPr>
    <w:rPr>
      <w:rFonts w:ascii="Times New Roman" w:hAnsi="Times New Roman"/>
      <w:sz w:val="24"/>
      <w:lang w:val="es-ES" w:eastAsia="es-ES"/>
    </w:rPr>
  </w:style>
  <w:style w:type="paragraph" w:customStyle="1" w:styleId="font0">
    <w:name w:val="font0"/>
    <w:basedOn w:val="Normal"/>
    <w:rsid w:val="00A24325"/>
    <w:pPr>
      <w:spacing w:before="100" w:beforeAutospacing="1" w:after="100" w:afterAutospacing="1"/>
      <w:jc w:val="left"/>
    </w:pPr>
    <w:rPr>
      <w:rFonts w:ascii="Arial" w:hAnsi="Arial" w:cs="Arial"/>
      <w:sz w:val="20"/>
      <w:szCs w:val="20"/>
      <w:lang w:val="en-ID" w:eastAsia="en-ID"/>
    </w:rPr>
  </w:style>
  <w:style w:type="paragraph" w:customStyle="1" w:styleId="xl129">
    <w:name w:val="xl129"/>
    <w:basedOn w:val="Normal"/>
    <w:rsid w:val="00A24325"/>
    <w:pPr>
      <w:spacing w:before="100" w:beforeAutospacing="1" w:after="100" w:afterAutospacing="1"/>
      <w:jc w:val="left"/>
    </w:pPr>
    <w:rPr>
      <w:rFonts w:ascii="Arial" w:hAnsi="Arial" w:cs="Arial"/>
      <w:sz w:val="24"/>
      <w:lang w:val="en-ID" w:eastAsia="en-ID"/>
    </w:rPr>
  </w:style>
  <w:style w:type="paragraph" w:customStyle="1" w:styleId="xl130">
    <w:name w:val="xl130"/>
    <w:basedOn w:val="Normal"/>
    <w:rsid w:val="00A24325"/>
    <w:pPr>
      <w:spacing w:before="100" w:beforeAutospacing="1" w:after="100" w:afterAutospacing="1"/>
      <w:jc w:val="left"/>
    </w:pPr>
    <w:rPr>
      <w:rFonts w:ascii="Times New Roman" w:hAnsi="Times New Roman"/>
      <w:sz w:val="24"/>
      <w:lang w:val="en-ID" w:eastAsia="en-ID"/>
    </w:rPr>
  </w:style>
  <w:style w:type="paragraph" w:customStyle="1" w:styleId="xl131">
    <w:name w:val="xl131"/>
    <w:basedOn w:val="Normal"/>
    <w:rsid w:val="00A24325"/>
    <w:pPr>
      <w:spacing w:before="100" w:beforeAutospacing="1" w:after="100" w:afterAutospacing="1"/>
      <w:jc w:val="left"/>
    </w:pPr>
    <w:rPr>
      <w:rFonts w:ascii="Arial" w:hAnsi="Arial" w:cs="Arial"/>
      <w:sz w:val="24"/>
      <w:lang w:val="en-ID" w:eastAsia="en-ID"/>
    </w:rPr>
  </w:style>
  <w:style w:type="paragraph" w:customStyle="1" w:styleId="xl132">
    <w:name w:val="xl132"/>
    <w:basedOn w:val="Normal"/>
    <w:rsid w:val="00A24325"/>
    <w:pPr>
      <w:spacing w:before="100" w:beforeAutospacing="1" w:after="100" w:afterAutospacing="1"/>
      <w:jc w:val="left"/>
    </w:pPr>
    <w:rPr>
      <w:rFonts w:ascii="Times New Roman" w:hAnsi="Times New Roman"/>
      <w:sz w:val="24"/>
      <w:lang w:val="en-ID" w:eastAsia="en-ID"/>
    </w:rPr>
  </w:style>
  <w:style w:type="paragraph" w:customStyle="1" w:styleId="xl133">
    <w:name w:val="xl133"/>
    <w:basedOn w:val="Normal"/>
    <w:rsid w:val="00A24325"/>
    <w:pPr>
      <w:pBdr>
        <w:top w:val="single" w:sz="4" w:space="0" w:color="auto"/>
        <w:left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34">
    <w:name w:val="xl134"/>
    <w:basedOn w:val="Normal"/>
    <w:rsid w:val="00A24325"/>
    <w:pPr>
      <w:pBdr>
        <w:top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35">
    <w:name w:val="xl135"/>
    <w:basedOn w:val="Normal"/>
    <w:rsid w:val="00A24325"/>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36">
    <w:name w:val="xl136"/>
    <w:basedOn w:val="Normal"/>
    <w:rsid w:val="00A24325"/>
    <w:pPr>
      <w:pBdr>
        <w:left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37">
    <w:name w:val="xl137"/>
    <w:basedOn w:val="Normal"/>
    <w:rsid w:val="00A24325"/>
    <w:pPr>
      <w:spacing w:before="100" w:beforeAutospacing="1" w:after="100" w:afterAutospacing="1"/>
      <w:jc w:val="center"/>
      <w:textAlignment w:val="center"/>
    </w:pPr>
    <w:rPr>
      <w:rFonts w:ascii="Times New Roman" w:hAnsi="Times New Roman"/>
      <w:sz w:val="24"/>
      <w:lang w:val="en-ID" w:eastAsia="en-ID"/>
    </w:rPr>
  </w:style>
  <w:style w:type="paragraph" w:customStyle="1" w:styleId="xl138">
    <w:name w:val="xl138"/>
    <w:basedOn w:val="Normal"/>
    <w:rsid w:val="00A24325"/>
    <w:pPr>
      <w:pBdr>
        <w:right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39">
    <w:name w:val="xl139"/>
    <w:basedOn w:val="Normal"/>
    <w:rsid w:val="00A24325"/>
    <w:pPr>
      <w:pBdr>
        <w:bottom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40">
    <w:name w:val="xl140"/>
    <w:basedOn w:val="Normal"/>
    <w:rsid w:val="00A24325"/>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xl141">
    <w:name w:val="xl141"/>
    <w:basedOn w:val="Normal"/>
    <w:rsid w:val="00A24325"/>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24"/>
      <w:lang w:val="en-ID" w:eastAsia="en-ID"/>
    </w:rPr>
  </w:style>
  <w:style w:type="paragraph" w:customStyle="1" w:styleId="Naslov2">
    <w:name w:val="Naslov 2"/>
    <w:basedOn w:val="ListParagraph"/>
    <w:link w:val="Naslov2Char"/>
    <w:qFormat/>
    <w:rsid w:val="00A24325"/>
    <w:pPr>
      <w:numPr>
        <w:ilvl w:val="1"/>
        <w:numId w:val="12"/>
      </w:numPr>
      <w:spacing w:after="160" w:line="259" w:lineRule="auto"/>
      <w:jc w:val="left"/>
    </w:pPr>
    <w:rPr>
      <w:rFonts w:eastAsiaTheme="minorHAnsi" w:cstheme="minorBidi"/>
      <w:color w:val="26456B"/>
      <w:sz w:val="28"/>
      <w:szCs w:val="22"/>
    </w:rPr>
  </w:style>
  <w:style w:type="character" w:customStyle="1" w:styleId="Naslov2Char">
    <w:name w:val="Naslov 2 Char"/>
    <w:basedOn w:val="DefaultParagraphFont"/>
    <w:link w:val="Naslov2"/>
    <w:rsid w:val="00A24325"/>
    <w:rPr>
      <w:color w:val="26456B"/>
      <w:sz w:val="28"/>
      <w:lang w:val="en-US"/>
    </w:rPr>
  </w:style>
  <w:style w:type="paragraph" w:customStyle="1" w:styleId="IEQSources-notes">
    <w:name w:val="IEQ Sources-notes"/>
    <w:basedOn w:val="BodyText"/>
    <w:link w:val="IEQSources-notesChar"/>
    <w:qFormat/>
    <w:rsid w:val="00A24325"/>
  </w:style>
  <w:style w:type="character" w:customStyle="1" w:styleId="IEQSources-notesChar">
    <w:name w:val="IEQ Sources-notes Char"/>
    <w:basedOn w:val="BodyTextChar"/>
    <w:link w:val="IEQSources-notes"/>
    <w:locked/>
    <w:rsid w:val="00A24325"/>
    <w:rPr>
      <w:rFonts w:eastAsia="Times New Roman" w:cs="Times New Roman"/>
      <w:sz w:val="20"/>
      <w:szCs w:val="24"/>
      <w:lang w:val="en-US"/>
    </w:rPr>
  </w:style>
  <w:style w:type="paragraph" w:customStyle="1" w:styleId="IEQ-chart-subcaption">
    <w:name w:val="IEQ-chart-sub caption"/>
    <w:basedOn w:val="BodyText"/>
    <w:uiPriority w:val="99"/>
    <w:qFormat/>
    <w:rsid w:val="00A24325"/>
  </w:style>
  <w:style w:type="paragraph" w:customStyle="1" w:styleId="chartandtablecaption9ptBefore0ptAfter0pt">
    <w:name w:val="chart and table caption + 9 pt + Before:  0 pt After:  0 pt"/>
    <w:basedOn w:val="Normal"/>
    <w:uiPriority w:val="99"/>
    <w:qFormat/>
    <w:rsid w:val="00A24325"/>
    <w:pPr>
      <w:keepNext/>
      <w:jc w:val="left"/>
    </w:pPr>
    <w:rPr>
      <w:rFonts w:ascii="Garamond" w:hAnsi="Garamond"/>
      <w:b/>
      <w:color w:val="0C4DA2"/>
      <w:sz w:val="20"/>
      <w:szCs w:val="20"/>
    </w:rPr>
  </w:style>
  <w:style w:type="paragraph" w:customStyle="1" w:styleId="quarterly-chart-notes">
    <w:name w:val="quarterly-chart-notes"/>
    <w:basedOn w:val="BodyText"/>
    <w:link w:val="quarterly-chart-notesCharChar"/>
    <w:rsid w:val="00A24325"/>
  </w:style>
  <w:style w:type="character" w:customStyle="1" w:styleId="quarterly-chart-notesCharChar">
    <w:name w:val="quarterly-chart-notes Char Char"/>
    <w:basedOn w:val="BodyTextChar"/>
    <w:link w:val="quarterly-chart-notes"/>
    <w:locked/>
    <w:rsid w:val="00A24325"/>
    <w:rPr>
      <w:rFonts w:eastAsia="Times New Roman" w:cs="Times New Roman"/>
      <w:sz w:val="20"/>
      <w:szCs w:val="24"/>
      <w:lang w:val="en-US"/>
    </w:rPr>
  </w:style>
  <w:style w:type="paragraph" w:customStyle="1" w:styleId="subcaptionchart-table">
    <w:name w:val="sub caption chart-table"/>
    <w:basedOn w:val="Caption"/>
    <w:uiPriority w:val="99"/>
    <w:qFormat/>
    <w:rsid w:val="00A24325"/>
    <w:pPr>
      <w:keepNext/>
      <w:keepLines/>
      <w:spacing w:after="0" w:line="240" w:lineRule="auto"/>
      <w:jc w:val="left"/>
    </w:pPr>
    <w:rPr>
      <w:rFonts w:ascii="Garamond" w:eastAsia="Times New Roman" w:hAnsi="Garamond" w:cs="Arial"/>
      <w:b w:val="0"/>
      <w:i/>
      <w:iCs/>
      <w:color w:val="000000" w:themeColor="text1"/>
      <w:szCs w:val="20"/>
    </w:rPr>
  </w:style>
  <w:style w:type="character" w:customStyle="1" w:styleId="Mention1">
    <w:name w:val="Mention1"/>
    <w:basedOn w:val="DefaultParagraphFont"/>
    <w:uiPriority w:val="99"/>
    <w:semiHidden/>
    <w:unhideWhenUsed/>
    <w:rsid w:val="00A24325"/>
    <w:rPr>
      <w:color w:val="2B579A"/>
      <w:shd w:val="clear" w:color="auto" w:fill="E6E6E6"/>
    </w:rPr>
  </w:style>
  <w:style w:type="paragraph" w:customStyle="1" w:styleId="PEFATable">
    <w:name w:val="PEFA Table"/>
    <w:basedOn w:val="Caption"/>
    <w:uiPriority w:val="99"/>
    <w:qFormat/>
    <w:rsid w:val="00A24325"/>
    <w:pPr>
      <w:spacing w:line="240" w:lineRule="auto"/>
    </w:pPr>
    <w:rPr>
      <w:rFonts w:ascii="Times New Roman" w:eastAsia="Times New Roman" w:hAnsi="Times New Roman"/>
      <w:color w:val="4F81BD" w:themeColor="accent1"/>
      <w:sz w:val="22"/>
      <w:szCs w:val="22"/>
    </w:rPr>
  </w:style>
  <w:style w:type="character" w:customStyle="1" w:styleId="Mention2">
    <w:name w:val="Mention2"/>
    <w:basedOn w:val="DefaultParagraphFont"/>
    <w:uiPriority w:val="99"/>
    <w:semiHidden/>
    <w:unhideWhenUsed/>
    <w:rsid w:val="00A24325"/>
    <w:rPr>
      <w:color w:val="2B579A"/>
      <w:shd w:val="clear" w:color="auto" w:fill="E6E6E6"/>
    </w:rPr>
  </w:style>
  <w:style w:type="character" w:customStyle="1" w:styleId="font121">
    <w:name w:val="font121"/>
    <w:basedOn w:val="DefaultParagraphFont"/>
    <w:rsid w:val="00A24325"/>
    <w:rPr>
      <w:rFonts w:ascii="Calibri" w:hAnsi="Calibri" w:cs="Calibri" w:hint="default"/>
      <w:b w:val="0"/>
      <w:bCs w:val="0"/>
      <w:i/>
      <w:iCs/>
      <w:strike w:val="0"/>
      <w:dstrike w:val="0"/>
      <w:color w:val="FF0000"/>
      <w:sz w:val="22"/>
      <w:szCs w:val="22"/>
      <w:u w:val="none"/>
      <w:effect w:val="none"/>
    </w:rPr>
  </w:style>
  <w:style w:type="character" w:customStyle="1" w:styleId="font01">
    <w:name w:val="font01"/>
    <w:basedOn w:val="DefaultParagraphFont"/>
    <w:rsid w:val="00A24325"/>
    <w:rPr>
      <w:rFonts w:ascii="Calibri" w:hAnsi="Calibri" w:cs="Calibri" w:hint="default"/>
      <w:b w:val="0"/>
      <w:bCs w:val="0"/>
      <w:i w:val="0"/>
      <w:iCs w:val="0"/>
      <w:strike w:val="0"/>
      <w:dstrike w:val="0"/>
      <w:color w:val="000000"/>
      <w:sz w:val="22"/>
      <w:szCs w:val="22"/>
      <w:u w:val="none"/>
      <w:effect w:val="none"/>
    </w:rPr>
  </w:style>
  <w:style w:type="character" w:customStyle="1" w:styleId="font151">
    <w:name w:val="font151"/>
    <w:basedOn w:val="DefaultParagraphFont"/>
    <w:rsid w:val="00A24325"/>
    <w:rPr>
      <w:rFonts w:ascii="Calibri" w:hAnsi="Calibri" w:cs="Calibri" w:hint="default"/>
      <w:b w:val="0"/>
      <w:bCs w:val="0"/>
      <w:i/>
      <w:iCs/>
      <w:strike w:val="0"/>
      <w:dstrike w:val="0"/>
      <w:color w:val="0000FF"/>
      <w:sz w:val="22"/>
      <w:szCs w:val="22"/>
      <w:u w:val="none"/>
      <w:effect w:val="none"/>
    </w:rPr>
  </w:style>
  <w:style w:type="character" w:customStyle="1" w:styleId="font81">
    <w:name w:val="font81"/>
    <w:basedOn w:val="DefaultParagraphFont"/>
    <w:rsid w:val="00A24325"/>
    <w:rPr>
      <w:rFonts w:ascii="Calibri" w:hAnsi="Calibri" w:cs="Calibri" w:hint="default"/>
      <w:b/>
      <w:bCs/>
      <w:i w:val="0"/>
      <w:iCs w:val="0"/>
      <w:strike w:val="0"/>
      <w:dstrike w:val="0"/>
      <w:color w:val="FF0000"/>
      <w:sz w:val="22"/>
      <w:szCs w:val="22"/>
      <w:u w:val="none"/>
      <w:effect w:val="none"/>
    </w:rPr>
  </w:style>
  <w:style w:type="character" w:customStyle="1" w:styleId="font131">
    <w:name w:val="font131"/>
    <w:basedOn w:val="DefaultParagraphFont"/>
    <w:rsid w:val="00A24325"/>
    <w:rPr>
      <w:rFonts w:ascii="Calibri" w:hAnsi="Calibri" w:cs="Calibri" w:hint="default"/>
      <w:b/>
      <w:bCs/>
      <w:i w:val="0"/>
      <w:iCs w:val="0"/>
      <w:strike w:val="0"/>
      <w:dstrike w:val="0"/>
      <w:color w:val="auto"/>
      <w:sz w:val="22"/>
      <w:szCs w:val="22"/>
      <w:u w:val="none"/>
      <w:effect w:val="none"/>
    </w:rPr>
  </w:style>
  <w:style w:type="character" w:customStyle="1" w:styleId="font141">
    <w:name w:val="font141"/>
    <w:basedOn w:val="DefaultParagraphFont"/>
    <w:rsid w:val="00A24325"/>
    <w:rPr>
      <w:rFonts w:ascii="Calibri" w:hAnsi="Calibri" w:cs="Calibri" w:hint="default"/>
      <w:b/>
      <w:bCs/>
      <w:i w:val="0"/>
      <w:iCs w:val="0"/>
      <w:strike w:val="0"/>
      <w:dstrike w:val="0"/>
      <w:color w:val="0000FF"/>
      <w:sz w:val="22"/>
      <w:szCs w:val="22"/>
      <w:u w:val="none"/>
      <w:effect w:val="none"/>
    </w:rPr>
  </w:style>
  <w:style w:type="character" w:customStyle="1" w:styleId="aqj">
    <w:name w:val="aqj"/>
    <w:basedOn w:val="DefaultParagraphFont"/>
    <w:rsid w:val="00A24325"/>
  </w:style>
  <w:style w:type="character" w:customStyle="1" w:styleId="UnresolvedMention2">
    <w:name w:val="Unresolved Mention2"/>
    <w:basedOn w:val="DefaultParagraphFont"/>
    <w:uiPriority w:val="99"/>
    <w:semiHidden/>
    <w:unhideWhenUsed/>
    <w:rsid w:val="00A24325"/>
    <w:rPr>
      <w:color w:val="808080"/>
      <w:shd w:val="clear" w:color="auto" w:fill="E6E6E6"/>
    </w:rPr>
  </w:style>
  <w:style w:type="paragraph" w:customStyle="1" w:styleId="m-2891361314816118229msolistparagraph">
    <w:name w:val="m_-2891361314816118229msolistparagraph"/>
    <w:basedOn w:val="Normal"/>
    <w:rsid w:val="00A24325"/>
    <w:pPr>
      <w:spacing w:before="100" w:beforeAutospacing="1" w:after="100" w:afterAutospacing="1"/>
      <w:jc w:val="left"/>
    </w:pPr>
    <w:rPr>
      <w:rFonts w:ascii="Times New Roman" w:hAnsi="Times New Roman"/>
      <w:sz w:val="24"/>
      <w:lang w:val="en-ID" w:eastAsia="en-ID"/>
    </w:rPr>
  </w:style>
  <w:style w:type="character" w:customStyle="1" w:styleId="font201">
    <w:name w:val="font201"/>
    <w:basedOn w:val="DefaultParagraphFont"/>
    <w:rsid w:val="00A24325"/>
    <w:rPr>
      <w:rFonts w:ascii="Calibri" w:hAnsi="Calibri" w:cs="Calibri" w:hint="default"/>
      <w:b w:val="0"/>
      <w:bCs w:val="0"/>
      <w:i/>
      <w:iCs/>
      <w:strike w:val="0"/>
      <w:dstrike w:val="0"/>
      <w:color w:val="auto"/>
      <w:sz w:val="22"/>
      <w:szCs w:val="22"/>
      <w:u w:val="none"/>
      <w:effect w:val="none"/>
    </w:rPr>
  </w:style>
  <w:style w:type="character" w:customStyle="1" w:styleId="font191">
    <w:name w:val="font191"/>
    <w:basedOn w:val="DefaultParagraphFont"/>
    <w:rsid w:val="00A24325"/>
    <w:rPr>
      <w:rFonts w:ascii="Calibri" w:hAnsi="Calibri" w:cs="Calibri" w:hint="default"/>
      <w:b w:val="0"/>
      <w:bCs w:val="0"/>
      <w:i w:val="0"/>
      <w:iCs w:val="0"/>
      <w:strike w:val="0"/>
      <w:dstrike w:val="0"/>
      <w:color w:val="auto"/>
      <w:sz w:val="22"/>
      <w:szCs w:val="22"/>
      <w:u w:val="none"/>
      <w:effect w:val="none"/>
    </w:rPr>
  </w:style>
  <w:style w:type="character" w:customStyle="1" w:styleId="Mention3">
    <w:name w:val="Mention3"/>
    <w:basedOn w:val="DefaultParagraphFont"/>
    <w:uiPriority w:val="99"/>
    <w:semiHidden/>
    <w:unhideWhenUsed/>
    <w:rsid w:val="00A24325"/>
    <w:rPr>
      <w:color w:val="2B579A"/>
      <w:shd w:val="clear" w:color="auto" w:fill="E6E6E6"/>
    </w:rPr>
  </w:style>
  <w:style w:type="numbering" w:customStyle="1" w:styleId="NoList5">
    <w:name w:val="No List5"/>
    <w:next w:val="NoList"/>
    <w:uiPriority w:val="99"/>
    <w:semiHidden/>
    <w:unhideWhenUsed/>
    <w:rsid w:val="00A24325"/>
  </w:style>
  <w:style w:type="table" w:customStyle="1" w:styleId="TabelEcorys3">
    <w:name w:val="TabelEcorys3"/>
    <w:basedOn w:val="TableNormal"/>
    <w:next w:val="TableGrid"/>
    <w:uiPriority w:val="39"/>
    <w:rsid w:val="00A243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243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24325"/>
  </w:style>
  <w:style w:type="numbering" w:customStyle="1" w:styleId="NoList21">
    <w:name w:val="No List21"/>
    <w:next w:val="NoList"/>
    <w:uiPriority w:val="99"/>
    <w:semiHidden/>
    <w:unhideWhenUsed/>
    <w:rsid w:val="00A24325"/>
  </w:style>
  <w:style w:type="numbering" w:customStyle="1" w:styleId="NoList31">
    <w:name w:val="No List31"/>
    <w:next w:val="NoList"/>
    <w:uiPriority w:val="99"/>
    <w:semiHidden/>
    <w:unhideWhenUsed/>
    <w:rsid w:val="00A24325"/>
  </w:style>
  <w:style w:type="table" w:customStyle="1" w:styleId="TableGrid111">
    <w:name w:val="Table Grid111"/>
    <w:basedOn w:val="TableNormal"/>
    <w:next w:val="TableGrid"/>
    <w:uiPriority w:val="59"/>
    <w:rsid w:val="00A2432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24325"/>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24325"/>
  </w:style>
  <w:style w:type="numbering" w:customStyle="1" w:styleId="Sinlista12">
    <w:name w:val="Sin lista12"/>
    <w:next w:val="NoList"/>
    <w:uiPriority w:val="99"/>
    <w:semiHidden/>
    <w:unhideWhenUsed/>
    <w:rsid w:val="00A24325"/>
  </w:style>
  <w:style w:type="numbering" w:customStyle="1" w:styleId="Sinlista111">
    <w:name w:val="Sin lista111"/>
    <w:next w:val="NoList"/>
    <w:uiPriority w:val="99"/>
    <w:semiHidden/>
    <w:unhideWhenUsed/>
    <w:rsid w:val="00A24325"/>
  </w:style>
  <w:style w:type="character" w:customStyle="1" w:styleId="Mention31">
    <w:name w:val="Mention31"/>
    <w:basedOn w:val="DefaultParagraphFont"/>
    <w:uiPriority w:val="99"/>
    <w:semiHidden/>
    <w:unhideWhenUsed/>
    <w:rsid w:val="00A24325"/>
    <w:rPr>
      <w:color w:val="2B579A"/>
      <w:shd w:val="clear" w:color="auto" w:fill="E6E6E6"/>
    </w:rPr>
  </w:style>
  <w:style w:type="table" w:customStyle="1" w:styleId="TabelEcorys31">
    <w:name w:val="TabelEcorys31"/>
    <w:basedOn w:val="TableNormal"/>
    <w:next w:val="TableGrid"/>
    <w:uiPriority w:val="39"/>
    <w:rsid w:val="00A243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24325"/>
  </w:style>
  <w:style w:type="paragraph" w:customStyle="1" w:styleId="aanhef">
    <w:name w:val="aanhef"/>
    <w:basedOn w:val="DefaultText"/>
    <w:rsid w:val="00A24325"/>
  </w:style>
  <w:style w:type="paragraph" w:customStyle="1" w:styleId="aboutecorys">
    <w:name w:val="aboutecorys"/>
    <w:basedOn w:val="DefaultText"/>
    <w:next w:val="DefaultText"/>
    <w:rsid w:val="00A24325"/>
  </w:style>
  <w:style w:type="paragraph" w:customStyle="1" w:styleId="adres">
    <w:name w:val="adres"/>
    <w:basedOn w:val="DefaultText"/>
    <w:rsid w:val="00A24325"/>
  </w:style>
  <w:style w:type="paragraph" w:customStyle="1" w:styleId="afzendgegevens">
    <w:name w:val="afzendgegevens"/>
    <w:basedOn w:val="DefaultText"/>
    <w:rsid w:val="00A24325"/>
  </w:style>
  <w:style w:type="paragraph" w:customStyle="1" w:styleId="afzendgegevensachter">
    <w:name w:val="afzendgegevensachter"/>
    <w:basedOn w:val="DefaultText"/>
    <w:uiPriority w:val="99"/>
    <w:rsid w:val="00A24325"/>
  </w:style>
  <w:style w:type="paragraph" w:customStyle="1" w:styleId="afzendgegevensachter-vet">
    <w:name w:val="afzendgegevensachter-vet"/>
    <w:basedOn w:val="afzendgegevensachter"/>
    <w:uiPriority w:val="99"/>
    <w:rsid w:val="00A24325"/>
  </w:style>
  <w:style w:type="paragraph" w:customStyle="1" w:styleId="bronvermelding">
    <w:name w:val="bronvermelding"/>
    <w:basedOn w:val="DefaultText"/>
    <w:next w:val="DefaultText"/>
    <w:rsid w:val="00A24325"/>
  </w:style>
  <w:style w:type="paragraph" w:customStyle="1" w:styleId="DefaultTextBold">
    <w:name w:val="Default Text Bold"/>
    <w:basedOn w:val="DefaultText"/>
    <w:next w:val="DefaultText"/>
    <w:uiPriority w:val="99"/>
    <w:qFormat/>
    <w:rsid w:val="00A24325"/>
  </w:style>
  <w:style w:type="paragraph" w:customStyle="1" w:styleId="groetregel">
    <w:name w:val="groetregel"/>
    <w:basedOn w:val="DefaultText"/>
    <w:rsid w:val="00A24325"/>
  </w:style>
  <w:style w:type="paragraph" w:customStyle="1" w:styleId="heading-blue-1">
    <w:name w:val="heading-blue-1"/>
    <w:basedOn w:val="DefaultText"/>
    <w:next w:val="DefaultText"/>
    <w:rsid w:val="00A24325"/>
  </w:style>
  <w:style w:type="paragraph" w:customStyle="1" w:styleId="heading-blue-2">
    <w:name w:val="heading-blue-2"/>
    <w:basedOn w:val="DefaultText"/>
    <w:next w:val="DefaultText"/>
    <w:rsid w:val="00A24325"/>
  </w:style>
  <w:style w:type="paragraph" w:customStyle="1" w:styleId="heading-blue-3">
    <w:name w:val="heading-blue-3"/>
    <w:basedOn w:val="DefaultText"/>
    <w:next w:val="DefaultText"/>
    <w:rsid w:val="00A24325"/>
  </w:style>
  <w:style w:type="paragraph" w:customStyle="1" w:styleId="heading-blue-4">
    <w:name w:val="heading-blue-4"/>
    <w:basedOn w:val="DefaultText"/>
    <w:next w:val="DefaultText"/>
    <w:rsid w:val="00A24325"/>
  </w:style>
  <w:style w:type="paragraph" w:customStyle="1" w:styleId="heading-blue-5">
    <w:name w:val="heading-blue-5"/>
    <w:basedOn w:val="DefaultText"/>
    <w:next w:val="DefaultText"/>
    <w:rsid w:val="00A24325"/>
  </w:style>
  <w:style w:type="paragraph" w:customStyle="1" w:styleId="heading-blue-6">
    <w:name w:val="heading-blue-6"/>
    <w:basedOn w:val="DefaultText"/>
    <w:next w:val="DefaultText"/>
    <w:rsid w:val="00A24325"/>
  </w:style>
  <w:style w:type="paragraph" w:customStyle="1" w:styleId="kaderkop">
    <w:name w:val="kaderkop"/>
    <w:basedOn w:val="DefaultText"/>
    <w:rsid w:val="00A24325"/>
  </w:style>
  <w:style w:type="paragraph" w:customStyle="1" w:styleId="kadertekst">
    <w:name w:val="kadertekst"/>
    <w:basedOn w:val="DefaultText"/>
    <w:rsid w:val="00A24325"/>
  </w:style>
  <w:style w:type="paragraph" w:customStyle="1" w:styleId="landnamen">
    <w:name w:val="landnamen"/>
    <w:basedOn w:val="DefaultText"/>
    <w:uiPriority w:val="99"/>
    <w:rsid w:val="00A24325"/>
  </w:style>
  <w:style w:type="paragraph" w:customStyle="1" w:styleId="no-heading-blue-1">
    <w:name w:val="no-heading-blue-1"/>
    <w:basedOn w:val="DefaultText"/>
    <w:next w:val="DefaultText"/>
    <w:rsid w:val="00A24325"/>
  </w:style>
  <w:style w:type="paragraph" w:customStyle="1" w:styleId="no-heading-blue-2">
    <w:name w:val="no-heading-blue-2"/>
    <w:basedOn w:val="DefaultText"/>
    <w:next w:val="DefaultText"/>
    <w:rsid w:val="00A24325"/>
  </w:style>
  <w:style w:type="paragraph" w:customStyle="1" w:styleId="no-heading-blue-3">
    <w:name w:val="no-heading-blue-3"/>
    <w:basedOn w:val="DefaultText"/>
    <w:next w:val="DefaultText"/>
    <w:rsid w:val="00A24325"/>
  </w:style>
  <w:style w:type="paragraph" w:customStyle="1" w:styleId="no-heading-blue-4">
    <w:name w:val="no-heading-blue-4"/>
    <w:basedOn w:val="DefaultText"/>
    <w:next w:val="DefaultText"/>
    <w:rsid w:val="00A24325"/>
  </w:style>
  <w:style w:type="paragraph" w:customStyle="1" w:styleId="paginanummer">
    <w:name w:val="paginanummer"/>
    <w:basedOn w:val="DefaultText"/>
    <w:rsid w:val="00A24325"/>
  </w:style>
  <w:style w:type="paragraph" w:customStyle="1" w:styleId="paginanummering">
    <w:name w:val="paginanummering"/>
    <w:basedOn w:val="DefaultText"/>
    <w:rsid w:val="00A24325"/>
  </w:style>
  <w:style w:type="paragraph" w:customStyle="1" w:styleId="refdata-frontpage">
    <w:name w:val="refdata-frontpage"/>
    <w:basedOn w:val="DefaultText"/>
    <w:uiPriority w:val="99"/>
    <w:rsid w:val="00A24325"/>
  </w:style>
  <w:style w:type="paragraph" w:customStyle="1" w:styleId="referentiegegevens">
    <w:name w:val="referentiegegevens"/>
    <w:basedOn w:val="DefaultText"/>
    <w:rsid w:val="00A24325"/>
  </w:style>
  <w:style w:type="paragraph" w:customStyle="1" w:styleId="referentiekopjes">
    <w:name w:val="referentiekopjes"/>
    <w:basedOn w:val="DefaultText"/>
    <w:rsid w:val="00A24325"/>
  </w:style>
  <w:style w:type="paragraph" w:customStyle="1" w:styleId="rubricering">
    <w:name w:val="rubricering"/>
    <w:basedOn w:val="DefaultText"/>
    <w:rsid w:val="00A24325"/>
  </w:style>
  <w:style w:type="paragraph" w:customStyle="1" w:styleId="subtitle-inside">
    <w:name w:val="subtitle-inside"/>
    <w:basedOn w:val="DefaultText"/>
    <w:rsid w:val="00A24325"/>
  </w:style>
  <w:style w:type="paragraph" w:customStyle="1" w:styleId="spacingtitleinside">
    <w:name w:val="spacingtitleinside"/>
    <w:basedOn w:val="subtitle-inside"/>
    <w:rsid w:val="00A24325"/>
    <w:pPr>
      <w:spacing w:after="360" w:line="380" w:lineRule="atLeast"/>
    </w:pPr>
    <w:rPr>
      <w:sz w:val="72"/>
    </w:rPr>
  </w:style>
  <w:style w:type="paragraph" w:customStyle="1" w:styleId="subtitle-frontpage">
    <w:name w:val="subtitle-frontpage"/>
    <w:basedOn w:val="DefaultText"/>
    <w:next w:val="Normal"/>
    <w:uiPriority w:val="99"/>
    <w:rsid w:val="00A24325"/>
  </w:style>
  <w:style w:type="paragraph" w:customStyle="1" w:styleId="tabelkop">
    <w:name w:val="tabelkop"/>
    <w:basedOn w:val="DefaultText"/>
    <w:rsid w:val="00A24325"/>
  </w:style>
  <w:style w:type="paragraph" w:customStyle="1" w:styleId="tabeltekst">
    <w:name w:val="tabeltekst"/>
    <w:basedOn w:val="DefaultText"/>
    <w:rsid w:val="00A24325"/>
  </w:style>
  <w:style w:type="paragraph" w:customStyle="1" w:styleId="table-header-zwart">
    <w:name w:val="table-header-zwart"/>
    <w:basedOn w:val="DefaultText"/>
    <w:rsid w:val="00A24325"/>
  </w:style>
  <w:style w:type="paragraph" w:customStyle="1" w:styleId="table-header-blauw">
    <w:name w:val="table-header-blauw"/>
    <w:basedOn w:val="table-header-zwart"/>
    <w:rsid w:val="00A24325"/>
  </w:style>
  <w:style w:type="paragraph" w:customStyle="1" w:styleId="table-header-blauwgroen">
    <w:name w:val="table-header-blauwgroen"/>
    <w:basedOn w:val="table-header-zwart"/>
    <w:rsid w:val="00A24325"/>
  </w:style>
  <w:style w:type="paragraph" w:customStyle="1" w:styleId="table-header-donkerblauw">
    <w:name w:val="table-header-donkerblauw"/>
    <w:basedOn w:val="table-header-zwart"/>
    <w:rsid w:val="00A24325"/>
  </w:style>
  <w:style w:type="paragraph" w:customStyle="1" w:styleId="table-header-grijs">
    <w:name w:val="table-header-grijs"/>
    <w:basedOn w:val="table-header-zwart"/>
    <w:rsid w:val="00A24325"/>
  </w:style>
  <w:style w:type="paragraph" w:customStyle="1" w:styleId="table-header-groen">
    <w:name w:val="table-header-groen"/>
    <w:basedOn w:val="table-header-zwart"/>
    <w:rsid w:val="00A24325"/>
  </w:style>
  <w:style w:type="paragraph" w:customStyle="1" w:styleId="table-header-oranje">
    <w:name w:val="table-header-oranje"/>
    <w:basedOn w:val="table-header-zwart"/>
    <w:rsid w:val="00A24325"/>
  </w:style>
  <w:style w:type="paragraph" w:customStyle="1" w:styleId="table-header-paars">
    <w:name w:val="table-header-paars"/>
    <w:basedOn w:val="table-header-zwart"/>
    <w:rsid w:val="00A24325"/>
  </w:style>
  <w:style w:type="paragraph" w:customStyle="1" w:styleId="table-header-roze">
    <w:name w:val="table-header-roze"/>
    <w:basedOn w:val="table-header-zwart"/>
    <w:rsid w:val="00A24325"/>
  </w:style>
  <w:style w:type="paragraph" w:customStyle="1" w:styleId="table-header-wit">
    <w:name w:val="table-header-wit"/>
    <w:basedOn w:val="table-header-zwart"/>
    <w:rsid w:val="00A24325"/>
  </w:style>
  <w:style w:type="paragraph" w:customStyle="1" w:styleId="tableofcontents">
    <w:name w:val="tableofcontents"/>
    <w:basedOn w:val="DefaultText"/>
    <w:next w:val="DefaultText"/>
    <w:rsid w:val="00A24325"/>
  </w:style>
  <w:style w:type="table" w:customStyle="1" w:styleId="table-style-blauw-000-outline">
    <w:name w:val="table-style-blauw-000-outline"/>
    <w:basedOn w:val="TableNormal"/>
    <w:rsid w:val="00A24325"/>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none">
    <w:name w:val="table-style-blauw-000-none"/>
    <w:basedOn w:val="table-style-blauw-000-outline"/>
    <w:rsid w:val="00A24325"/>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rsid w:val="00A24325"/>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none">
    <w:name w:val="table-style-blauw-040-none"/>
    <w:basedOn w:val="table-style-blauw-040-outline"/>
    <w:rsid w:val="00A24325"/>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rsid w:val="00A24325"/>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none">
    <w:name w:val="table-style-blauw-070-none"/>
    <w:basedOn w:val="table-style-blauw-07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100-none">
    <w:name w:val="table-style-blauw-100-none"/>
    <w:basedOn w:val="table-style-blauw-100-outline"/>
    <w:rsid w:val="00A24325"/>
    <w:rPr>
      <w:szCs w:val="20"/>
    </w:rPr>
    <w:tblPr/>
    <w:tblStylePr w:type="firstRow">
      <w:pPr>
        <w:keepNext/>
        <w:keepLines/>
        <w:widowControl/>
        <w:suppressLineNumbers w:val="0"/>
        <w:wordWrap/>
      </w:pPr>
      <w:rPr>
        <w:rFonts w:ascii="Arial" w:hAnsi="Arial" w:cs="Arial" w:hint="default"/>
        <w:b/>
        <w:i w:val="0"/>
        <w:color w:val="FFFFFF"/>
        <w:sz w:val="16"/>
        <w:szCs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groen-000-outline">
    <w:name w:val="table-style-blauwgroen-000-outline"/>
    <w:basedOn w:val="TableNormal"/>
    <w:rsid w:val="00A24325"/>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rsid w:val="00A24325"/>
    <w:tblPr>
      <w:tblStyleColBandSize w:val="1"/>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rsid w:val="00A24325"/>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rsid w:val="00A24325"/>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rsid w:val="00A24325"/>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rsid w:val="00A24325"/>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rsid w:val="00A24325"/>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rsid w:val="00A24325"/>
    <w:tblPr>
      <w:tblStyleColBandSize w:val="1"/>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rsid w:val="00A24325"/>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rsid w:val="00A24325"/>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rsid w:val="00A24325"/>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rsid w:val="00A24325"/>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outline">
    <w:name w:val="table-style-zwart-000-outline"/>
    <w:basedOn w:val="TableNormal"/>
    <w:rsid w:val="00A24325"/>
    <w:pPr>
      <w:spacing w:after="0" w:line="280" w:lineRule="atLeast"/>
    </w:pPr>
    <w:rPr>
      <w:rFonts w:ascii="Arial" w:eastAsia="Times New Roman" w:hAnsi="Arial" w:cs="Times New Roman"/>
      <w:color w:val="000000"/>
      <w:sz w:val="16"/>
      <w:szCs w:val="20"/>
      <w:lang w:val="nl-NL" w:eastAsia="nl-NL"/>
    </w:rPr>
    <w:tblPr>
      <w:tblStyleRowBandSize w:val="1"/>
      <w:tblStyleCol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rsid w:val="00A24325"/>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none">
    <w:name w:val="table-style-grijs-000-none"/>
    <w:basedOn w:val="table-style-grijs-000-outline"/>
    <w:rsid w:val="00A24325"/>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rsid w:val="00A24325"/>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none">
    <w:name w:val="table-style-grijs-040-none"/>
    <w:basedOn w:val="table-style-grijs-040-outline"/>
    <w:rsid w:val="00A24325"/>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rsid w:val="00A24325"/>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none">
    <w:name w:val="table-style-grijs-070-none"/>
    <w:basedOn w:val="table-style-grijs-07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rsid w:val="00A24325"/>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none">
    <w:name w:val="table-style-grijs-100-none"/>
    <w:basedOn w:val="table-style-grijs-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rsid w:val="00A24325"/>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none">
    <w:name w:val="table-style-groen-000-none"/>
    <w:basedOn w:val="table-style-groen-000-outline"/>
    <w:rsid w:val="00A24325"/>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rsid w:val="00A24325"/>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none">
    <w:name w:val="table-style-groen-040-none"/>
    <w:basedOn w:val="table-style-groen-040-outline"/>
    <w:rsid w:val="00A24325"/>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rsid w:val="00A24325"/>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none">
    <w:name w:val="table-style-groen-070-none"/>
    <w:basedOn w:val="table-style-groen-070-outline"/>
    <w:rsid w:val="00A24325"/>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rsid w:val="00A24325"/>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none">
    <w:name w:val="table-style-groen-100-none"/>
    <w:basedOn w:val="table-style-groen-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rsid w:val="00A24325"/>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none">
    <w:name w:val="table-style-oranje-000-none"/>
    <w:basedOn w:val="table-style-oranje-000-outline"/>
    <w:rsid w:val="00A24325"/>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rsid w:val="00A24325"/>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none">
    <w:name w:val="table-style-oranje-040-none"/>
    <w:basedOn w:val="table-style-oranje-040-outline"/>
    <w:rsid w:val="00A24325"/>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rsid w:val="00A24325"/>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none">
    <w:name w:val="table-style-oranje-070-none"/>
    <w:basedOn w:val="table-style-oranje-070-outline"/>
    <w:rsid w:val="00A24325"/>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rsid w:val="00A24325"/>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none">
    <w:name w:val="table-style-oranje-100-none"/>
    <w:basedOn w:val="table-style-oranje-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rsid w:val="00A24325"/>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none">
    <w:name w:val="table-style-paars-000-none"/>
    <w:basedOn w:val="table-style-paars-000-outline"/>
    <w:rsid w:val="00A24325"/>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rsid w:val="00A24325"/>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none">
    <w:name w:val="table-style-paars-040-none"/>
    <w:basedOn w:val="table-style-paars-040-outline"/>
    <w:rsid w:val="00A24325"/>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rsid w:val="00A24325"/>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none">
    <w:name w:val="table-style-paars-070-none"/>
    <w:basedOn w:val="table-style-paars-070-outline"/>
    <w:rsid w:val="00A24325"/>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rsid w:val="00A24325"/>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none">
    <w:name w:val="table-style-paars-100-none"/>
    <w:basedOn w:val="table-style-paars-100-outline"/>
    <w:rsid w:val="00A24325"/>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rsid w:val="00A24325"/>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none">
    <w:name w:val="table-style-roze-000-none"/>
    <w:basedOn w:val="table-style-roze-000-outline"/>
    <w:rsid w:val="00A24325"/>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outline">
    <w:name w:val="table-style-roze-040-outline"/>
    <w:basedOn w:val="table-style-roze-000-outline"/>
    <w:rsid w:val="00A24325"/>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none">
    <w:name w:val="table-style-roze-040-none"/>
    <w:basedOn w:val="table-style-roze-040-outline"/>
    <w:rsid w:val="00A24325"/>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outline">
    <w:name w:val="table-style-roze-070-outline"/>
    <w:basedOn w:val="table-style-roze-000-outline"/>
    <w:rsid w:val="00A24325"/>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none">
    <w:name w:val="table-style-roze-070-none"/>
    <w:basedOn w:val="table-style-roze-07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outline">
    <w:name w:val="table-style-roze-100-outline"/>
    <w:basedOn w:val="table-style-roze-000-outline"/>
    <w:rsid w:val="00A24325"/>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none">
    <w:name w:val="table-style-roze-100-none"/>
    <w:basedOn w:val="table-style-roze-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none">
    <w:name w:val="table-style-zwart-000-none"/>
    <w:basedOn w:val="table-style-zwart-000-outline"/>
    <w:rsid w:val="00A24325"/>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rsid w:val="00A24325"/>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none">
    <w:name w:val="table-style-zwart-040-none"/>
    <w:basedOn w:val="table-style-zwart-040-outline"/>
    <w:rsid w:val="00A24325"/>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rsid w:val="00A24325"/>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none">
    <w:name w:val="table-style-zwart-070-none"/>
    <w:basedOn w:val="table-style-zwart-070-outline"/>
    <w:rsid w:val="00A24325"/>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rsid w:val="00A24325"/>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none">
    <w:name w:val="table-style-zwart-100-none"/>
    <w:basedOn w:val="table-style-zwart-100-outline"/>
    <w:rsid w:val="00A24325"/>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paragraph" w:customStyle="1" w:styleId="table-text">
    <w:name w:val="table-text"/>
    <w:basedOn w:val="DefaultText"/>
    <w:rsid w:val="00A24325"/>
  </w:style>
  <w:style w:type="paragraph" w:customStyle="1" w:styleId="title-frontpage">
    <w:name w:val="title-frontpage"/>
    <w:basedOn w:val="DefaultText"/>
    <w:next w:val="subtitle-frontpage"/>
    <w:uiPriority w:val="99"/>
    <w:rsid w:val="00A24325"/>
  </w:style>
  <w:style w:type="paragraph" w:customStyle="1" w:styleId="title-inside">
    <w:name w:val="title-inside"/>
    <w:basedOn w:val="DefaultText"/>
    <w:rsid w:val="00A24325"/>
  </w:style>
  <w:style w:type="paragraph" w:customStyle="1" w:styleId="voettekst-titel-links">
    <w:name w:val="voettekst-titel-links"/>
    <w:basedOn w:val="DefaultText"/>
    <w:rsid w:val="00A24325"/>
  </w:style>
  <w:style w:type="paragraph" w:customStyle="1" w:styleId="voettekst-titel-rechts">
    <w:name w:val="voettekst-titel-rechts"/>
    <w:basedOn w:val="DefaultText"/>
    <w:uiPriority w:val="99"/>
    <w:rsid w:val="00A24325"/>
  </w:style>
  <w:style w:type="paragraph" w:customStyle="1" w:styleId="front-inbetween">
    <w:name w:val="front-inbetween"/>
    <w:basedOn w:val="DefaultText"/>
    <w:next w:val="refdata-frontpage"/>
    <w:rsid w:val="00A24325"/>
  </w:style>
  <w:style w:type="paragraph" w:customStyle="1" w:styleId="inhoudsopgave">
    <w:name w:val="inhoudsopgave"/>
    <w:basedOn w:val="Header"/>
    <w:next w:val="DefaultText"/>
    <w:rsid w:val="00A24325"/>
    <w:pPr>
      <w:tabs>
        <w:tab w:val="clear" w:pos="4320"/>
        <w:tab w:val="clear" w:pos="8640"/>
        <w:tab w:val="center" w:pos="4536"/>
        <w:tab w:val="right" w:pos="9072"/>
      </w:tabs>
      <w:jc w:val="left"/>
    </w:pPr>
    <w:rPr>
      <w:rFonts w:ascii="Arial" w:eastAsiaTheme="minorHAnsi" w:hAnsi="Arial" w:cs="Arial"/>
      <w:color w:val="006DB6"/>
      <w:sz w:val="36"/>
      <w:szCs w:val="20"/>
    </w:rPr>
  </w:style>
  <w:style w:type="paragraph" w:customStyle="1" w:styleId="slogan">
    <w:name w:val="slogan"/>
    <w:basedOn w:val="Normal"/>
    <w:uiPriority w:val="99"/>
    <w:rsid w:val="00A24325"/>
    <w:pPr>
      <w:spacing w:line="280" w:lineRule="atLeast"/>
      <w:jc w:val="left"/>
    </w:pPr>
    <w:rPr>
      <w:rFonts w:ascii="Arial" w:hAnsi="Arial"/>
      <w:b/>
      <w:i/>
      <w:color w:val="006DB6"/>
      <w:sz w:val="20"/>
      <w:lang w:eastAsia="nl-NL"/>
    </w:rPr>
  </w:style>
  <w:style w:type="table" w:customStyle="1" w:styleId="TableGrid7">
    <w:name w:val="Table Grid7"/>
    <w:basedOn w:val="TableNormal"/>
    <w:next w:val="TableGrid"/>
    <w:uiPriority w:val="59"/>
    <w:rsid w:val="00A24325"/>
    <w:pPr>
      <w:spacing w:after="0" w:line="240" w:lineRule="auto"/>
    </w:pPr>
    <w:rPr>
      <w:rFonts w:ascii="Arial" w:hAnsi="Arial" w:cs="Arial"/>
      <w:color w:val="000000"/>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tekst">
    <w:name w:val="voettekst"/>
    <w:basedOn w:val="paginanummer"/>
    <w:rsid w:val="00A24325"/>
    <w:pPr>
      <w:framePr w:hSpace="142" w:wrap="around" w:vAnchor="page" w:hAnchor="page" w:xAlign="right" w:yAlign="bottom"/>
      <w:spacing w:line="240" w:lineRule="auto"/>
      <w:suppressOverlap/>
      <w:jc w:val="right"/>
    </w:pPr>
    <w:rPr>
      <w:sz w:val="14"/>
    </w:rPr>
  </w:style>
  <w:style w:type="table" w:styleId="LightShading-Accent6">
    <w:name w:val="Light Shading Accent 6"/>
    <w:basedOn w:val="TableNormal"/>
    <w:uiPriority w:val="60"/>
    <w:rsid w:val="00A24325"/>
    <w:pPr>
      <w:spacing w:after="0" w:line="240" w:lineRule="auto"/>
    </w:pPr>
    <w:rPr>
      <w:rFonts w:ascii="Arial" w:hAnsi="Arial" w:cs="Arial"/>
      <w:color w:val="E36C0A" w:themeColor="accent6" w:themeShade="BF"/>
      <w:sz w:val="20"/>
      <w:szCs w:val="20"/>
      <w:lang w:val="nl-NL"/>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11">
    <w:name w:val="Light Shading - Accent 11"/>
    <w:basedOn w:val="TableNormal"/>
    <w:uiPriority w:val="60"/>
    <w:rsid w:val="00A24325"/>
    <w:pPr>
      <w:spacing w:after="0" w:line="240" w:lineRule="auto"/>
    </w:pPr>
    <w:rPr>
      <w:rFonts w:ascii="Arial" w:hAnsi="Arial" w:cs="Arial"/>
      <w:color w:val="365F91" w:themeColor="accent1" w:themeShade="BF"/>
      <w:sz w:val="20"/>
      <w:szCs w:val="20"/>
      <w:lang w:val="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bullet-color">
    <w:name w:val="list-bullet-color"/>
    <w:basedOn w:val="DefaultText"/>
    <w:link w:val="list-bullet-colorChar"/>
    <w:rsid w:val="00A24325"/>
    <w:pPr>
      <w:numPr>
        <w:numId w:val="13"/>
      </w:numPr>
    </w:pPr>
  </w:style>
  <w:style w:type="character" w:customStyle="1" w:styleId="list-bullet-colorChar">
    <w:name w:val="list-bullet-color Char"/>
    <w:basedOn w:val="DefaultTextChar"/>
    <w:link w:val="list-bullet-color"/>
    <w:rsid w:val="00A24325"/>
    <w:rPr>
      <w:rFonts w:ascii="Arial" w:eastAsia="Times New Roman" w:hAnsi="Arial" w:cs="Times New Roman"/>
      <w:color w:val="000000"/>
      <w:sz w:val="20"/>
      <w:szCs w:val="24"/>
      <w:lang w:val="en-US" w:eastAsia="nl-NL"/>
    </w:rPr>
  </w:style>
  <w:style w:type="paragraph" w:customStyle="1" w:styleId="list-bullet-black">
    <w:name w:val="list-bullet-black"/>
    <w:basedOn w:val="DefaultText"/>
    <w:link w:val="list-bullet-blackChar"/>
    <w:rsid w:val="00A24325"/>
    <w:pPr>
      <w:numPr>
        <w:numId w:val="14"/>
      </w:numPr>
    </w:pPr>
  </w:style>
  <w:style w:type="character" w:customStyle="1" w:styleId="list-bullet-blackChar">
    <w:name w:val="list-bullet-black Char"/>
    <w:basedOn w:val="DefaultTextChar"/>
    <w:link w:val="list-bullet-black"/>
    <w:rsid w:val="00A24325"/>
    <w:rPr>
      <w:rFonts w:ascii="Arial" w:eastAsia="Times New Roman" w:hAnsi="Arial" w:cs="Times New Roman"/>
      <w:color w:val="000000"/>
      <w:sz w:val="20"/>
      <w:szCs w:val="24"/>
      <w:lang w:val="en-US" w:eastAsia="nl-NL"/>
    </w:rPr>
  </w:style>
  <w:style w:type="paragraph" w:customStyle="1" w:styleId="list-number-black">
    <w:name w:val="list-number-black"/>
    <w:basedOn w:val="DefaultText"/>
    <w:link w:val="list-number-blackChar"/>
    <w:rsid w:val="00A24325"/>
    <w:pPr>
      <w:numPr>
        <w:numId w:val="15"/>
      </w:numPr>
    </w:pPr>
  </w:style>
  <w:style w:type="character" w:customStyle="1" w:styleId="list-number-blackChar">
    <w:name w:val="list-number-black Char"/>
    <w:basedOn w:val="DefaultTextChar"/>
    <w:link w:val="list-number-black"/>
    <w:rsid w:val="00A24325"/>
    <w:rPr>
      <w:rFonts w:ascii="Arial" w:eastAsia="Times New Roman" w:hAnsi="Arial" w:cs="Times New Roman"/>
      <w:color w:val="000000"/>
      <w:sz w:val="20"/>
      <w:szCs w:val="24"/>
      <w:lang w:val="en-US" w:eastAsia="nl-NL"/>
    </w:rPr>
  </w:style>
  <w:style w:type="paragraph" w:customStyle="1" w:styleId="list-number-color">
    <w:name w:val="list-number-color"/>
    <w:basedOn w:val="DefaultText"/>
    <w:link w:val="list-number-colorChar"/>
    <w:rsid w:val="00A24325"/>
    <w:pPr>
      <w:numPr>
        <w:numId w:val="16"/>
      </w:numPr>
    </w:pPr>
  </w:style>
  <w:style w:type="character" w:customStyle="1" w:styleId="list-number-colorChar">
    <w:name w:val="list-number-color Char"/>
    <w:basedOn w:val="DefaultTextChar"/>
    <w:link w:val="list-number-color"/>
    <w:rsid w:val="00A24325"/>
    <w:rPr>
      <w:rFonts w:ascii="Arial" w:eastAsia="Times New Roman" w:hAnsi="Arial" w:cs="Times New Roman"/>
      <w:color w:val="000000"/>
      <w:sz w:val="20"/>
      <w:szCs w:val="24"/>
      <w:lang w:val="en-US" w:eastAsia="nl-NL"/>
    </w:rPr>
  </w:style>
  <w:style w:type="character" w:customStyle="1" w:styleId="TableTextChar">
    <w:name w:val="Table Text Char"/>
    <w:link w:val="TableText"/>
    <w:rsid w:val="00A24325"/>
    <w:rPr>
      <w:rFonts w:ascii="Arial" w:eastAsia="Times New Roman" w:hAnsi="Arial" w:cs="Times New Roman"/>
      <w:sz w:val="16"/>
      <w:szCs w:val="24"/>
    </w:rPr>
  </w:style>
  <w:style w:type="table" w:customStyle="1" w:styleId="TabelEcorys11">
    <w:name w:val="TabelEcorys11"/>
    <w:basedOn w:val="TableNormal"/>
    <w:next w:val="TableGrid"/>
    <w:uiPriority w:val="59"/>
    <w:rsid w:val="00A24325"/>
    <w:pPr>
      <w:spacing w:after="0" w:line="280" w:lineRule="atLeast"/>
    </w:pPr>
    <w:rPr>
      <w:rFonts w:ascii="Arial" w:eastAsia="SimSun" w:hAnsi="Arial" w:cs="Times New Roman"/>
      <w:color w:val="000000"/>
      <w:sz w:val="16"/>
      <w:szCs w:val="20"/>
      <w:lang w:eastAsia="en-GB"/>
    </w:rPr>
    <w:tblP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style>
  <w:style w:type="table" w:customStyle="1" w:styleId="TabelEcorys21">
    <w:name w:val="TabelEcorys21"/>
    <w:basedOn w:val="TableNormal"/>
    <w:next w:val="TableGrid"/>
    <w:rsid w:val="00A24325"/>
    <w:pPr>
      <w:spacing w:after="0" w:line="280" w:lineRule="atLeast"/>
    </w:pPr>
    <w:rPr>
      <w:rFonts w:ascii="Arial" w:eastAsia="Times New Roman" w:hAnsi="Arial" w:cs="Times New Roman"/>
      <w:color w:val="000000"/>
      <w:sz w:val="16"/>
      <w:szCs w:val="20"/>
      <w:lang w:eastAsia="en-GB"/>
    </w:rPr>
    <w:tblP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style>
  <w:style w:type="paragraph" w:customStyle="1" w:styleId="broodtekst">
    <w:name w:val="broodtekst"/>
    <w:basedOn w:val="Normal"/>
    <w:rsid w:val="00A24325"/>
    <w:pPr>
      <w:spacing w:line="280" w:lineRule="atLeast"/>
      <w:jc w:val="left"/>
    </w:pPr>
    <w:rPr>
      <w:rFonts w:ascii="Arial" w:hAnsi="Arial"/>
      <w:color w:val="000000"/>
      <w:sz w:val="20"/>
      <w:lang w:eastAsia="nl-NL"/>
    </w:rPr>
  </w:style>
  <w:style w:type="character" w:customStyle="1" w:styleId="MainParanoChapterChar">
    <w:name w:val="Main Para no Chapter # Char"/>
    <w:link w:val="MainParanoChapter"/>
    <w:locked/>
    <w:rsid w:val="00A24325"/>
    <w:rPr>
      <w:rFonts w:ascii="Times New Roman" w:eastAsia="Times New Roman" w:hAnsi="Times New Roman" w:cs="Times New Roman"/>
      <w:sz w:val="24"/>
      <w:szCs w:val="24"/>
      <w:lang w:val="en-US"/>
    </w:rPr>
  </w:style>
  <w:style w:type="table" w:customStyle="1" w:styleId="TableGrid13">
    <w:name w:val="Table Grid13"/>
    <w:basedOn w:val="TableNormal"/>
    <w:next w:val="TableGrid"/>
    <w:rsid w:val="00A24325"/>
    <w:pPr>
      <w:spacing w:after="0" w:line="240" w:lineRule="auto"/>
    </w:pPr>
    <w:rPr>
      <w:rFonts w:ascii="Times New Roman" w:eastAsia="Times New Roman" w:hAnsi="Times New Roman" w:cs="Times New Roman"/>
      <w:color w:val="000000"/>
      <w:sz w:val="20"/>
      <w:szCs w:val="20"/>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ListParagraph"/>
    <w:qFormat/>
    <w:rsid w:val="00A24325"/>
    <w:pPr>
      <w:ind w:left="0"/>
    </w:pPr>
    <w:rPr>
      <w:rFonts w:ascii="Times New Roman" w:hAnsi="Times New Roman"/>
      <w:b/>
      <w:bCs/>
      <w:color w:val="C00000"/>
      <w:sz w:val="24"/>
      <w:lang w:val="ca-ES" w:bidi="th-TH"/>
    </w:rPr>
  </w:style>
  <w:style w:type="paragraph" w:customStyle="1" w:styleId="Style2">
    <w:name w:val="Style2"/>
    <w:basedOn w:val="Normal"/>
    <w:qFormat/>
    <w:rsid w:val="00A24325"/>
    <w:rPr>
      <w:rFonts w:ascii="Times New Roman" w:hAnsi="Times New Roman"/>
      <w:b/>
      <w:bCs/>
      <w:color w:val="0000CC"/>
      <w:sz w:val="24"/>
      <w:szCs w:val="20"/>
      <w:lang w:val="ca-ES"/>
    </w:rPr>
  </w:style>
  <w:style w:type="numbering" w:customStyle="1" w:styleId="NoList12">
    <w:name w:val="No List12"/>
    <w:next w:val="NoList"/>
    <w:uiPriority w:val="99"/>
    <w:semiHidden/>
    <w:unhideWhenUsed/>
    <w:rsid w:val="00A24325"/>
  </w:style>
  <w:style w:type="table" w:customStyle="1" w:styleId="table-style-blauw-100-outline1">
    <w:name w:val="table-style-blauw-100-outline1"/>
    <w:basedOn w:val="TableNormal"/>
    <w:rsid w:val="00A24325"/>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paragraph" w:customStyle="1" w:styleId="BVIfnrCharCar1CarChar">
    <w:name w:val="BVI fnr Char Car1 Car Char"/>
    <w:aliases w:val=" BVI fnr Char, BVI fnr Char Car Char Char Car Car Char,BVI fnr Char Car Car Char,BVI fnr Char Car Char Char Car Car Char,ftref Char Car Car Char,ftref Char Car Char Char Car Car Char"/>
    <w:basedOn w:val="Normal"/>
    <w:next w:val="Normal"/>
    <w:uiPriority w:val="99"/>
    <w:rsid w:val="00A24325"/>
    <w:pPr>
      <w:keepLines/>
      <w:spacing w:after="160" w:line="240" w:lineRule="exact"/>
    </w:pPr>
    <w:rPr>
      <w:rFonts w:eastAsiaTheme="minorHAnsi" w:cstheme="minorBidi"/>
      <w:szCs w:val="22"/>
      <w:vertAlign w:val="superscript"/>
    </w:rPr>
  </w:style>
  <w:style w:type="paragraph" w:styleId="List2">
    <w:name w:val="List 2"/>
    <w:basedOn w:val="Normal"/>
    <w:uiPriority w:val="99"/>
    <w:semiHidden/>
    <w:unhideWhenUsed/>
    <w:rsid w:val="00A24325"/>
    <w:pPr>
      <w:ind w:left="720" w:hanging="360"/>
      <w:contextualSpacing/>
    </w:pPr>
  </w:style>
  <w:style w:type="character" w:customStyle="1" w:styleId="UnresolvedMention3">
    <w:name w:val="Unresolved Mention3"/>
    <w:basedOn w:val="DefaultParagraphFont"/>
    <w:uiPriority w:val="99"/>
    <w:semiHidden/>
    <w:unhideWhenUsed/>
    <w:rsid w:val="00A24325"/>
    <w:rPr>
      <w:color w:val="605E5C"/>
      <w:shd w:val="clear" w:color="auto" w:fill="E1DFDD"/>
    </w:rPr>
  </w:style>
  <w:style w:type="paragraph" w:customStyle="1" w:styleId="paragraph">
    <w:name w:val="paragraph"/>
    <w:basedOn w:val="Normal"/>
    <w:rsid w:val="00A24325"/>
    <w:pPr>
      <w:spacing w:before="100" w:beforeAutospacing="1" w:after="100" w:afterAutospacing="1"/>
      <w:jc w:val="left"/>
    </w:pPr>
    <w:rPr>
      <w:rFonts w:ascii="Times New Roman" w:hAnsi="Times New Roman"/>
      <w:sz w:val="24"/>
      <w:lang w:val="fr-FR" w:eastAsia="fr-FR"/>
    </w:rPr>
  </w:style>
  <w:style w:type="character" w:customStyle="1" w:styleId="normaltextrun">
    <w:name w:val="normaltextrun"/>
    <w:basedOn w:val="DefaultParagraphFont"/>
    <w:rsid w:val="00A24325"/>
  </w:style>
  <w:style w:type="character" w:customStyle="1" w:styleId="eop">
    <w:name w:val="eop"/>
    <w:basedOn w:val="DefaultParagraphFont"/>
    <w:rsid w:val="00A24325"/>
  </w:style>
  <w:style w:type="paragraph" w:customStyle="1" w:styleId="textbox">
    <w:name w:val="textbox"/>
    <w:basedOn w:val="Normal"/>
    <w:rsid w:val="00A24325"/>
    <w:pPr>
      <w:spacing w:before="100" w:beforeAutospacing="1" w:after="100" w:afterAutospacing="1"/>
      <w:jc w:val="left"/>
    </w:pPr>
    <w:rPr>
      <w:rFonts w:ascii="Times New Roman" w:hAnsi="Times New Roman"/>
      <w:sz w:val="24"/>
      <w:lang w:val="fr-FR" w:eastAsia="fr-FR"/>
    </w:rPr>
  </w:style>
  <w:style w:type="character" w:customStyle="1" w:styleId="CommentTextChar1">
    <w:name w:val="Comment Text Char1"/>
    <w:basedOn w:val="DefaultParagraphFont"/>
    <w:uiPriority w:val="99"/>
    <w:rsid w:val="007518E4"/>
    <w:rPr>
      <w:sz w:val="20"/>
      <w:szCs w:val="20"/>
      <w:lang w:val="en-GB"/>
    </w:rPr>
  </w:style>
  <w:style w:type="paragraph" w:customStyle="1" w:styleId="Naslov1">
    <w:name w:val="Naslov 1"/>
    <w:basedOn w:val="Normal"/>
    <w:link w:val="Naslov1Char"/>
    <w:qFormat/>
    <w:rsid w:val="007518E4"/>
    <w:pPr>
      <w:spacing w:after="240"/>
      <w:ind w:left="0"/>
    </w:pPr>
    <w:rPr>
      <w:rFonts w:eastAsiaTheme="minorHAnsi" w:cstheme="minorBidi"/>
      <w:b/>
      <w:color w:val="26456B"/>
      <w:sz w:val="32"/>
      <w:szCs w:val="22"/>
    </w:rPr>
  </w:style>
  <w:style w:type="character" w:customStyle="1" w:styleId="Naslov1Char">
    <w:name w:val="Naslov 1 Char"/>
    <w:basedOn w:val="DefaultParagraphFont"/>
    <w:link w:val="Naslov1"/>
    <w:rsid w:val="007518E4"/>
    <w:rPr>
      <w:b/>
      <w:color w:val="26456B"/>
      <w:sz w:val="32"/>
      <w:lang w:val="en-US"/>
    </w:rPr>
  </w:style>
  <w:style w:type="paragraph" w:customStyle="1" w:styleId="xl142">
    <w:name w:val="xl142"/>
    <w:basedOn w:val="Normal"/>
    <w:rsid w:val="007518E4"/>
    <w:pPr>
      <w:pBdr>
        <w:bottom w:val="single" w:sz="4" w:space="0" w:color="auto"/>
      </w:pBdr>
      <w:shd w:val="clear" w:color="000000" w:fill="BFBFBF"/>
      <w:spacing w:before="100" w:beforeAutospacing="1" w:after="100" w:afterAutospacing="1"/>
      <w:ind w:left="0"/>
      <w:jc w:val="center"/>
      <w:textAlignment w:val="center"/>
    </w:pPr>
    <w:rPr>
      <w:rFonts w:ascii="Times New Roman" w:hAnsi="Times New Roman"/>
      <w:b/>
      <w:bCs/>
      <w:sz w:val="24"/>
      <w:lang w:val="es-ES" w:eastAsia="es-ES"/>
    </w:rPr>
  </w:style>
  <w:style w:type="paragraph" w:customStyle="1" w:styleId="xl143">
    <w:name w:val="xl143"/>
    <w:basedOn w:val="Normal"/>
    <w:rsid w:val="007518E4"/>
    <w:pPr>
      <w:pBdr>
        <w:top w:val="single" w:sz="8" w:space="0" w:color="auto"/>
        <w:left w:val="single" w:sz="8" w:space="0" w:color="auto"/>
      </w:pBdr>
      <w:shd w:val="clear" w:color="000000" w:fill="BFBFBF"/>
      <w:spacing w:before="100" w:beforeAutospacing="1" w:after="100" w:afterAutospacing="1"/>
      <w:ind w:left="0"/>
      <w:textAlignment w:val="top"/>
    </w:pPr>
    <w:rPr>
      <w:rFonts w:ascii="Times New Roman" w:hAnsi="Times New Roman"/>
      <w:b/>
      <w:bCs/>
      <w:sz w:val="24"/>
      <w:lang w:val="es-ES" w:eastAsia="es-ES"/>
    </w:rPr>
  </w:style>
  <w:style w:type="paragraph" w:customStyle="1" w:styleId="xl144">
    <w:name w:val="xl144"/>
    <w:basedOn w:val="Normal"/>
    <w:rsid w:val="007518E4"/>
    <w:pPr>
      <w:pBdr>
        <w:top w:val="single" w:sz="8" w:space="0" w:color="auto"/>
      </w:pBdr>
      <w:shd w:val="clear" w:color="000000" w:fill="BFBFBF"/>
      <w:spacing w:before="100" w:beforeAutospacing="1" w:after="100" w:afterAutospacing="1"/>
      <w:ind w:left="0"/>
      <w:textAlignment w:val="top"/>
    </w:pPr>
    <w:rPr>
      <w:rFonts w:ascii="Times New Roman" w:hAnsi="Times New Roman"/>
      <w:b/>
      <w:bCs/>
      <w:sz w:val="24"/>
      <w:lang w:val="es-ES" w:eastAsia="es-ES"/>
    </w:rPr>
  </w:style>
  <w:style w:type="paragraph" w:customStyle="1" w:styleId="xl145">
    <w:name w:val="xl145"/>
    <w:basedOn w:val="Normal"/>
    <w:rsid w:val="007518E4"/>
    <w:pPr>
      <w:pBdr>
        <w:top w:val="single" w:sz="8" w:space="0" w:color="auto"/>
        <w:right w:val="single" w:sz="8" w:space="0" w:color="auto"/>
      </w:pBdr>
      <w:shd w:val="clear" w:color="000000" w:fill="BFBFBF"/>
      <w:spacing w:before="100" w:beforeAutospacing="1" w:after="100" w:afterAutospacing="1"/>
      <w:ind w:left="0"/>
      <w:textAlignment w:val="top"/>
    </w:pPr>
    <w:rPr>
      <w:rFonts w:ascii="Times New Roman" w:hAnsi="Times New Roman"/>
      <w:b/>
      <w:bCs/>
      <w:sz w:val="24"/>
      <w:lang w:val="es-ES" w:eastAsia="es-ES"/>
    </w:rPr>
  </w:style>
  <w:style w:type="paragraph" w:customStyle="1" w:styleId="xl146">
    <w:name w:val="xl146"/>
    <w:basedOn w:val="Normal"/>
    <w:rsid w:val="007518E4"/>
    <w:pPr>
      <w:pBdr>
        <w:left w:val="single" w:sz="8" w:space="0" w:color="auto"/>
        <w:bottom w:val="single" w:sz="8" w:space="0" w:color="auto"/>
      </w:pBdr>
      <w:shd w:val="clear" w:color="000000" w:fill="BFBFBF"/>
      <w:spacing w:before="100" w:beforeAutospacing="1" w:after="100" w:afterAutospacing="1"/>
      <w:ind w:left="0"/>
      <w:textAlignment w:val="top"/>
    </w:pPr>
    <w:rPr>
      <w:rFonts w:ascii="Times New Roman" w:hAnsi="Times New Roman"/>
      <w:b/>
      <w:bCs/>
      <w:sz w:val="24"/>
      <w:lang w:val="es-ES" w:eastAsia="es-ES"/>
    </w:rPr>
  </w:style>
  <w:style w:type="paragraph" w:customStyle="1" w:styleId="xl147">
    <w:name w:val="xl147"/>
    <w:basedOn w:val="Normal"/>
    <w:rsid w:val="007518E4"/>
    <w:pPr>
      <w:pBdr>
        <w:bottom w:val="single" w:sz="8" w:space="0" w:color="auto"/>
      </w:pBdr>
      <w:shd w:val="clear" w:color="000000" w:fill="BFBFBF"/>
      <w:spacing w:before="100" w:beforeAutospacing="1" w:after="100" w:afterAutospacing="1"/>
      <w:ind w:left="0"/>
      <w:jc w:val="center"/>
      <w:textAlignment w:val="top"/>
    </w:pPr>
    <w:rPr>
      <w:rFonts w:ascii="Times New Roman" w:hAnsi="Times New Roman"/>
      <w:sz w:val="24"/>
      <w:lang w:val="es-ES" w:eastAsia="es-ES"/>
    </w:rPr>
  </w:style>
  <w:style w:type="paragraph" w:customStyle="1" w:styleId="xl148">
    <w:name w:val="xl148"/>
    <w:basedOn w:val="Normal"/>
    <w:rsid w:val="007518E4"/>
    <w:pPr>
      <w:pBdr>
        <w:bottom w:val="single" w:sz="8" w:space="0" w:color="auto"/>
        <w:right w:val="single" w:sz="8" w:space="0" w:color="auto"/>
      </w:pBdr>
      <w:shd w:val="clear" w:color="000000" w:fill="BFBFBF"/>
      <w:spacing w:before="100" w:beforeAutospacing="1" w:after="100" w:afterAutospacing="1"/>
      <w:ind w:left="0"/>
      <w:jc w:val="center"/>
      <w:textAlignment w:val="top"/>
    </w:pPr>
    <w:rPr>
      <w:rFonts w:ascii="Times New Roman" w:hAnsi="Times New Roman"/>
      <w:sz w:val="24"/>
      <w:lang w:val="es-ES" w:eastAsia="es-ES"/>
    </w:rPr>
  </w:style>
  <w:style w:type="paragraph" w:customStyle="1" w:styleId="xl149">
    <w:name w:val="xl149"/>
    <w:basedOn w:val="Normal"/>
    <w:rsid w:val="007518E4"/>
    <w:pPr>
      <w:pBdr>
        <w:top w:val="single" w:sz="8" w:space="0" w:color="auto"/>
        <w:left w:val="single" w:sz="8" w:space="0" w:color="auto"/>
      </w:pBdr>
      <w:shd w:val="clear" w:color="000000" w:fill="BFBFBF"/>
      <w:spacing w:before="100" w:beforeAutospacing="1" w:after="100" w:afterAutospacing="1"/>
      <w:ind w:left="0"/>
      <w:jc w:val="center"/>
      <w:textAlignment w:val="center"/>
    </w:pPr>
    <w:rPr>
      <w:rFonts w:ascii="Times New Roman" w:hAnsi="Times New Roman"/>
      <w:b/>
      <w:bCs/>
      <w:sz w:val="24"/>
      <w:lang w:val="es-ES" w:eastAsia="es-ES"/>
    </w:rPr>
  </w:style>
  <w:style w:type="paragraph" w:customStyle="1" w:styleId="xl150">
    <w:name w:val="xl150"/>
    <w:basedOn w:val="Normal"/>
    <w:rsid w:val="007518E4"/>
    <w:pPr>
      <w:pBdr>
        <w:top w:val="single" w:sz="8" w:space="0" w:color="auto"/>
        <w:right w:val="single" w:sz="8" w:space="0" w:color="auto"/>
      </w:pBdr>
      <w:shd w:val="clear" w:color="000000" w:fill="BFBFBF"/>
      <w:spacing w:before="100" w:beforeAutospacing="1" w:after="100" w:afterAutospacing="1"/>
      <w:ind w:left="0"/>
      <w:jc w:val="center"/>
      <w:textAlignment w:val="center"/>
    </w:pPr>
    <w:rPr>
      <w:rFonts w:ascii="Times New Roman" w:hAnsi="Times New Roman"/>
      <w:b/>
      <w:bCs/>
      <w:sz w:val="24"/>
      <w:lang w:val="es-ES" w:eastAsia="es-ES"/>
    </w:rPr>
  </w:style>
  <w:style w:type="paragraph" w:customStyle="1" w:styleId="xl151">
    <w:name w:val="xl151"/>
    <w:basedOn w:val="Normal"/>
    <w:rsid w:val="007518E4"/>
    <w:pPr>
      <w:pBdr>
        <w:left w:val="single" w:sz="8" w:space="0" w:color="auto"/>
        <w:bottom w:val="single" w:sz="8" w:space="0" w:color="auto"/>
      </w:pBdr>
      <w:shd w:val="clear" w:color="000000" w:fill="BFBFBF"/>
      <w:spacing w:before="100" w:beforeAutospacing="1" w:after="100" w:afterAutospacing="1"/>
      <w:ind w:left="0"/>
      <w:jc w:val="center"/>
      <w:textAlignment w:val="center"/>
    </w:pPr>
    <w:rPr>
      <w:rFonts w:ascii="Times New Roman" w:hAnsi="Times New Roman"/>
      <w:b/>
      <w:bCs/>
      <w:sz w:val="24"/>
      <w:lang w:val="es-ES" w:eastAsia="es-ES"/>
    </w:rPr>
  </w:style>
  <w:style w:type="paragraph" w:customStyle="1" w:styleId="xl152">
    <w:name w:val="xl152"/>
    <w:basedOn w:val="Normal"/>
    <w:rsid w:val="007518E4"/>
    <w:pPr>
      <w:pBdr>
        <w:bottom w:val="single" w:sz="8" w:space="0" w:color="auto"/>
        <w:right w:val="single" w:sz="8" w:space="0" w:color="auto"/>
      </w:pBdr>
      <w:shd w:val="clear" w:color="000000" w:fill="BFBFBF"/>
      <w:spacing w:before="100" w:beforeAutospacing="1" w:after="100" w:afterAutospacing="1"/>
      <w:ind w:left="0"/>
      <w:jc w:val="center"/>
      <w:textAlignment w:val="center"/>
    </w:pPr>
    <w:rPr>
      <w:rFonts w:ascii="Times New Roman" w:hAnsi="Times New Roman"/>
      <w:b/>
      <w:bCs/>
      <w:sz w:val="24"/>
      <w:lang w:val="es-ES" w:eastAsia="es-ES"/>
    </w:rPr>
  </w:style>
  <w:style w:type="table" w:customStyle="1" w:styleId="GridTable1Light-Accent31">
    <w:name w:val="Grid Table 1 Light - Accent 31"/>
    <w:basedOn w:val="TableNormal"/>
    <w:uiPriority w:val="46"/>
    <w:rsid w:val="007518E4"/>
    <w:pPr>
      <w:spacing w:line="240" w:lineRule="auto"/>
      <w:ind w:left="0"/>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abzacixml">
    <w:name w:val="abzaci_xml"/>
    <w:basedOn w:val="PlainText"/>
    <w:rsid w:val="007518E4"/>
    <w:pPr>
      <w:tabs>
        <w:tab w:val="left" w:pos="567"/>
      </w:tabs>
      <w:spacing w:line="360" w:lineRule="auto"/>
      <w:ind w:left="0" w:firstLine="720"/>
    </w:pPr>
    <w:rPr>
      <w:rFonts w:ascii="Sylfaen" w:eastAsia="Sylfaen" w:hAnsi="Sylfaen" w:cs="Arial"/>
      <w:szCs w:val="20"/>
    </w:rPr>
  </w:style>
  <w:style w:type="character" w:customStyle="1" w:styleId="BodyChar">
    <w:name w:val="Body Char"/>
    <w:basedOn w:val="DefaultParagraphFont"/>
    <w:locked/>
    <w:rsid w:val="007518E4"/>
    <w:rPr>
      <w:rFonts w:ascii="Helvetica" w:eastAsia="ヒラギノ角ゴ Pro W3" w:hAnsi="Helvetica"/>
      <w:color w:val="000000"/>
      <w:sz w:val="24"/>
      <w:szCs w:val="24"/>
      <w:lang w:val="en-US"/>
    </w:rPr>
  </w:style>
  <w:style w:type="table" w:customStyle="1" w:styleId="LightList-Accent11">
    <w:name w:val="Light List - Accent 11"/>
    <w:basedOn w:val="TableNormal"/>
    <w:uiPriority w:val="61"/>
    <w:rsid w:val="007518E4"/>
    <w:pPr>
      <w:spacing w:after="0" w:line="240" w:lineRule="auto"/>
      <w:ind w:left="0"/>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2">
    <w:name w:val="Grid Table 1 Light - Accent 52"/>
    <w:basedOn w:val="TableNormal"/>
    <w:uiPriority w:val="46"/>
    <w:rsid w:val="007518E4"/>
    <w:pPr>
      <w:spacing w:after="0" w:line="240" w:lineRule="auto"/>
      <w:ind w:left="0"/>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3-Accent41">
    <w:name w:val="List Table 3 - Accent 41"/>
    <w:basedOn w:val="TableNormal"/>
    <w:uiPriority w:val="48"/>
    <w:rsid w:val="007518E4"/>
    <w:pPr>
      <w:spacing w:line="240" w:lineRule="auto"/>
      <w:ind w:left="0"/>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ghtList-Accent2">
    <w:name w:val="Light List Accent 2"/>
    <w:basedOn w:val="TableNormal"/>
    <w:uiPriority w:val="61"/>
    <w:rsid w:val="007518E4"/>
    <w:pPr>
      <w:spacing w:after="0" w:line="240" w:lineRule="auto"/>
      <w:ind w:left="0"/>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Table3-Accent61">
    <w:name w:val="List Table 3 - Accent 61"/>
    <w:basedOn w:val="TableNormal"/>
    <w:uiPriority w:val="48"/>
    <w:rsid w:val="007518E4"/>
    <w:pPr>
      <w:spacing w:after="0" w:line="240" w:lineRule="auto"/>
      <w:ind w:left="0"/>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1Light-Accent11">
    <w:name w:val="Grid Table 1 Light - Accent 11"/>
    <w:basedOn w:val="TableNormal"/>
    <w:uiPriority w:val="46"/>
    <w:rsid w:val="007518E4"/>
    <w:pPr>
      <w:spacing w:line="240" w:lineRule="auto"/>
      <w:ind w:left="0"/>
    </w:pPr>
    <w:rPr>
      <w:rFonts w:ascii="Calibri" w:eastAsia="Calibri" w:hAnsi="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0">
    <w:name w:val="TableGrid"/>
    <w:rsid w:val="007518E4"/>
    <w:pPr>
      <w:spacing w:after="0" w:line="240" w:lineRule="auto"/>
      <w:ind w:left="0"/>
    </w:pPr>
    <w:rPr>
      <w:rFonts w:eastAsiaTheme="minorEastAsia"/>
      <w:lang w:val="en-US"/>
    </w:rPr>
    <w:tblPr>
      <w:tblCellMar>
        <w:top w:w="0" w:type="dxa"/>
        <w:left w:w="0" w:type="dxa"/>
        <w:bottom w:w="0" w:type="dxa"/>
        <w:right w:w="0" w:type="dxa"/>
      </w:tblCellMar>
    </w:tblPr>
  </w:style>
  <w:style w:type="character" w:customStyle="1" w:styleId="A2">
    <w:name w:val="A2"/>
    <w:uiPriority w:val="99"/>
    <w:rsid w:val="007518E4"/>
    <w:rPr>
      <w:rFonts w:cs="BPG Ingiri Arial"/>
      <w:color w:val="000000"/>
      <w:sz w:val="20"/>
      <w:szCs w:val="20"/>
    </w:rPr>
  </w:style>
  <w:style w:type="paragraph" w:customStyle="1" w:styleId="Pa15">
    <w:name w:val="Pa15"/>
    <w:basedOn w:val="Default"/>
    <w:next w:val="Default"/>
    <w:uiPriority w:val="99"/>
    <w:rsid w:val="007518E4"/>
    <w:pPr>
      <w:spacing w:line="241" w:lineRule="atLeast"/>
      <w:ind w:left="0"/>
    </w:pPr>
    <w:rPr>
      <w:rFonts w:ascii="BPG Ingiri Arial" w:eastAsiaTheme="minorHAnsi" w:hAnsi="BPG Ingiri Arial" w:cstheme="minorBidi"/>
      <w:color w:val="auto"/>
      <w:lang w:val="en-GB"/>
    </w:rPr>
  </w:style>
  <w:style w:type="paragraph" w:customStyle="1" w:styleId="Indent">
    <w:name w:val="Indent"/>
    <w:basedOn w:val="Normal"/>
    <w:rsid w:val="007518E4"/>
    <w:pPr>
      <w:spacing w:after="240"/>
      <w:ind w:left="720" w:hanging="720"/>
    </w:pPr>
    <w:rPr>
      <w:rFonts w:eastAsiaTheme="minorEastAsia" w:cstheme="minorBidi"/>
      <w:szCs w:val="22"/>
    </w:rPr>
  </w:style>
  <w:style w:type="paragraph" w:customStyle="1" w:styleId="UnnumberedHeading1">
    <w:name w:val="Unnumbered Heading 1"/>
    <w:basedOn w:val="Normal"/>
    <w:rsid w:val="007518E4"/>
    <w:pPr>
      <w:spacing w:after="240"/>
      <w:ind w:left="0"/>
      <w:jc w:val="center"/>
    </w:pPr>
    <w:rPr>
      <w:rFonts w:eastAsiaTheme="minorEastAsia" w:cstheme="minorBidi"/>
      <w:b/>
      <w:smallCaps/>
      <w:szCs w:val="22"/>
    </w:rPr>
  </w:style>
  <w:style w:type="paragraph" w:customStyle="1" w:styleId="Appendix">
    <w:name w:val="Appendix"/>
    <w:basedOn w:val="Normal"/>
    <w:next w:val="Normal"/>
    <w:rsid w:val="007518E4"/>
    <w:pPr>
      <w:spacing w:before="120" w:after="120"/>
      <w:ind w:left="0"/>
      <w:jc w:val="center"/>
    </w:pPr>
    <w:rPr>
      <w:rFonts w:eastAsiaTheme="minorEastAsia" w:cstheme="minorBidi"/>
      <w:b/>
      <w:szCs w:val="22"/>
    </w:rPr>
  </w:style>
  <w:style w:type="paragraph" w:styleId="TableofAuthorities">
    <w:name w:val="table of authorities"/>
    <w:basedOn w:val="Normal"/>
    <w:next w:val="Normal"/>
    <w:semiHidden/>
    <w:rsid w:val="007518E4"/>
    <w:pPr>
      <w:spacing w:after="240"/>
      <w:ind w:left="240" w:hanging="240"/>
    </w:pPr>
    <w:rPr>
      <w:rFonts w:eastAsiaTheme="minorEastAsia" w:cstheme="minorBidi"/>
      <w:szCs w:val="22"/>
    </w:rPr>
  </w:style>
  <w:style w:type="paragraph" w:styleId="Index7">
    <w:name w:val="index 7"/>
    <w:basedOn w:val="Normal"/>
    <w:next w:val="Normal"/>
    <w:semiHidden/>
    <w:rsid w:val="007518E4"/>
    <w:pPr>
      <w:spacing w:after="240"/>
      <w:ind w:left="1680" w:hanging="240"/>
    </w:pPr>
    <w:rPr>
      <w:rFonts w:cstheme="minorBidi"/>
    </w:rPr>
  </w:style>
  <w:style w:type="table" w:customStyle="1" w:styleId="GridTable4-Accent51">
    <w:name w:val="Grid Table 4 - Accent 51"/>
    <w:basedOn w:val="TableNormal"/>
    <w:uiPriority w:val="49"/>
    <w:rsid w:val="007518E4"/>
    <w:pPr>
      <w:spacing w:line="240" w:lineRule="auto"/>
      <w:ind w:left="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 Text"/>
    <w:basedOn w:val="Normal"/>
    <w:rsid w:val="007518E4"/>
    <w:pPr>
      <w:tabs>
        <w:tab w:val="left" w:pos="567"/>
      </w:tabs>
      <w:spacing w:before="140" w:after="240" w:line="280" w:lineRule="exact"/>
      <w:ind w:left="1701" w:right="113" w:hanging="567"/>
    </w:pPr>
    <w:rPr>
      <w:rFonts w:cstheme="minorBidi"/>
      <w:szCs w:val="22"/>
      <w:lang w:val="en-GB"/>
    </w:rPr>
  </w:style>
  <w:style w:type="paragraph" w:customStyle="1" w:styleId="XBulletR">
    <w:name w:val="XBulletR"/>
    <w:basedOn w:val="Normal"/>
    <w:rsid w:val="007518E4"/>
    <w:pPr>
      <w:pBdr>
        <w:top w:val="single" w:sz="6" w:space="7" w:color="auto"/>
        <w:left w:val="single" w:sz="6" w:space="7" w:color="auto"/>
        <w:bottom w:val="single" w:sz="6" w:space="7" w:color="auto"/>
        <w:right w:val="single" w:sz="6" w:space="7" w:color="auto"/>
      </w:pBdr>
      <w:tabs>
        <w:tab w:val="left" w:pos="1699"/>
        <w:tab w:val="left" w:pos="2131"/>
      </w:tabs>
      <w:spacing w:after="240"/>
      <w:ind w:left="2132" w:right="216" w:hanging="994"/>
    </w:pPr>
    <w:rPr>
      <w:rFonts w:cstheme="minorBidi"/>
      <w:i/>
      <w:szCs w:val="22"/>
      <w:lang w:val="en-GB"/>
    </w:rPr>
  </w:style>
  <w:style w:type="paragraph" w:customStyle="1" w:styleId="SECTIONContents">
    <w:name w:val="SECTION Contents"/>
    <w:basedOn w:val="Normal"/>
    <w:rsid w:val="007518E4"/>
    <w:pPr>
      <w:numPr>
        <w:numId w:val="41"/>
      </w:numPr>
      <w:spacing w:before="70" w:after="240" w:line="280" w:lineRule="exact"/>
      <w:ind w:right="113"/>
    </w:pPr>
    <w:rPr>
      <w:rFonts w:ascii="Arial" w:hAnsi="Arial" w:cstheme="minorBidi"/>
      <w:sz w:val="18"/>
      <w:szCs w:val="22"/>
      <w:lang w:val="en-GB"/>
    </w:rPr>
  </w:style>
  <w:style w:type="paragraph" w:customStyle="1" w:styleId="Prrafodelista">
    <w:name w:val="Párrafo de lista"/>
    <w:basedOn w:val="Normal"/>
    <w:rsid w:val="007518E4"/>
    <w:pPr>
      <w:spacing w:after="240"/>
      <w:ind w:left="720"/>
    </w:pPr>
    <w:rPr>
      <w:rFonts w:cstheme="minorBidi"/>
      <w:lang w:val="en-GB"/>
    </w:rPr>
  </w:style>
  <w:style w:type="paragraph" w:customStyle="1" w:styleId="CM22">
    <w:name w:val="CM22"/>
    <w:basedOn w:val="Default"/>
    <w:next w:val="Default"/>
    <w:uiPriority w:val="99"/>
    <w:rsid w:val="007518E4"/>
    <w:pPr>
      <w:widowControl w:val="0"/>
      <w:spacing w:after="240"/>
      <w:ind w:left="0"/>
    </w:pPr>
    <w:rPr>
      <w:rFonts w:asciiTheme="minorHAnsi" w:eastAsiaTheme="minorEastAsia" w:hAnsiTheme="minorHAnsi" w:cstheme="minorBidi"/>
      <w:color w:val="auto"/>
    </w:rPr>
  </w:style>
  <w:style w:type="paragraph" w:customStyle="1" w:styleId="CM24">
    <w:name w:val="CM24"/>
    <w:basedOn w:val="Default"/>
    <w:next w:val="Default"/>
    <w:uiPriority w:val="99"/>
    <w:rsid w:val="007518E4"/>
    <w:pPr>
      <w:widowControl w:val="0"/>
      <w:spacing w:after="240"/>
      <w:ind w:left="0"/>
    </w:pPr>
    <w:rPr>
      <w:rFonts w:asciiTheme="minorHAnsi" w:eastAsiaTheme="minorEastAsia" w:hAnsiTheme="minorHAnsi" w:cstheme="minorBidi"/>
      <w:color w:val="auto"/>
    </w:rPr>
  </w:style>
  <w:style w:type="character" w:customStyle="1" w:styleId="textitem">
    <w:name w:val="textitem"/>
    <w:basedOn w:val="DefaultParagraphFont"/>
    <w:rsid w:val="007518E4"/>
  </w:style>
  <w:style w:type="paragraph" w:styleId="ListBullet2">
    <w:name w:val="List Bullet 2"/>
    <w:basedOn w:val="Normal"/>
    <w:uiPriority w:val="8"/>
    <w:rsid w:val="007518E4"/>
    <w:pPr>
      <w:numPr>
        <w:numId w:val="42"/>
      </w:numPr>
      <w:spacing w:after="240"/>
      <w:contextualSpacing/>
    </w:pPr>
    <w:rPr>
      <w:rFonts w:eastAsiaTheme="minorEastAsia" w:cstheme="minorBidi"/>
      <w:szCs w:val="22"/>
    </w:rPr>
  </w:style>
  <w:style w:type="paragraph" w:customStyle="1" w:styleId="paragraphnumbering0">
    <w:name w:val="paragraphnumbering"/>
    <w:basedOn w:val="Normal"/>
    <w:rsid w:val="007518E4"/>
    <w:pPr>
      <w:spacing w:before="100" w:beforeAutospacing="1" w:after="100" w:afterAutospacing="1"/>
      <w:ind w:left="0"/>
    </w:pPr>
    <w:rPr>
      <w:rFonts w:eastAsiaTheme="minorHAnsi" w:cstheme="minorBidi"/>
    </w:rPr>
  </w:style>
  <w:style w:type="character" w:customStyle="1" w:styleId="st1">
    <w:name w:val="st1"/>
    <w:basedOn w:val="DefaultParagraphFont"/>
    <w:rsid w:val="007518E4"/>
  </w:style>
  <w:style w:type="paragraph" w:customStyle="1" w:styleId="Pa11">
    <w:name w:val="Pa11"/>
    <w:basedOn w:val="Normal"/>
    <w:next w:val="Normal"/>
    <w:uiPriority w:val="99"/>
    <w:rsid w:val="007518E4"/>
    <w:pPr>
      <w:autoSpaceDE w:val="0"/>
      <w:autoSpaceDN w:val="0"/>
      <w:adjustRightInd w:val="0"/>
      <w:spacing w:after="240" w:line="241" w:lineRule="atLeast"/>
      <w:ind w:left="0"/>
    </w:pPr>
    <w:rPr>
      <w:rFonts w:ascii="Times" w:eastAsiaTheme="minorHAnsi" w:hAnsi="Times" w:cstheme="minorBidi"/>
    </w:rPr>
  </w:style>
  <w:style w:type="character" w:customStyle="1" w:styleId="categorydata2">
    <w:name w:val="category_data2"/>
    <w:basedOn w:val="DefaultParagraphFont"/>
    <w:rsid w:val="007518E4"/>
    <w:rPr>
      <w:rFonts w:ascii="Arial" w:hAnsi="Arial" w:cs="Arial" w:hint="default"/>
      <w:color w:val="707070"/>
      <w:spacing w:val="15"/>
      <w:sz w:val="17"/>
      <w:szCs w:val="17"/>
    </w:rPr>
  </w:style>
  <w:style w:type="table" w:customStyle="1" w:styleId="ListTable3-Accent21">
    <w:name w:val="List Table 3 - Accent 21"/>
    <w:basedOn w:val="TableNormal"/>
    <w:uiPriority w:val="48"/>
    <w:rsid w:val="007518E4"/>
    <w:pPr>
      <w:spacing w:line="240" w:lineRule="auto"/>
      <w:ind w:left="0"/>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ghtList-Accent12">
    <w:name w:val="Light List - Accent 12"/>
    <w:basedOn w:val="TableNormal"/>
    <w:uiPriority w:val="61"/>
    <w:rsid w:val="007518E4"/>
    <w:pPr>
      <w:spacing w:after="0" w:line="240" w:lineRule="auto"/>
      <w:ind w:left="0"/>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rattereCarattereCharCharCharChar">
    <w:name w:val="Carattere Carattere Char Char Char Char"/>
    <w:aliases w:val="ftref Char Char Char Char,Char Char Char Char Char Char,Char Char Char1 Car Car Char Char Char Char Char Char Char Char Char Char Char Char Char Char Char Char Char Char Char Char,ftref Char Cha"/>
    <w:basedOn w:val="Normal"/>
    <w:next w:val="Normal"/>
    <w:uiPriority w:val="99"/>
    <w:rsid w:val="007518E4"/>
    <w:pPr>
      <w:spacing w:before="0" w:after="160" w:line="240" w:lineRule="exact"/>
      <w:ind w:left="0"/>
    </w:pPr>
    <w:rPr>
      <w:rFonts w:eastAsiaTheme="minorHAnsi" w:cstheme="minorBidi"/>
      <w:szCs w:val="22"/>
      <w:vertAlign w:val="superscript"/>
      <w:lang w:val="en-GB"/>
    </w:rPr>
  </w:style>
  <w:style w:type="paragraph" w:customStyle="1" w:styleId="xl63">
    <w:name w:val="xl63"/>
    <w:basedOn w:val="Normal"/>
    <w:rsid w:val="007518E4"/>
    <w:pPr>
      <w:pBdr>
        <w:left w:val="single" w:sz="4" w:space="0" w:color="auto"/>
      </w:pBdr>
      <w:spacing w:before="100" w:beforeAutospacing="1" w:after="100" w:afterAutospacing="1"/>
      <w:ind w:left="0"/>
      <w:jc w:val="left"/>
    </w:pPr>
    <w:rPr>
      <w:rFonts w:ascii="Times New Roman" w:hAnsi="Times New Roman"/>
      <w:sz w:val="24"/>
      <w:lang w:val="en-GB" w:eastAsia="en-GB"/>
    </w:rPr>
  </w:style>
  <w:style w:type="paragraph" w:customStyle="1" w:styleId="xl64">
    <w:name w:val="xl64"/>
    <w:basedOn w:val="Normal"/>
    <w:rsid w:val="007518E4"/>
    <w:pPr>
      <w:pBdr>
        <w:right w:val="single" w:sz="4" w:space="0" w:color="auto"/>
      </w:pBdr>
      <w:spacing w:before="100" w:beforeAutospacing="1" w:after="100" w:afterAutospacing="1"/>
      <w:ind w:left="0"/>
      <w:jc w:val="left"/>
    </w:pPr>
    <w:rPr>
      <w:rFonts w:ascii="Times New Roman" w:hAnsi="Times New Roman"/>
      <w:sz w:val="24"/>
      <w:lang w:val="en-GB" w:eastAsia="en-GB"/>
    </w:rPr>
  </w:style>
  <w:style w:type="paragraph" w:customStyle="1" w:styleId="xl153">
    <w:name w:val="xl153"/>
    <w:basedOn w:val="Normal"/>
    <w:rsid w:val="007518E4"/>
    <w:pPr>
      <w:pBdr>
        <w:top w:val="single" w:sz="4" w:space="0" w:color="auto"/>
      </w:pBdr>
      <w:shd w:val="clear" w:color="000000" w:fill="FFFF00"/>
      <w:spacing w:before="100" w:beforeAutospacing="1" w:after="100" w:afterAutospacing="1"/>
      <w:ind w:left="0"/>
      <w:jc w:val="right"/>
    </w:pPr>
    <w:rPr>
      <w:rFonts w:ascii="Arial" w:hAnsi="Arial" w:cs="Arial"/>
      <w:b/>
      <w:bCs/>
      <w:sz w:val="24"/>
      <w:lang w:val="en-GB" w:eastAsia="en-GB"/>
    </w:rPr>
  </w:style>
  <w:style w:type="paragraph" w:customStyle="1" w:styleId="xl154">
    <w:name w:val="xl154"/>
    <w:basedOn w:val="Normal"/>
    <w:rsid w:val="007518E4"/>
    <w:pPr>
      <w:pBdr>
        <w:top w:val="single" w:sz="4" w:space="0" w:color="auto"/>
        <w:right w:val="single" w:sz="4" w:space="0" w:color="auto"/>
      </w:pBdr>
      <w:shd w:val="clear" w:color="000000" w:fill="FFFF00"/>
      <w:spacing w:before="100" w:beforeAutospacing="1" w:after="100" w:afterAutospacing="1"/>
      <w:ind w:left="0"/>
      <w:jc w:val="left"/>
    </w:pPr>
    <w:rPr>
      <w:rFonts w:ascii="Arial" w:hAnsi="Arial" w:cs="Arial"/>
      <w:b/>
      <w:bCs/>
      <w:sz w:val="24"/>
      <w:lang w:val="en-GB" w:eastAsia="en-GB"/>
    </w:rPr>
  </w:style>
  <w:style w:type="paragraph" w:customStyle="1" w:styleId="xl155">
    <w:name w:val="xl155"/>
    <w:basedOn w:val="Normal"/>
    <w:rsid w:val="007518E4"/>
    <w:pPr>
      <w:shd w:val="clear" w:color="000000" w:fill="FFFF00"/>
      <w:spacing w:before="100" w:beforeAutospacing="1" w:after="100" w:afterAutospacing="1"/>
      <w:ind w:left="0"/>
      <w:jc w:val="right"/>
    </w:pPr>
    <w:rPr>
      <w:rFonts w:ascii="Arial" w:hAnsi="Arial" w:cs="Arial"/>
      <w:b/>
      <w:bCs/>
      <w:sz w:val="24"/>
      <w:lang w:val="en-GB" w:eastAsia="en-GB"/>
    </w:rPr>
  </w:style>
  <w:style w:type="paragraph" w:customStyle="1" w:styleId="xl156">
    <w:name w:val="xl156"/>
    <w:basedOn w:val="Normal"/>
    <w:rsid w:val="007518E4"/>
    <w:pPr>
      <w:shd w:val="clear" w:color="000000" w:fill="FFFF00"/>
      <w:spacing w:before="100" w:beforeAutospacing="1" w:after="100" w:afterAutospacing="1"/>
      <w:ind w:left="0"/>
      <w:jc w:val="right"/>
    </w:pPr>
    <w:rPr>
      <w:rFonts w:ascii="Arial" w:hAnsi="Arial" w:cs="Arial"/>
      <w:b/>
      <w:bCs/>
      <w:sz w:val="24"/>
      <w:lang w:val="en-GB" w:eastAsia="en-GB"/>
    </w:rPr>
  </w:style>
  <w:style w:type="paragraph" w:customStyle="1" w:styleId="xl157">
    <w:name w:val="xl157"/>
    <w:basedOn w:val="Normal"/>
    <w:rsid w:val="007518E4"/>
    <w:pPr>
      <w:pBdr>
        <w:right w:val="single" w:sz="4" w:space="0" w:color="auto"/>
      </w:pBdr>
      <w:shd w:val="clear" w:color="000000" w:fill="FFFF00"/>
      <w:spacing w:before="100" w:beforeAutospacing="1" w:after="100" w:afterAutospacing="1"/>
      <w:ind w:left="0"/>
      <w:jc w:val="right"/>
    </w:pPr>
    <w:rPr>
      <w:rFonts w:ascii="Arial" w:hAnsi="Arial" w:cs="Arial"/>
      <w:b/>
      <w:bCs/>
      <w:sz w:val="24"/>
      <w:lang w:val="en-GB" w:eastAsia="en-GB"/>
    </w:rPr>
  </w:style>
  <w:style w:type="paragraph" w:customStyle="1" w:styleId="xl158">
    <w:name w:val="xl158"/>
    <w:basedOn w:val="Normal"/>
    <w:rsid w:val="007518E4"/>
    <w:pPr>
      <w:pBdr>
        <w:right w:val="single" w:sz="4" w:space="0" w:color="auto"/>
      </w:pBdr>
      <w:shd w:val="clear" w:color="000000" w:fill="FFFF00"/>
      <w:spacing w:before="100" w:beforeAutospacing="1" w:after="100" w:afterAutospacing="1"/>
      <w:ind w:left="0"/>
      <w:jc w:val="left"/>
    </w:pPr>
    <w:rPr>
      <w:rFonts w:ascii="Arial" w:hAnsi="Arial" w:cs="Arial"/>
      <w:b/>
      <w:bCs/>
      <w:sz w:val="24"/>
      <w:lang w:val="en-GB" w:eastAsia="en-GB"/>
    </w:rPr>
  </w:style>
  <w:style w:type="paragraph" w:customStyle="1" w:styleId="xl159">
    <w:name w:val="xl159"/>
    <w:basedOn w:val="Normal"/>
    <w:rsid w:val="007518E4"/>
    <w:pPr>
      <w:pBdr>
        <w:left w:val="single" w:sz="4" w:space="0" w:color="auto"/>
        <w:bottom w:val="single" w:sz="4" w:space="0" w:color="auto"/>
      </w:pBdr>
      <w:shd w:val="clear" w:color="000000" w:fill="FFFF00"/>
      <w:spacing w:before="100" w:beforeAutospacing="1" w:after="100" w:afterAutospacing="1"/>
      <w:ind w:left="0"/>
      <w:jc w:val="left"/>
    </w:pPr>
    <w:rPr>
      <w:rFonts w:ascii="Arial" w:hAnsi="Arial" w:cs="Arial"/>
      <w:b/>
      <w:bCs/>
      <w:sz w:val="24"/>
      <w:lang w:val="en-GB" w:eastAsia="en-GB"/>
    </w:rPr>
  </w:style>
  <w:style w:type="paragraph" w:customStyle="1" w:styleId="xl160">
    <w:name w:val="xl160"/>
    <w:basedOn w:val="Normal"/>
    <w:rsid w:val="007518E4"/>
    <w:pPr>
      <w:pBdr>
        <w:bottom w:val="single" w:sz="4" w:space="0" w:color="auto"/>
      </w:pBdr>
      <w:shd w:val="clear" w:color="000000" w:fill="FFFF00"/>
      <w:spacing w:before="100" w:beforeAutospacing="1" w:after="100" w:afterAutospacing="1"/>
      <w:ind w:left="0"/>
      <w:jc w:val="left"/>
    </w:pPr>
    <w:rPr>
      <w:rFonts w:ascii="Arial" w:hAnsi="Arial" w:cs="Arial"/>
      <w:b/>
      <w:bCs/>
      <w:sz w:val="24"/>
      <w:lang w:val="en-GB" w:eastAsia="en-GB"/>
    </w:rPr>
  </w:style>
  <w:style w:type="paragraph" w:customStyle="1" w:styleId="xl161">
    <w:name w:val="xl161"/>
    <w:basedOn w:val="Normal"/>
    <w:rsid w:val="007518E4"/>
    <w:pPr>
      <w:pBdr>
        <w:bottom w:val="single" w:sz="4" w:space="0" w:color="auto"/>
      </w:pBdr>
      <w:spacing w:before="100" w:beforeAutospacing="1" w:after="100" w:afterAutospacing="1"/>
      <w:ind w:left="0"/>
      <w:jc w:val="left"/>
    </w:pPr>
    <w:rPr>
      <w:rFonts w:ascii="Times New Roman" w:hAnsi="Times New Roman"/>
      <w:sz w:val="24"/>
      <w:lang w:val="en-GB" w:eastAsia="en-GB"/>
    </w:rPr>
  </w:style>
  <w:style w:type="paragraph" w:customStyle="1" w:styleId="xl162">
    <w:name w:val="xl162"/>
    <w:basedOn w:val="Normal"/>
    <w:rsid w:val="007518E4"/>
    <w:pPr>
      <w:shd w:val="clear" w:color="000000" w:fill="FFFF00"/>
      <w:spacing w:before="100" w:beforeAutospacing="1" w:after="100" w:afterAutospacing="1"/>
      <w:ind w:left="0"/>
      <w:jc w:val="right"/>
      <w:textAlignment w:val="center"/>
    </w:pPr>
    <w:rPr>
      <w:rFonts w:ascii="Times New Roman" w:hAnsi="Times New Roman"/>
      <w:sz w:val="24"/>
      <w:lang w:val="en-GB" w:eastAsia="en-GB"/>
    </w:rPr>
  </w:style>
  <w:style w:type="paragraph" w:customStyle="1" w:styleId="xl163">
    <w:name w:val="xl163"/>
    <w:basedOn w:val="Normal"/>
    <w:rsid w:val="007518E4"/>
    <w:pPr>
      <w:spacing w:before="100" w:beforeAutospacing="1" w:after="100" w:afterAutospacing="1"/>
      <w:ind w:left="0"/>
      <w:jc w:val="left"/>
    </w:pPr>
    <w:rPr>
      <w:rFonts w:ascii="Arial" w:hAnsi="Arial" w:cs="Arial"/>
      <w:sz w:val="24"/>
      <w:lang w:val="en-GB" w:eastAsia="en-GB"/>
    </w:rPr>
  </w:style>
  <w:style w:type="paragraph" w:customStyle="1" w:styleId="xl165">
    <w:name w:val="xl165"/>
    <w:basedOn w:val="Normal"/>
    <w:rsid w:val="007518E4"/>
    <w:pPr>
      <w:spacing w:before="100" w:beforeAutospacing="1" w:after="100" w:afterAutospacing="1"/>
      <w:ind w:left="0"/>
      <w:jc w:val="left"/>
    </w:pPr>
    <w:rPr>
      <w:rFonts w:ascii="Arial" w:hAnsi="Arial" w:cs="Arial"/>
      <w:sz w:val="24"/>
      <w:lang w:val="en-GB" w:eastAsia="en-GB"/>
    </w:rPr>
  </w:style>
  <w:style w:type="paragraph" w:customStyle="1" w:styleId="xl166">
    <w:name w:val="xl166"/>
    <w:basedOn w:val="Normal"/>
    <w:rsid w:val="007518E4"/>
    <w:pPr>
      <w:spacing w:before="100" w:beforeAutospacing="1" w:after="100" w:afterAutospacing="1"/>
      <w:ind w:left="0"/>
      <w:jc w:val="right"/>
    </w:pPr>
    <w:rPr>
      <w:rFonts w:ascii="Arial" w:hAnsi="Arial" w:cs="Arial"/>
      <w:sz w:val="24"/>
      <w:lang w:val="en-GB" w:eastAsia="en-GB"/>
    </w:rPr>
  </w:style>
  <w:style w:type="paragraph" w:customStyle="1" w:styleId="xl167">
    <w:name w:val="xl167"/>
    <w:basedOn w:val="Normal"/>
    <w:rsid w:val="007518E4"/>
    <w:pPr>
      <w:spacing w:before="100" w:beforeAutospacing="1" w:after="100" w:afterAutospacing="1"/>
      <w:ind w:left="0"/>
      <w:jc w:val="right"/>
    </w:pPr>
    <w:rPr>
      <w:rFonts w:ascii="Times New Roman" w:hAnsi="Times New Roman"/>
      <w:sz w:val="24"/>
      <w:lang w:val="en-GB" w:eastAsia="en-GB"/>
    </w:rPr>
  </w:style>
  <w:style w:type="paragraph" w:customStyle="1" w:styleId="xl168">
    <w:name w:val="xl168"/>
    <w:basedOn w:val="Normal"/>
    <w:rsid w:val="007518E4"/>
    <w:pPr>
      <w:spacing w:before="100" w:beforeAutospacing="1" w:after="100" w:afterAutospacing="1"/>
      <w:ind w:left="0"/>
      <w:jc w:val="right"/>
      <w:textAlignment w:val="center"/>
    </w:pPr>
    <w:rPr>
      <w:rFonts w:ascii="Times New Roman" w:hAnsi="Times New Roman"/>
      <w:sz w:val="24"/>
      <w:lang w:val="en-GB" w:eastAsia="en-GB"/>
    </w:rPr>
  </w:style>
  <w:style w:type="paragraph" w:customStyle="1" w:styleId="xl169">
    <w:name w:val="xl169"/>
    <w:basedOn w:val="Normal"/>
    <w:rsid w:val="007518E4"/>
    <w:pPr>
      <w:pBdr>
        <w:left w:val="single" w:sz="4" w:space="0" w:color="auto"/>
      </w:pBdr>
      <w:spacing w:before="100" w:beforeAutospacing="1" w:after="100" w:afterAutospacing="1"/>
      <w:ind w:left="0"/>
      <w:jc w:val="left"/>
    </w:pPr>
    <w:rPr>
      <w:rFonts w:ascii="Arial" w:hAnsi="Arial" w:cs="Arial"/>
      <w:color w:val="FF0000"/>
      <w:sz w:val="24"/>
      <w:lang w:val="en-GB" w:eastAsia="en-GB"/>
    </w:rPr>
  </w:style>
  <w:style w:type="paragraph" w:customStyle="1" w:styleId="xl170">
    <w:name w:val="xl170"/>
    <w:basedOn w:val="Normal"/>
    <w:rsid w:val="007518E4"/>
    <w:pPr>
      <w:pBdr>
        <w:bottom w:val="single" w:sz="4" w:space="0" w:color="auto"/>
      </w:pBdr>
      <w:spacing w:before="100" w:beforeAutospacing="1" w:after="100" w:afterAutospacing="1"/>
      <w:ind w:left="0"/>
      <w:jc w:val="left"/>
    </w:pPr>
    <w:rPr>
      <w:rFonts w:ascii="Arial" w:hAnsi="Arial" w:cs="Arial"/>
      <w:sz w:val="24"/>
      <w:lang w:val="en-GB" w:eastAsia="en-GB"/>
    </w:rPr>
  </w:style>
  <w:style w:type="paragraph" w:customStyle="1" w:styleId="xl171">
    <w:name w:val="xl171"/>
    <w:basedOn w:val="Normal"/>
    <w:rsid w:val="007518E4"/>
    <w:pPr>
      <w:spacing w:before="100" w:beforeAutospacing="1" w:after="100" w:afterAutospacing="1"/>
      <w:ind w:left="0"/>
      <w:jc w:val="right"/>
      <w:textAlignment w:val="center"/>
    </w:pPr>
    <w:rPr>
      <w:rFonts w:ascii="Arial" w:hAnsi="Arial" w:cs="Arial"/>
      <w:color w:val="FF0000"/>
      <w:sz w:val="24"/>
      <w:lang w:val="en-GB" w:eastAsia="en-GB"/>
    </w:rPr>
  </w:style>
  <w:style w:type="paragraph" w:customStyle="1" w:styleId="xl172">
    <w:name w:val="xl172"/>
    <w:basedOn w:val="Normal"/>
    <w:rsid w:val="007518E4"/>
    <w:pPr>
      <w:pBdr>
        <w:right w:val="single" w:sz="4" w:space="0" w:color="auto"/>
      </w:pBdr>
      <w:spacing w:before="100" w:beforeAutospacing="1" w:after="100" w:afterAutospacing="1"/>
      <w:ind w:left="0"/>
      <w:jc w:val="left"/>
    </w:pPr>
    <w:rPr>
      <w:rFonts w:ascii="Arial" w:hAnsi="Arial" w:cs="Arial"/>
      <w:color w:val="FF0000"/>
      <w:sz w:val="24"/>
      <w:lang w:val="en-GB" w:eastAsia="en-GB"/>
    </w:rPr>
  </w:style>
  <w:style w:type="paragraph" w:customStyle="1" w:styleId="xl173">
    <w:name w:val="xl173"/>
    <w:basedOn w:val="Normal"/>
    <w:rsid w:val="007518E4"/>
    <w:pPr>
      <w:pBdr>
        <w:left w:val="single" w:sz="4" w:space="0" w:color="auto"/>
      </w:pBdr>
      <w:spacing w:before="100" w:beforeAutospacing="1" w:after="100" w:afterAutospacing="1"/>
      <w:ind w:left="0"/>
      <w:jc w:val="left"/>
    </w:pPr>
    <w:rPr>
      <w:rFonts w:ascii="Arial" w:hAnsi="Arial" w:cs="Arial"/>
      <w:sz w:val="24"/>
      <w:lang w:val="en-GB" w:eastAsia="en-GB"/>
    </w:rPr>
  </w:style>
  <w:style w:type="paragraph" w:customStyle="1" w:styleId="xl174">
    <w:name w:val="xl174"/>
    <w:basedOn w:val="Normal"/>
    <w:rsid w:val="007518E4"/>
    <w:pPr>
      <w:pBdr>
        <w:top w:val="single" w:sz="4" w:space="0" w:color="auto"/>
        <w:left w:val="single" w:sz="4" w:space="0" w:color="auto"/>
      </w:pBdr>
      <w:spacing w:before="100" w:beforeAutospacing="1" w:after="100" w:afterAutospacing="1"/>
      <w:ind w:left="0"/>
      <w:jc w:val="right"/>
    </w:pPr>
    <w:rPr>
      <w:rFonts w:ascii="Arial" w:hAnsi="Arial" w:cs="Arial"/>
      <w:b/>
      <w:bCs/>
      <w:sz w:val="24"/>
      <w:lang w:val="en-GB" w:eastAsia="en-GB"/>
    </w:rPr>
  </w:style>
  <w:style w:type="paragraph" w:customStyle="1" w:styleId="xl175">
    <w:name w:val="xl175"/>
    <w:basedOn w:val="Normal"/>
    <w:rsid w:val="007518E4"/>
    <w:pPr>
      <w:pBdr>
        <w:top w:val="single" w:sz="4" w:space="0" w:color="auto"/>
      </w:pBdr>
      <w:spacing w:before="100" w:beforeAutospacing="1" w:after="100" w:afterAutospacing="1"/>
      <w:ind w:left="0"/>
      <w:jc w:val="left"/>
    </w:pPr>
    <w:rPr>
      <w:rFonts w:ascii="Arial" w:hAnsi="Arial" w:cs="Arial"/>
      <w:b/>
      <w:bCs/>
      <w:sz w:val="24"/>
      <w:lang w:val="en-GB" w:eastAsia="en-GB"/>
    </w:rPr>
  </w:style>
  <w:style w:type="paragraph" w:customStyle="1" w:styleId="xl176">
    <w:name w:val="xl176"/>
    <w:basedOn w:val="Normal"/>
    <w:rsid w:val="007518E4"/>
    <w:pPr>
      <w:pBdr>
        <w:top w:val="single" w:sz="4" w:space="0" w:color="auto"/>
      </w:pBdr>
      <w:spacing w:before="100" w:beforeAutospacing="1" w:after="100" w:afterAutospacing="1"/>
      <w:ind w:left="0"/>
      <w:jc w:val="left"/>
    </w:pPr>
    <w:rPr>
      <w:rFonts w:ascii="Times New Roman" w:hAnsi="Times New Roman"/>
      <w:sz w:val="24"/>
      <w:lang w:val="en-GB" w:eastAsia="en-GB"/>
    </w:rPr>
  </w:style>
  <w:style w:type="paragraph" w:customStyle="1" w:styleId="xl177">
    <w:name w:val="xl177"/>
    <w:basedOn w:val="Normal"/>
    <w:rsid w:val="007518E4"/>
    <w:pPr>
      <w:pBdr>
        <w:top w:val="single" w:sz="4" w:space="0" w:color="auto"/>
        <w:right w:val="single" w:sz="4" w:space="0" w:color="auto"/>
      </w:pBdr>
      <w:spacing w:before="100" w:beforeAutospacing="1" w:after="100" w:afterAutospacing="1"/>
      <w:ind w:left="0"/>
      <w:jc w:val="left"/>
    </w:pPr>
    <w:rPr>
      <w:rFonts w:ascii="Times New Roman" w:hAnsi="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8926">
      <w:bodyDiv w:val="1"/>
      <w:marLeft w:val="0"/>
      <w:marRight w:val="0"/>
      <w:marTop w:val="0"/>
      <w:marBottom w:val="0"/>
      <w:divBdr>
        <w:top w:val="none" w:sz="0" w:space="0" w:color="auto"/>
        <w:left w:val="none" w:sz="0" w:space="0" w:color="auto"/>
        <w:bottom w:val="none" w:sz="0" w:space="0" w:color="auto"/>
        <w:right w:val="none" w:sz="0" w:space="0" w:color="auto"/>
      </w:divBdr>
    </w:div>
    <w:div w:id="46104544">
      <w:bodyDiv w:val="1"/>
      <w:marLeft w:val="0"/>
      <w:marRight w:val="0"/>
      <w:marTop w:val="0"/>
      <w:marBottom w:val="0"/>
      <w:divBdr>
        <w:top w:val="none" w:sz="0" w:space="0" w:color="auto"/>
        <w:left w:val="none" w:sz="0" w:space="0" w:color="auto"/>
        <w:bottom w:val="none" w:sz="0" w:space="0" w:color="auto"/>
        <w:right w:val="none" w:sz="0" w:space="0" w:color="auto"/>
      </w:divBdr>
    </w:div>
    <w:div w:id="79108432">
      <w:bodyDiv w:val="1"/>
      <w:marLeft w:val="0"/>
      <w:marRight w:val="0"/>
      <w:marTop w:val="0"/>
      <w:marBottom w:val="0"/>
      <w:divBdr>
        <w:top w:val="none" w:sz="0" w:space="0" w:color="auto"/>
        <w:left w:val="none" w:sz="0" w:space="0" w:color="auto"/>
        <w:bottom w:val="none" w:sz="0" w:space="0" w:color="auto"/>
        <w:right w:val="none" w:sz="0" w:space="0" w:color="auto"/>
      </w:divBdr>
    </w:div>
    <w:div w:id="242566129">
      <w:bodyDiv w:val="1"/>
      <w:marLeft w:val="0"/>
      <w:marRight w:val="0"/>
      <w:marTop w:val="0"/>
      <w:marBottom w:val="0"/>
      <w:divBdr>
        <w:top w:val="none" w:sz="0" w:space="0" w:color="auto"/>
        <w:left w:val="none" w:sz="0" w:space="0" w:color="auto"/>
        <w:bottom w:val="none" w:sz="0" w:space="0" w:color="auto"/>
        <w:right w:val="none" w:sz="0" w:space="0" w:color="auto"/>
      </w:divBdr>
    </w:div>
    <w:div w:id="247539255">
      <w:bodyDiv w:val="1"/>
      <w:marLeft w:val="0"/>
      <w:marRight w:val="0"/>
      <w:marTop w:val="0"/>
      <w:marBottom w:val="0"/>
      <w:divBdr>
        <w:top w:val="none" w:sz="0" w:space="0" w:color="auto"/>
        <w:left w:val="none" w:sz="0" w:space="0" w:color="auto"/>
        <w:bottom w:val="none" w:sz="0" w:space="0" w:color="auto"/>
        <w:right w:val="none" w:sz="0" w:space="0" w:color="auto"/>
      </w:divBdr>
    </w:div>
    <w:div w:id="1036393760">
      <w:bodyDiv w:val="1"/>
      <w:marLeft w:val="0"/>
      <w:marRight w:val="0"/>
      <w:marTop w:val="0"/>
      <w:marBottom w:val="0"/>
      <w:divBdr>
        <w:top w:val="none" w:sz="0" w:space="0" w:color="auto"/>
        <w:left w:val="none" w:sz="0" w:space="0" w:color="auto"/>
        <w:bottom w:val="none" w:sz="0" w:space="0" w:color="auto"/>
        <w:right w:val="none" w:sz="0" w:space="0" w:color="auto"/>
      </w:divBdr>
    </w:div>
    <w:div w:id="1069497338">
      <w:bodyDiv w:val="1"/>
      <w:marLeft w:val="0"/>
      <w:marRight w:val="0"/>
      <w:marTop w:val="0"/>
      <w:marBottom w:val="0"/>
      <w:divBdr>
        <w:top w:val="none" w:sz="0" w:space="0" w:color="auto"/>
        <w:left w:val="none" w:sz="0" w:space="0" w:color="auto"/>
        <w:bottom w:val="none" w:sz="0" w:space="0" w:color="auto"/>
        <w:right w:val="none" w:sz="0" w:space="0" w:color="auto"/>
      </w:divBdr>
    </w:div>
    <w:div w:id="1119033180">
      <w:bodyDiv w:val="1"/>
      <w:marLeft w:val="0"/>
      <w:marRight w:val="0"/>
      <w:marTop w:val="0"/>
      <w:marBottom w:val="0"/>
      <w:divBdr>
        <w:top w:val="none" w:sz="0" w:space="0" w:color="auto"/>
        <w:left w:val="none" w:sz="0" w:space="0" w:color="auto"/>
        <w:bottom w:val="none" w:sz="0" w:space="0" w:color="auto"/>
        <w:right w:val="none" w:sz="0" w:space="0" w:color="auto"/>
      </w:divBdr>
    </w:div>
    <w:div w:id="1218471704">
      <w:bodyDiv w:val="1"/>
      <w:marLeft w:val="0"/>
      <w:marRight w:val="0"/>
      <w:marTop w:val="0"/>
      <w:marBottom w:val="0"/>
      <w:divBdr>
        <w:top w:val="none" w:sz="0" w:space="0" w:color="auto"/>
        <w:left w:val="none" w:sz="0" w:space="0" w:color="auto"/>
        <w:bottom w:val="none" w:sz="0" w:space="0" w:color="auto"/>
        <w:right w:val="none" w:sz="0" w:space="0" w:color="auto"/>
      </w:divBdr>
    </w:div>
    <w:div w:id="1606116615">
      <w:bodyDiv w:val="1"/>
      <w:marLeft w:val="0"/>
      <w:marRight w:val="0"/>
      <w:marTop w:val="0"/>
      <w:marBottom w:val="0"/>
      <w:divBdr>
        <w:top w:val="none" w:sz="0" w:space="0" w:color="auto"/>
        <w:left w:val="none" w:sz="0" w:space="0" w:color="auto"/>
        <w:bottom w:val="none" w:sz="0" w:space="0" w:color="auto"/>
        <w:right w:val="none" w:sz="0" w:space="0" w:color="auto"/>
      </w:divBdr>
    </w:div>
    <w:div w:id="1649901452">
      <w:bodyDiv w:val="1"/>
      <w:marLeft w:val="0"/>
      <w:marRight w:val="0"/>
      <w:marTop w:val="0"/>
      <w:marBottom w:val="0"/>
      <w:divBdr>
        <w:top w:val="none" w:sz="0" w:space="0" w:color="auto"/>
        <w:left w:val="none" w:sz="0" w:space="0" w:color="auto"/>
        <w:bottom w:val="none" w:sz="0" w:space="0" w:color="auto"/>
        <w:right w:val="none" w:sz="0" w:space="0" w:color="auto"/>
      </w:divBdr>
    </w:div>
    <w:div w:id="1867407937">
      <w:bodyDiv w:val="1"/>
      <w:marLeft w:val="0"/>
      <w:marRight w:val="0"/>
      <w:marTop w:val="0"/>
      <w:marBottom w:val="0"/>
      <w:divBdr>
        <w:top w:val="none" w:sz="0" w:space="0" w:color="auto"/>
        <w:left w:val="none" w:sz="0" w:space="0" w:color="auto"/>
        <w:bottom w:val="none" w:sz="0" w:space="0" w:color="auto"/>
        <w:right w:val="none" w:sz="0" w:space="0" w:color="auto"/>
      </w:divBdr>
    </w:div>
    <w:div w:id="1976831574">
      <w:bodyDiv w:val="1"/>
      <w:marLeft w:val="0"/>
      <w:marRight w:val="0"/>
      <w:marTop w:val="0"/>
      <w:marBottom w:val="0"/>
      <w:divBdr>
        <w:top w:val="none" w:sz="0" w:space="0" w:color="auto"/>
        <w:left w:val="none" w:sz="0" w:space="0" w:color="auto"/>
        <w:bottom w:val="none" w:sz="0" w:space="0" w:color="auto"/>
        <w:right w:val="none" w:sz="0" w:space="0" w:color="auto"/>
      </w:divBdr>
    </w:div>
    <w:div w:id="2054570208">
      <w:bodyDiv w:val="1"/>
      <w:marLeft w:val="0"/>
      <w:marRight w:val="0"/>
      <w:marTop w:val="0"/>
      <w:marBottom w:val="0"/>
      <w:divBdr>
        <w:top w:val="none" w:sz="0" w:space="0" w:color="auto"/>
        <w:left w:val="none" w:sz="0" w:space="0" w:color="auto"/>
        <w:bottom w:val="none" w:sz="0" w:space="0" w:color="auto"/>
        <w:right w:val="none" w:sz="0" w:space="0" w:color="auto"/>
      </w:divBdr>
    </w:div>
    <w:div w:id="213011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zaitra@gmail.com" TargetMode="External"/><Relationship Id="rId21" Type="http://schemas.openxmlformats.org/officeDocument/2006/relationships/hyperlink" Target="https://drive.google.com/open?id=0B2l4NMsrbjKNNEpuQ2tIUEV2NXc" TargetMode="External"/><Relationship Id="rId42" Type="http://schemas.openxmlformats.org/officeDocument/2006/relationships/hyperlink" Target="mailto:soulivath@gmail.com" TargetMode="External"/><Relationship Id="rId47" Type="http://schemas.openxmlformats.org/officeDocument/2006/relationships/hyperlink" Target="mailto:Vilaysack.tmvs@gmail.com" TargetMode="External"/><Relationship Id="rId63" Type="http://schemas.openxmlformats.org/officeDocument/2006/relationships/hyperlink" Target="mailto:tpv-joy@hotmail.com" TargetMode="External"/><Relationship Id="rId68" Type="http://schemas.openxmlformats.org/officeDocument/2006/relationships/hyperlink" Target="mailto:somphavanhsom@gmail.com" TargetMode="External"/><Relationship Id="rId84" Type="http://schemas.openxmlformats.org/officeDocument/2006/relationships/hyperlink" Target="mailto:toun5818@gmail.com" TargetMode="External"/><Relationship Id="rId89" Type="http://schemas.openxmlformats.org/officeDocument/2006/relationships/hyperlink" Target="mailto:loungnamk@yahoo.com" TargetMode="External"/><Relationship Id="rId16" Type="http://schemas.openxmlformats.org/officeDocument/2006/relationships/hyperlink" Target="http://www.ODA-mis.gov.la" TargetMode="External"/><Relationship Id="rId107" Type="http://schemas.openxmlformats.org/officeDocument/2006/relationships/customXml" Target="../customXml/item3.xml"/><Relationship Id="rId11" Type="http://schemas.openxmlformats.org/officeDocument/2006/relationships/footer" Target="footer1.xml"/><Relationship Id="rId32" Type="http://schemas.openxmlformats.org/officeDocument/2006/relationships/hyperlink" Target="mailto:knghardsaysone@worldbank.org" TargetMode="External"/><Relationship Id="rId37" Type="http://schemas.openxmlformats.org/officeDocument/2006/relationships/hyperlink" Target="mailto:sifong.oumavong@gmail.com" TargetMode="External"/><Relationship Id="rId53" Type="http://schemas.openxmlformats.org/officeDocument/2006/relationships/hyperlink" Target="mailto:bobsoyboyd@gmail.com" TargetMode="External"/><Relationship Id="rId58" Type="http://schemas.openxmlformats.org/officeDocument/2006/relationships/hyperlink" Target="mailto:linakowa@iuj.ac.jp" TargetMode="External"/><Relationship Id="rId74" Type="http://schemas.openxmlformats.org/officeDocument/2006/relationships/hyperlink" Target="mailto:vart8ce@gmail.com/22335161" TargetMode="External"/><Relationship Id="rId79" Type="http://schemas.openxmlformats.org/officeDocument/2006/relationships/hyperlink" Target="mailto:bstphimmasenh@gmail.com" TargetMode="External"/><Relationship Id="rId102" Type="http://schemas.openxmlformats.org/officeDocument/2006/relationships/hyperlink" Target="http://www." TargetMode="External"/><Relationship Id="rId5" Type="http://schemas.openxmlformats.org/officeDocument/2006/relationships/webSettings" Target="webSettings.xml"/><Relationship Id="rId90" Type="http://schemas.openxmlformats.org/officeDocument/2006/relationships/hyperlink" Target="mailto:somchith29@gmail.com" TargetMode="External"/><Relationship Id="rId95" Type="http://schemas.openxmlformats.org/officeDocument/2006/relationships/hyperlink" Target="http://www.moh.gov.la" TargetMode="External"/><Relationship Id="rId22" Type="http://schemas.openxmlformats.org/officeDocument/2006/relationships/image" Target="media/image4.jpeg"/><Relationship Id="rId27" Type="http://schemas.openxmlformats.org/officeDocument/2006/relationships/hyperlink" Target="mailto:brandon.lundberg@gmail.com" TargetMode="External"/><Relationship Id="rId43" Type="http://schemas.openxmlformats.org/officeDocument/2006/relationships/hyperlink" Target="mailto:vanh_trigger@hotmail.com" TargetMode="External"/><Relationship Id="rId48" Type="http://schemas.openxmlformats.org/officeDocument/2006/relationships/hyperlink" Target="mailto:988787888/pavathplv@gmail.com" TargetMode="External"/><Relationship Id="rId64" Type="http://schemas.openxmlformats.org/officeDocument/2006/relationships/hyperlink" Target="mailto:sith_silavong@yahoo.com" TargetMode="External"/><Relationship Id="rId69" Type="http://schemas.openxmlformats.org/officeDocument/2006/relationships/hyperlink" Target="mailto:customs.sanya@gmail.com" TargetMode="External"/><Relationship Id="rId80" Type="http://schemas.openxmlformats.org/officeDocument/2006/relationships/hyperlink" Target="mailto:nisith.keopanya@moha.gov.la" TargetMode="External"/><Relationship Id="rId85" Type="http://schemas.openxmlformats.org/officeDocument/2006/relationships/hyperlink" Target="mailto:chanpasith_xay@yahoo.com" TargetMode="External"/><Relationship Id="rId12" Type="http://schemas.openxmlformats.org/officeDocument/2006/relationships/hyperlink" Target="file:///C:/Users/sylvie%20zaitra/Documents/PEFA/16_08_30%20Fieldguide_8.pdf" TargetMode="External"/><Relationship Id="rId17" Type="http://schemas.openxmlformats.org/officeDocument/2006/relationships/image" Target="media/image3.emf"/><Relationship Id="rId33" Type="http://schemas.openxmlformats.org/officeDocument/2006/relationships/hyperlink" Target="mailto:vphomsengsavanh@worldbank.org" TargetMode="External"/><Relationship Id="rId38" Type="http://schemas.openxmlformats.org/officeDocument/2006/relationships/hyperlink" Target="mailto:sinxay2005@yahoo.com" TargetMode="External"/><Relationship Id="rId59" Type="http://schemas.openxmlformats.org/officeDocument/2006/relationships/hyperlink" Target="mailto:vongthongcck@hotmail.com" TargetMode="External"/><Relationship Id="rId103" Type="http://schemas.openxmlformats.org/officeDocument/2006/relationships/hyperlink" Target="http://taxservice.mof.gov.la/websquare/websquare.do" TargetMode="External"/><Relationship Id="rId108" Type="http://schemas.openxmlformats.org/officeDocument/2006/relationships/customXml" Target="../customXml/item4.xml"/><Relationship Id="rId54" Type="http://schemas.openxmlformats.org/officeDocument/2006/relationships/hyperlink" Target="https://www.laotradeportal.gov.la" TargetMode="External"/><Relationship Id="rId70" Type="http://schemas.openxmlformats.org/officeDocument/2006/relationships/hyperlink" Target="mailto:changdabout@gmail.com" TargetMode="External"/><Relationship Id="rId75" Type="http://schemas.openxmlformats.org/officeDocument/2006/relationships/hyperlink" Target="mailto:obsobebouppha@gmail.com" TargetMode="External"/><Relationship Id="rId91" Type="http://schemas.openxmlformats.org/officeDocument/2006/relationships/hyperlink" Target="mailto:chintanakone@gmail.com" TargetMode="External"/><Relationship Id="rId96" Type="http://schemas.openxmlformats.org/officeDocument/2006/relationships/hyperlink" Target="mailto:ninganisara@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hyperlink" Target="mailto:vart8ce@gmail.com" TargetMode="External"/><Relationship Id="rId36" Type="http://schemas.openxmlformats.org/officeDocument/2006/relationships/hyperlink" Target="mailto:22415465/toun5818@gmail.com" TargetMode="External"/><Relationship Id="rId49" Type="http://schemas.openxmlformats.org/officeDocument/2006/relationships/hyperlink" Target="mailto:phoutthanousone@yahoo.com" TargetMode="External"/><Relationship Id="rId57" Type="http://schemas.openxmlformats.org/officeDocument/2006/relationships/hyperlink" Target="http://www.mof.gov.la" TargetMode="External"/><Relationship Id="rId106" Type="http://schemas.openxmlformats.org/officeDocument/2006/relationships/customXml" Target="../customXml/item2.xml"/><Relationship Id="rId10" Type="http://schemas.openxmlformats.org/officeDocument/2006/relationships/hyperlink" Target="http://www.moes.edu.la" TargetMode="External"/><Relationship Id="rId31" Type="http://schemas.openxmlformats.org/officeDocument/2006/relationships/hyperlink" Target="mailto:svongviengkham@worldbank.org" TargetMode="External"/><Relationship Id="rId44" Type="http://schemas.openxmlformats.org/officeDocument/2006/relationships/hyperlink" Target="mailto:sbounleua@gmail.com" TargetMode="External"/><Relationship Id="rId52" Type="http://schemas.openxmlformats.org/officeDocument/2006/relationships/hyperlink" Target="mailto:pavathplv@gmail.com" TargetMode="External"/><Relationship Id="rId60" Type="http://schemas.openxmlformats.org/officeDocument/2006/relationships/hyperlink" Target="mailto:souphanhvilavong@gmail.com" TargetMode="External"/><Relationship Id="rId65" Type="http://schemas.openxmlformats.org/officeDocument/2006/relationships/hyperlink" Target="mailto:pubrights@worldbank.org" TargetMode="External"/><Relationship Id="rId73" Type="http://schemas.openxmlformats.org/officeDocument/2006/relationships/hyperlink" Target="mailto:apelaos@gmail.com" TargetMode="External"/><Relationship Id="rId78" Type="http://schemas.openxmlformats.org/officeDocument/2006/relationships/hyperlink" Target="mailto:oly_kkk@hotmail.com" TargetMode="External"/><Relationship Id="rId81" Type="http://schemas.openxmlformats.org/officeDocument/2006/relationships/hyperlink" Target="mailto:vanhnakhone@gmail.com" TargetMode="External"/><Relationship Id="rId86" Type="http://schemas.openxmlformats.org/officeDocument/2006/relationships/hyperlink" Target="mailto:Rattana1166@gmail.com" TargetMode="External"/><Relationship Id="rId94" Type="http://schemas.openxmlformats.org/officeDocument/2006/relationships/hyperlink" Target="mailto:namseng@yahoo.com" TargetMode="External"/><Relationship Id="rId99" Type="http://schemas.openxmlformats.org/officeDocument/2006/relationships/hyperlink" Target="mailto:senyphet_yui@hotmail.com" TargetMode="External"/><Relationship Id="rId101" Type="http://schemas.openxmlformats.org/officeDocument/2006/relationships/hyperlink" Target="mailto:anouluck_kh@hotmail.com" TargetMode="External"/><Relationship Id="rId4" Type="http://schemas.openxmlformats.org/officeDocument/2006/relationships/settings" Target="settings.xml"/><Relationship Id="rId9" Type="http://schemas.openxmlformats.org/officeDocument/2006/relationships/hyperlink" Target="mailto:ngparsecretariat@gmail.com" TargetMode="External"/><Relationship Id="rId13" Type="http://schemas.openxmlformats.org/officeDocument/2006/relationships/hyperlink" Target="mailto:vongdeuane.vongsiharath@gmail.com" TargetMode="External"/><Relationship Id="rId18" Type="http://schemas.openxmlformats.org/officeDocument/2006/relationships/hyperlink" Target="http://www.sao.gov.la" TargetMode="External"/><Relationship Id="rId39" Type="http://schemas.openxmlformats.org/officeDocument/2006/relationships/hyperlink" Target="http://www.moha.gov.la" TargetMode="External"/><Relationship Id="rId109" Type="http://schemas.openxmlformats.org/officeDocument/2006/relationships/customXml" Target="../customXml/item5.xml"/><Relationship Id="rId34" Type="http://schemas.openxmlformats.org/officeDocument/2006/relationships/hyperlink" Target="http://www.laoofficialgazette.gov.la" TargetMode="External"/><Relationship Id="rId50" Type="http://schemas.openxmlformats.org/officeDocument/2006/relationships/hyperlink" Target="http://www.worldbank.org" TargetMode="External"/><Relationship Id="rId55" Type="http://schemas.openxmlformats.org/officeDocument/2006/relationships/hyperlink" Target="http://www.pefa.org" TargetMode="External"/><Relationship Id="rId76" Type="http://schemas.openxmlformats.org/officeDocument/2006/relationships/hyperlink" Target="http://www.tax.gov.la" TargetMode="External"/><Relationship Id="rId97" Type="http://schemas.openxmlformats.org/officeDocument/2006/relationships/hyperlink" Target="mailto:entduan@yahoo.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mdapaah@worldbank.org" TargetMode="External"/><Relationship Id="rId92" Type="http://schemas.openxmlformats.org/officeDocument/2006/relationships/hyperlink" Target="mailto:pradovorasarn@hotmail.com" TargetMode="External"/><Relationship Id="rId2" Type="http://schemas.openxmlformats.org/officeDocument/2006/relationships/numbering" Target="numbering.xml"/><Relationship Id="rId29" Type="http://schemas.openxmlformats.org/officeDocument/2006/relationships/hyperlink" Target="mailto:It-taxdept@hotmail.com" TargetMode="External"/><Relationship Id="rId24" Type="http://schemas.openxmlformats.org/officeDocument/2006/relationships/image" Target="media/image6.png"/><Relationship Id="rId40" Type="http://schemas.openxmlformats.org/officeDocument/2006/relationships/hyperlink" Target="mailto:Thongdeun@yahoo.com" TargetMode="External"/><Relationship Id="rId45" Type="http://schemas.openxmlformats.org/officeDocument/2006/relationships/hyperlink" Target="http://www.molsw.gov.la" TargetMode="External"/><Relationship Id="rId66" Type="http://schemas.openxmlformats.org/officeDocument/2006/relationships/hyperlink" Target="mailto:anousith_b@yahoo.com" TargetMode="External"/><Relationship Id="rId87" Type="http://schemas.openxmlformats.org/officeDocument/2006/relationships/hyperlink" Target="http://www.na.gov.la" TargetMode="External"/><Relationship Id="rId61" Type="http://schemas.openxmlformats.org/officeDocument/2006/relationships/hyperlink" Target="mailto:fweiner@worldbank.org" TargetMode="External"/><Relationship Id="rId82" Type="http://schemas.openxmlformats.org/officeDocument/2006/relationships/hyperlink" Target="mailto:vithanom@gmail.com" TargetMode="External"/><Relationship Id="rId19" Type="http://schemas.openxmlformats.org/officeDocument/2006/relationships/hyperlink" Target="mailto:psb18chanthasinh@gmail.com" TargetMode="External"/><Relationship Id="rId14" Type="http://schemas.openxmlformats.org/officeDocument/2006/relationships/hyperlink" Target="mailto:anousone8-8@hotmail.com" TargetMode="External"/><Relationship Id="rId30" Type="http://schemas.openxmlformats.org/officeDocument/2006/relationships/hyperlink" Target="mailto:oukham-Khh@yahoo.com" TargetMode="External"/><Relationship Id="rId35" Type="http://schemas.openxmlformats.org/officeDocument/2006/relationships/hyperlink" Target="mailto:somsanouk@gmail.com" TargetMode="External"/><Relationship Id="rId56" Type="http://schemas.openxmlformats.org/officeDocument/2006/relationships/hyperlink" Target="mailto:ngparsecretariat@gmail.com" TargetMode="External"/><Relationship Id="rId77" Type="http://schemas.openxmlformats.org/officeDocument/2006/relationships/hyperlink" Target="http://www.taxservice.la" TargetMode="External"/><Relationship Id="rId100" Type="http://schemas.openxmlformats.org/officeDocument/2006/relationships/hyperlink" Target="http://www.nyulawglobal.org/globalex/Laos.html"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svanitsaveth@worldbank.org" TargetMode="External"/><Relationship Id="rId72" Type="http://schemas.openxmlformats.org/officeDocument/2006/relationships/hyperlink" Target="mailto:sleuangkhamsing@adb.org" TargetMode="External"/><Relationship Id="rId93" Type="http://schemas.openxmlformats.org/officeDocument/2006/relationships/hyperlink" Target="mailto:vilethk@gmail.com" TargetMode="External"/><Relationship Id="rId98" Type="http://schemas.openxmlformats.org/officeDocument/2006/relationships/hyperlink" Target="mailto:Laohealthfinancing@gmail.com"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www.worldbank.org/en/country/lao" TargetMode="External"/><Relationship Id="rId67" Type="http://schemas.openxmlformats.org/officeDocument/2006/relationships/hyperlink" Target="mailto:thongvan.64@gmail.com" TargetMode="External"/><Relationship Id="rId20" Type="http://schemas.openxmlformats.org/officeDocument/2006/relationships/hyperlink" Target="mailto:22239392/senyphet_yui@hotmail.com" TargetMode="External"/><Relationship Id="rId41" Type="http://schemas.openxmlformats.org/officeDocument/2006/relationships/hyperlink" Target="http://www.rtm.org.la" TargetMode="External"/><Relationship Id="rId62" Type="http://schemas.openxmlformats.org/officeDocument/2006/relationships/hyperlink" Target="http://www.investlaos.gov.la" TargetMode="External"/><Relationship Id="rId83" Type="http://schemas.openxmlformats.org/officeDocument/2006/relationships/hyperlink" Target="mailto:vadsakpn@gmail.com" TargetMode="External"/><Relationship Id="rId88" Type="http://schemas.openxmlformats.org/officeDocument/2006/relationships/hyperlink" Target="mailto:somxay.keovandy@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oingbusiness.org/content/dam/doingBusiness/country/l/lao-pdr/LAO.pdf" TargetMode="External"/><Relationship Id="rId1" Type="http://schemas.openxmlformats.org/officeDocument/2006/relationships/hyperlink" Target="https://www.imf.org/en/Publications/CR/Issues/2018/03/23/Lao-Peoples-Democratic-Republic-2017-Article-IV-Consultation-Press-Release-Staff-Report-and-457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429937E4227114AB904C2AD99EF823E" ma:contentTypeVersion="3" ma:contentTypeDescription="" ma:contentTypeScope="" ma:versionID="7abba879d5ba2c484ab5e19ea2fedc4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000267727:Fanny Weiner:fweiner@worldbank.org;</DocAuthors>
    <RefreshDate xmlns="b99a068c-3844-4a16-badd-77233eea0529" xsi:nil="true"/>
    <Abstract xmlns="b99a068c-3844-4a16-badd-77233eea0529" xsi:nil="true"/>
    <Authors xmlns="b99a068c-3844-4a16-badd-77233eea0529">
      <UserInfo>
        <DisplayName>i:0#.w|wb\wb267727</DisplayName>
        <AccountId>2509</AccountId>
        <AccountType/>
      </UserInfo>
      <UserInfo>
        <DisplayName/>
        <AccountId xsi:nil="true"/>
        <AccountType/>
      </UserInfo>
    </Authors>
    <SequenceNum xmlns="b99a068c-3844-4a16-badd-77233eea0529" xsi:nil="true"/>
    <Cordis_x0020_ID xmlns="b99a068c-3844-4a16-badd-77233eea0529">ITM00270</Cordis_x0020_ID>
    <Stage xmlns="b99a068c-3844-4a16-badd-77233eea0529">IMP</Stage>
    <PolicyExceptions xmlns="b99a068c-3844-4a16-badd-77233eea0529">PE09:9.Deliberative;</PolicyExceptions>
    <IsHidden xmlns="b99a068c-3844-4a16-badd-77233eea0529">false</IsHidden>
    <IsTemplate xmlns="b99a068c-3844-4a16-badd-77233eea0529">false</IsTemplate>
    <WBDocType xmlns="b99a068c-3844-4a16-badd-77233eea0529">Report</WBDocType>
    <DisclosedVersion xmlns="b99a068c-3844-4a16-badd-77233eea0529">:3.0,:7.0</DisclosedVersion>
    <SecurityClassification xmlns="b99a068c-3844-4a16-badd-77233eea0529">Official use only</SecurityClassification>
    <DeliverableID xmlns="b99a068c-3844-4a16-badd-77233eea0529">DLV0224103</DeliverableID>
    <IsMandatory xmlns="b99a068c-3844-4a16-badd-77233eea0529">false</IsMandatory>
    <DocumentAction xmlns="b99a068c-3844-4a16-badd-77233eea0529" xsi:nil="true"/>
    <ProjectID xmlns="b99a068c-3844-4a16-badd-77233eea0529">P165614</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:2.0,:6.0</ApprovedVersion>
    <DocumentType xmlns="b99a068c-3844-4a16-badd-77233eea0529" xsi:nil="true"/>
    <Task_x0020_ID xmlns="b99a068c-3844-4a16-badd-77233eea0529" xsi:nil="true"/>
    <Package xmlns="b99a068c-3844-4a16-badd-77233eea0529">true</Package>
    <SAPStage xmlns="b99a068c-3844-4a16-badd-77233eea0529" xsi:nil="true"/>
    <HasUserUploaded xmlns="b99a068c-3844-4a16-badd-77233eea0529">true</HasUserUploaded>
    <DocumentDate xmlns="b99a068c-3844-4a16-badd-77233eea0529">2019-03-27T04:00:00+00:00</DocumentDate>
  </documentManagement>
</p:properties>
</file>

<file path=customXml/itemProps1.xml><?xml version="1.0" encoding="utf-8"?>
<ds:datastoreItem xmlns:ds="http://schemas.openxmlformats.org/officeDocument/2006/customXml" ds:itemID="{BF220AF5-A118-4A07-8ADE-A8482E59E693}">
  <ds:schemaRefs>
    <ds:schemaRef ds:uri="http://schemas.openxmlformats.org/officeDocument/2006/bibliography"/>
  </ds:schemaRefs>
</ds:datastoreItem>
</file>

<file path=customXml/itemProps2.xml><?xml version="1.0" encoding="utf-8"?>
<ds:datastoreItem xmlns:ds="http://schemas.openxmlformats.org/officeDocument/2006/customXml" ds:itemID="{A0E85089-EC10-4873-9CD7-BA013CABFD6F}"/>
</file>

<file path=customXml/itemProps3.xml><?xml version="1.0" encoding="utf-8"?>
<ds:datastoreItem xmlns:ds="http://schemas.openxmlformats.org/officeDocument/2006/customXml" ds:itemID="{368756A5-40CB-4FB0-BE9B-DD103D5B12F3}"/>
</file>

<file path=customXml/itemProps4.xml><?xml version="1.0" encoding="utf-8"?>
<ds:datastoreItem xmlns:ds="http://schemas.openxmlformats.org/officeDocument/2006/customXml" ds:itemID="{A62503E1-D780-42DA-A85A-FEABCCB246E6}"/>
</file>

<file path=customXml/itemProps5.xml><?xml version="1.0" encoding="utf-8"?>
<ds:datastoreItem xmlns:ds="http://schemas.openxmlformats.org/officeDocument/2006/customXml" ds:itemID="{B8AB358A-D5BA-41F9-B257-3F331E11578E}"/>
</file>

<file path=docProps/app.xml><?xml version="1.0" encoding="utf-8"?>
<Properties xmlns="http://schemas.openxmlformats.org/officeDocument/2006/extended-properties" xmlns:vt="http://schemas.openxmlformats.org/officeDocument/2006/docPropsVTypes">
  <Template>Normal.dotm</Template>
  <TotalTime>15</TotalTime>
  <Pages>216</Pages>
  <Words>88179</Words>
  <Characters>502624</Characters>
  <Application>Microsoft Office Word</Application>
  <DocSecurity>0</DocSecurity>
  <Lines>4188</Lines>
  <Paragraphs>1179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 PEFA Report_final</dc:title>
  <dc:creator>John Short</dc:creator>
  <cp:lastModifiedBy>Fanny Weiner</cp:lastModifiedBy>
  <cp:revision>10</cp:revision>
  <cp:lastPrinted>2019-03-22T10:04:00Z</cp:lastPrinted>
  <dcterms:created xsi:type="dcterms:W3CDTF">2019-03-27T04:10:00Z</dcterms:created>
  <dcterms:modified xsi:type="dcterms:W3CDTF">2019-03-27T06:20:00Z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0x01010054E0FEF4951F9D49A6F48A35419983C700A429937E4227114AB904C2AD99EF823E</vt:lpwstr>
  </property>
  <property fmtid="{D5CDD505-2E9C-101B-9397-08002B2CF9AE}" pid="3" name="RatedBy">
    <vt:lpwstr/>
  </property>
  <property fmtid="{D5CDD505-2E9C-101B-9397-08002B2CF9AE}" pid="4" name="Ratings">
    <vt:lpwstr/>
  </property>
  <property fmtid="{D5CDD505-2E9C-101B-9397-08002B2CF9AE}" pid="5" name="LikedBy">
    <vt:lpwstr/>
  </property>
</Properties>
</file>